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 Eilentscheidung oder Beschwerde</w:t>
      </w:r>
    </w:p>
    <w:p>
      <w:r>
        <w:rPr>
          <w:b w:val="0"/>
          <w:sz w:val="18"/>
        </w:rPr>
        <w:t>Vorlage 57 · §§ 49, 54, 57, 58, 63 und 68 FamFG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Dies ist weder Eilantrag noch Beschwerde. § 57 FamFG begrenzt die Anfechtbarkeit. Eine statthafte Beschwerde ist grundsätzlich beim Ausgangsgericht einzulegen (§ 64); Fristen können einen Monat oder zwei Wochen betragen.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 Eilentscheidung oder Beschwerde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sofortige Prüfung des erforderlichen Vorgehens gegen oder zur Erlangung einer familiengerichtlichen Eilentscheidung.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Beschluss oder gewünschte vorläufige Regelung: [Angaben].</w:t>
      </w:r>
    </w:p>
    <w:p>
      <w:pPr>
        <w:ind w:left="187" w:hanging="187"/>
      </w:pPr>
      <w:r>
        <w:rPr>
          <w:b w:val="0"/>
        </w:rPr>
        <w:t>2. Datum von Erlass, Bekanntgabe und mündlicher Erörterung: [Angaben].</w:t>
      </w:r>
    </w:p>
    <w:p>
      <w:pPr>
        <w:ind w:left="187" w:hanging="187"/>
      </w:pPr>
      <w:r>
        <w:rPr>
          <w:b w:val="0"/>
        </w:rPr>
        <w:t>3. Konkrete Dringlichkeit, Tatsachen und Belege: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famfg/" TargetMode="External"/><Relationship Id="rId10" Type="http://schemas.openxmlformats.org/officeDocument/2006/relationships/hyperlink" Target="https://systemfehlerfamilie.de/rechte-fuer-eltern/57-49-54-57-58-63-und-68-famfg-einstweilige-anordnung-und-beschwerd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 Eilentscheidung oder Beschwerde</dc:title>
  <dc:subject>§§ 49, 54, 57, 58, 63 und 68 FamFG – Beratungsanfrage</dc:subject>
  <dc:creator>Systemfehler Familie</dc:creator>
  <cp:keywords>Elternrechte, Vorlage 57, §§ 49, 54, 57, 58, 63 und 68 FamFG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