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Prüfung des Verwaltungsrechtswegs</w:t>
      </w:r>
    </w:p>
    <w:p>
      <w:r>
        <w:rPr>
          <w:b w:val="0"/>
          <w:sz w:val="18"/>
        </w:rPr>
        <w:t>Vorlage 68 · §§ 40, 42, 68 und 74 VwGO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Dies ist kein Widerspruch und keine Klage. Vorverfahren, Klageart, Zuständigkeit und Frist hängen vom Fall und Landesrecht ab. Eine Sachstandsanfrage wahrt die Klage- oder Widerspruchsfrist nicht.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 im Verwaltungsrecht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Prüfung des Verwaltungsrechtswegs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kurzfristige Prüfung des statthaften Rechtsbehelfs gegen die folgende Maßnahme beziehungsweise Ablehnung einer Leistung.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Behörde, Maßnahme, Bescheid und Zugang: [Angaben].</w:t>
      </w:r>
    </w:p>
    <w:p>
      <w:pPr>
        <w:ind w:left="187" w:hanging="187"/>
      </w:pPr>
      <w:r>
        <w:rPr>
          <w:b w:val="0"/>
        </w:rPr>
        <w:t>2. Vollständige Rechtsbehelfsbelehrung und Bundesland: [beifügen].</w:t>
      </w:r>
    </w:p>
    <w:p>
      <w:pPr>
        <w:ind w:left="187" w:hanging="187"/>
      </w:pPr>
      <w:r>
        <w:rPr>
          <w:b w:val="0"/>
        </w:rPr>
        <w:t>3. Gewünschtes Ergebnis, Dringlichkeit und bisherige Eingaben: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68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vwgo/" TargetMode="External"/><Relationship Id="rId10" Type="http://schemas.openxmlformats.org/officeDocument/2006/relationships/hyperlink" Target="https://systemfehlerfamilie.de/rechte-fuer-eltern/68-40-42-68-und-74-vwgo-verwaltungsrechtsweg-klagearten-widerspruch-und-klagefrist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Prüfung des Verwaltungsrechtswegs</dc:title>
  <dc:subject>§§ 40, 42, 68 und 74 VwGO – Beratungsanfrage</dc:subject>
  <dc:creator>Systemfehler Familie</dc:creator>
  <cp:keywords>Elternrechte, Vorlage 68, §§ 40, 42, 68 und 74 VwGO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