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einer Schutzanordnung</w:t>
      </w:r>
    </w:p>
    <w:p>
      <w:r>
        <w:rPr>
          <w:b w:val="0"/>
          <w:sz w:val="18"/>
        </w:rPr>
        <w:t>Vorlage 70 · §§ 1 bis 4 GewSchG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 ist kein gerichtlicher Gewaltschutzantrag. Bei akuter Gefahr Polizei verständigen und keine Schutzadresse offenlegen. Für Schutz im Verhältnis minderjähriger Kinder zu Sorgeberechtigten sind die besonderen Regeln des § 3 GewSchG zu beachten.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[Sichere Zustellanschrift oder abgestimmte Kontaktstelle]</w:t>
      </w:r>
    </w:p>
    <w:p>
      <w:r>
        <w:rPr>
          <w:b w:val="0"/>
        </w:rPr>
        <w:t>An: anwaltliche Beratung oder Fachberatungsstelle für Gewaltschutz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einer Schutzanordnung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kurzfristige Unterstützung bei der Prüfung einer geeigneten Schutzanordnung und eines sicheren weiteren Vorgehens.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Konkrete Vorfälle, Zeitpunkte und verfügbare Belege: [Angaben].</w:t>
      </w:r>
    </w:p>
    <w:p>
      <w:pPr>
        <w:ind w:left="187" w:hanging="187"/>
      </w:pPr>
      <w:r>
        <w:rPr>
          <w:b w:val="0"/>
        </w:rPr>
        <w:t>2. Gewünschter Schutz, bestehende Kontakte und betroffene Wohnung: [Angaben].</w:t>
      </w:r>
    </w:p>
    <w:p>
      <w:pPr>
        <w:ind w:left="187" w:hanging="187"/>
      </w:pPr>
      <w:r>
        <w:rPr>
          <w:b w:val="0"/>
        </w:rPr>
        <w:t>3. Sicherer Kontaktweg und unmittelbar drohende Risiken: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70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gewschg/" TargetMode="External"/><Relationship Id="rId10" Type="http://schemas.openxmlformats.org/officeDocument/2006/relationships/hyperlink" Target="https://systemfehlerfamilie.de/rechte-fuer-eltern/70-1-bis-4-gewschg-schutzanordnung-wohnungsuberlassung-und-versto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einer Schutzanordnung</dc:title>
  <dc:subject>§§ 1 bis 4 GewSchG – Beratungsanfrage</dc:subject>
  <dc:creator>Systemfehler Familie</dc:creator>
  <cp:keywords>Elternrechte, Vorlage 70, §§ 1 bis 4 GewSchG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