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Gelegenheit zur Stellungnahme</w:t>
      </w:r>
    </w:p>
    <w:p>
      <w:r>
        <w:rPr>
          <w:b w:val="0"/>
          <w:sz w:val="18"/>
        </w:rPr>
        <w:t>Vorlage 03 · Art. 19 Abs. 4, Art. 20 Abs. 3 und Art. 103 Abs. 1 GG · Verfahrensanfrage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Für ein laufendes familiengerichtliches Verfahren. Art. 103 Abs. 1 GG betrifft gerichtliches Gehör. Dieses Schreiben ist weder Beschwerde noch Anhörungsrüge und wahrt deren Fristen nicht.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Familiengericht im laufenden Verfahren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Gelegenheit zur Stellungnahme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im laufenden Verfahren bitte ich um Zugang zu den konkret bezeichneten entscheidungserheblichen Unterlagen und Gelegenheit, hierzu Stellung zu nehmen.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Noch unbekannte Unterlagen oder Vorträge: [Bezeichnung].</w:t>
      </w:r>
    </w:p>
    <w:p>
      <w:pPr>
        <w:ind w:left="187" w:hanging="187"/>
      </w:pPr>
      <w:r>
        <w:rPr>
          <w:b w:val="0"/>
        </w:rPr>
        <w:t>2. Warum eine Stellungnahme erforderlich ist: [Erklärung].</w:t>
      </w:r>
    </w:p>
    <w:p>
      <w:pPr>
        <w:ind w:left="187" w:hanging="187"/>
      </w:pPr>
      <w:r>
        <w:rPr>
          <w:b w:val="0"/>
        </w:rPr>
        <w:t>3. Erbetene angemessene Äußerungsfrist: [Datum mit Begründung].</w:t>
      </w:r>
    </w:p>
    <w:p>
      <w:r>
        <w:rPr>
          <w:b w:val="0"/>
        </w:rPr>
        <w:t>Bitte nehmen Sie dieses Schreiben zur Verfahrensakte und teilen Sie mir mit, wie die genannten Punkte im weiteren Verfahren berücksichtigt werden können.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gg/" TargetMode="External"/><Relationship Id="rId10" Type="http://schemas.openxmlformats.org/officeDocument/2006/relationships/hyperlink" Target="https://systemfehlerfamilie.de/rechte-fuer-eltern/03-art-19-abs-4-art-20-abs-3-und-art-103-abs-1-gg-rechtsstaat-wirksamer-rechtsschutz-und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Gelegenheit zur Stellungnahme</dc:title>
  <dc:subject>Art. 19 Abs. 4, Art. 20 Abs. 3 und Art. 103 Abs. 1 GG – Verfahrensanfrage</dc:subject>
  <dc:creator>Systemfehler Familie</dc:creator>
  <cp:keywords>Elternrechte, Vorlage 03, Art. 19 Abs. 4, Art. 20 Abs. 3 und Art. 103 Abs. 1 GG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