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Unterstützung und Schutz im Familienalltag</w:t>
      </w:r>
    </w:p>
    <w:p>
      <w:r>
        <w:rPr>
          <w:b w:val="0"/>
          <w:sz w:val="18"/>
        </w:rPr>
        <w:t>Vorlage 09 · Art. 18 und 19 UN-KRK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Die konkrete Leistung ergibt sich aus den jeweils anwendbaren Vorschriften, nicht allein aus Art. 18 und 19 UN-KRK. Bei akuter Gefahr nicht auf eine Briefantwort warten.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Unterstützung und Schutz im Familienalltag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benötige Unterstützung für die folgende familiäre Belastung und bitte um Beratung zu geeigneten Hilfen und Schutzmöglichkeiten.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Belastung und konkrete Auswirkungen auf das Kind: [Angaben].</w:t>
      </w:r>
    </w:p>
    <w:p>
      <w:pPr>
        <w:ind w:left="187" w:hanging="187"/>
      </w:pPr>
      <w:r>
        <w:rPr>
          <w:b w:val="0"/>
        </w:rPr>
        <w:t>2. Bereits vorhandene Unterstützung und verbleibender Bedarf: [Angaben].</w:t>
      </w:r>
    </w:p>
    <w:p>
      <w:pPr>
        <w:ind w:left="187" w:hanging="187"/>
      </w:pPr>
      <w:r>
        <w:rPr>
          <w:b w:val="0"/>
        </w:rPr>
        <w:t>3. Gewünschte Hilfe und erreichbare Ziele: [Vorschlag].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ohchr.org/en/instruments-mechanisms/instruments/convention-rights-child" TargetMode="External"/><Relationship Id="rId10" Type="http://schemas.openxmlformats.org/officeDocument/2006/relationships/hyperlink" Target="https://systemfehlerfamilie.de/rechte-fuer-eltern/09-art-18-und-19-un-krk-elternverantwortung-staatliche-unterstutzung-und-schutz-vor-gewa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Unterstützung und Schutz im Familienalltag</dc:title>
  <dc:subject>Art. 18 und 19 UN-KRK – Anfrage</dc:subject>
  <dc:creator>Systemfehler Familie</dc:creator>
  <cp:keywords>Elternrechte, Vorlage 09, Art. 18 und 19 UN-KRK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