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des Schutzverfahrens</w:t>
      </w:r>
    </w:p>
    <w:p>
      <w:r>
        <w:rPr>
          <w:b w:val="0"/>
          <w:sz w:val="18"/>
        </w:rPr>
        <w:t>Vorlage 21 · § 8a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Ein Hausbesuch ist kein ausnahmsloser Pflichtschritt. Dringende Schutzmaßnahmen können ohne vorherige vollständige Schrittfolge erforderlich sein; die Anfrage ersetzt keine Mitwirkung zu konkreten Gefahren.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des Schutzverfahrens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nachvollziehbare Information zum Anlass und zum weiteren Vorgehen der Gefährdungseinschätzung nach § 8a SGB VIII.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Welche gewichtigen Anhaltspunkte sind für die Prüfung maßgeblich?</w:t>
      </w:r>
    </w:p>
    <w:p>
      <w:pPr>
        <w:ind w:left="187" w:hanging="187"/>
      </w:pPr>
      <w:r>
        <w:rPr>
          <w:b w:val="0"/>
        </w:rPr>
        <w:t>2. Wie werden Erziehungsberechtigte und Kind beteiligt, soweit der Schutz dies zulässt?</w:t>
      </w:r>
    </w:p>
    <w:p>
      <w:pPr>
        <w:ind w:left="187" w:hanging="187"/>
      </w:pPr>
      <w:r>
        <w:rPr>
          <w:b w:val="0"/>
        </w:rPr>
        <w:t>3. Welche konkreten Hilfen oder Schutzmaßnahmen sind erforderlich und wann wird erneut geprüft?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1-8a-sgb-viii-kindeswohlgefahrdung-prufweg-des-jugendamts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des Schutzverfahrens</dc:title>
  <dc:subject>§ 8a SGB VIII – Anfrage</dc:subject>
  <dc:creator>Systemfehler Familie</dc:creator>
  <cp:keywords>Elternrechte, Vorlage 21, § 8a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