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bei Trennung und Umgangsfragen</w:t>
      </w:r>
    </w:p>
    <w:p>
      <w:r>
        <w:rPr>
          <w:b w:val="0"/>
          <w:sz w:val="18"/>
        </w:rPr>
        <w:t>Vorlage 25 · §§ 16 bis 18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§§ 16 bis 18 SGB VIII enthalten unterschiedliche Angebote und Anspruchsvoraussetzungen. Beratung garantiert kein bestimmtes Umgangsergebnis und ändert keinen Gerichtsbeschluss.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bei Trennung und Umgangsfragen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Beratung und Unterstützung bei der folgenden familiären Situation und um Benennung eines geeigneten Angebots.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Situation und konkrete Belastung des Kindes: [Angaben].</w:t>
      </w:r>
    </w:p>
    <w:p>
      <w:pPr>
        <w:ind w:left="187" w:hanging="187"/>
      </w:pPr>
      <w:r>
        <w:rPr>
          <w:b w:val="0"/>
        </w:rPr>
        <w:t>2. Unterstützungsbedarf, etwa Trennungsberatung oder Hilfe bei Umgangskontakten: [Angaben].</w:t>
      </w:r>
    </w:p>
    <w:p>
      <w:pPr>
        <w:ind w:left="187" w:hanging="187"/>
      </w:pPr>
      <w:r>
        <w:rPr>
          <w:b w:val="0"/>
        </w:rPr>
        <w:t>3. Bestehende Regelungen, Schutzbedürfnisse und mögliche sichere Termine: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5-16-bis-18-sgb-viii-familienforderung-trennungsberatung-sorge-und-umga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bei Trennung und Umgangsfragen</dc:title>
  <dc:subject>§§ 16 bis 18 SGB VIII – Anfrage</dc:subject>
  <dc:creator>Systemfehler Familie</dc:creator>
  <cp:keywords>Elternrechte, Vorlage 25, §§ 16 bis 18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