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einer Auskunftsanforderung</w:t>
      </w:r>
    </w:p>
    <w:p>
      <w:r>
        <w:rPr>
          <w:b w:val="0"/>
          <w:sz w:val="18"/>
        </w:rPr>
        <w:t>Vorlage 45 · § 97a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Eine Rückfrage setzt eine Auskunftsfrist nicht automatisch aus. Gesetzliche Mitwirkungspflichten bestehen nur im jeweiligen Umfang; sensible Unterlagen über einen geeigneten sicheren Weg übermitteln.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Kostenbeitragsstelle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einer Auskunftsanforderung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zu Ihrer Auskunftsanforderung vom [Datum] bitte ich um Klärung der folgenden Punkte. Verfügbare erforderliche Unterlagen füge ich bei oder reiche sie wie angegeben nach.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Person, welcher Zeitraum und welche Beitragsprüfung sind betroffen?</w:t>
      </w:r>
    </w:p>
    <w:p>
      <w:pPr>
        <w:ind w:left="187" w:hanging="187"/>
      </w:pPr>
      <w:r>
        <w:rPr>
          <w:b w:val="0"/>
        </w:rPr>
        <w:t>2. Welche konkreten Unterlagen sind erforderlich und auf welche Grundlage wird die Anforderung gestützt?</w:t>
      </w:r>
    </w:p>
    <w:p>
      <w:pPr>
        <w:ind w:left="187" w:hanging="187"/>
      </w:pPr>
      <w:r>
        <w:rPr>
          <w:b w:val="0"/>
        </w:rPr>
        <w:t>3. Noch fehlende Unterlagen und erbetene Fristverlängerung mit Grund: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5-97a-sgb-viii-auskunftspflichten-bei-kostenbeitrag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einer Auskunftsanforderung</dc:title>
  <dc:subject>§ 97a SGB VIII – Anfrage</dc:subject>
  <dc:creator>Systemfehler Familie</dc:creator>
  <cp:keywords>Elternrechte, Vorlage 45, § 97a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