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einer Kinderschutzmitteilung</w:t>
      </w:r>
    </w:p>
    <w:p>
      <w:r>
        <w:rPr>
          <w:b w:val="0"/>
          <w:sz w:val="18"/>
        </w:rPr>
        <w:t>Vorlage 46 · § 4 KKG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4 KKG hat bestimmte Berufsgruppen und Voraussetzungen. Elterninformation kann aus Schutzgründen unterbleiben; Dringlichkeit kann sofortige Mitteilung verlangen. Die Anfrage schafft kein Recht auf geschützte Drittinformationen.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mitteilende Fachstelle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einer Kinderschutzmitteilung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Erläuterung des Vorgehens bei der Mitteilung vom [Datum] an das Jugendamt, soweit die Information rechtlich zulässig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Anlass, mitgeteilte Tatsachen und Empfänger: [bekannte Angaben].</w:t>
      </w:r>
    </w:p>
    <w:p>
      <w:pPr>
        <w:ind w:left="187" w:hanging="187"/>
      </w:pPr>
      <w:r>
        <w:rPr>
          <w:b w:val="0"/>
        </w:rPr>
        <w:t>2. Welche Beratung und Beteiligung war vorgesehen beziehungsweise erfolgte?</w:t>
      </w:r>
    </w:p>
    <w:p>
      <w:pPr>
        <w:ind w:left="187" w:hanging="187"/>
      </w:pPr>
      <w:r>
        <w:rPr>
          <w:b w:val="0"/>
        </w:rPr>
        <w:t>3. Welche Umstände standen gegebenenfalls einer vorherigen Information entgegen?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kkg/" TargetMode="External"/><Relationship Id="rId10" Type="http://schemas.openxmlformats.org/officeDocument/2006/relationships/hyperlink" Target="https://systemfehlerfamilie.de/rechte-fuer-eltern/46-4-kkg-mitteilungen-von-berufsgeheimnistragern-bei-kindeswohlgefahrd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einer Kinderschutzmitteilung</dc:title>
  <dc:subject>§ 4 KKG – Anfrage</dc:subject>
  <dc:creator>Systemfehler Familie</dc:creator>
  <cp:keywords>Elternrechte, Vorlage 46, § 4 KKG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