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Herausgabe und Verbleib</w:t>
      </w:r>
    </w:p>
    <w:p>
      <w:r>
        <w:rPr>
          <w:b w:val="0"/>
          <w:sz w:val="18"/>
        </w:rPr>
        <w:t>Vorlage 50 · § 1632 BGB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1632 Abs. 4 BGB betrifft Verbleibensanordnungen. Ein eigenes Umgangsrecht von Pflegepersonen kann sich gegebenenfalls aus § 1685 Abs. 2 ergeben. Diese Anfrage ist kein vollstreckbarer Herausgabeantrag.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Herausgabe und Verbleib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welcher Antrag zur Herausgabe, Umgangsbestimmung oder zum Verbleib meines Kindes rechtlich möglich und kindeswohlgerecht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Sorgerechtslage, bestehende Beschlüsse und aktueller Aufenthalt: [Angaben].</w:t>
      </w:r>
    </w:p>
    <w:p>
      <w:pPr>
        <w:ind w:left="187" w:hanging="187"/>
      </w:pPr>
      <w:r>
        <w:rPr>
          <w:b w:val="0"/>
        </w:rPr>
        <w:t>2. Beziehungen des Kindes und Dauer einer Pflegeunterbringung: [Angaben].</w:t>
      </w:r>
    </w:p>
    <w:p>
      <w:pPr>
        <w:ind w:left="187" w:hanging="187"/>
      </w:pPr>
      <w:r>
        <w:rPr>
          <w:b w:val="0"/>
        </w:rPr>
        <w:t>3. Gewünschtes Ziel und seit der letzten Entscheidung veränderte Umstände: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50-1632-bgb-herausgabe-des-kindes-und-umgang-mit-pflegeperson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Herausgabe und Verbleib</dc:title>
  <dc:subject>§ 1632 BGB – Beratungsanfrage</dc:subject>
  <dc:creator>Systemfehler Familie</dc:creator>
  <cp:keywords>Elternrechte, Vorlage 50, § 1632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