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 einer gerichtlichen Schutzmaßnahme</w:t>
      </w:r>
    </w:p>
    <w:p>
      <w:r>
        <w:rPr>
          <w:b w:val="0"/>
          <w:sz w:val="18"/>
        </w:rPr>
        <w:t>Vorlage 51 · §§ 1666 und 1666a BGB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Eine Maßnahme nach §§ 1666, 1666a BGB setzt die gesetzlichen Voraussetzungen voraus. Diese Anfrage ist keine Beschwerde und hemmt weder Wirksamkeit noch Vollstreckung eines Beschlusses.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 einer gerichtlichen Schutzmaßnahme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 der folgenden familiengerichtlichen Schutzmaßnahme, ihrer Tatsachengrundlage und geeigneter weniger eingreifender Möglichkeiten.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Beschluss oder Anhörung mit Datum und Zugang: [Angaben].</w:t>
      </w:r>
    </w:p>
    <w:p>
      <w:pPr>
        <w:ind w:left="187" w:hanging="187"/>
      </w:pPr>
      <w:r>
        <w:rPr>
          <w:b w:val="0"/>
        </w:rPr>
        <w:t>2. Konkrete benannte Gefahr und meine belegte Stellungnahme dazu: [Angaben].</w:t>
      </w:r>
    </w:p>
    <w:p>
      <w:pPr>
        <w:ind w:left="187" w:hanging="187"/>
      </w:pPr>
      <w:r>
        <w:rPr>
          <w:b w:val="0"/>
        </w:rPr>
        <w:t>3. Geeignete Hilfen, bisherige Ergebnisse und verbleibender Schutzbedarf: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51-1666-und-1666a-bgb-gerichtliche-manahmen-bei-kindeswohlgefahrdung-und-verhaltnismaigk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 einer gerichtlichen Schutzmaßnahme</dc:title>
  <dc:subject>§§ 1666 und 1666a BGB – Beratungsanfrage</dc:subject>
  <dc:creator>Systemfehler Familie</dc:creator>
  <cp:keywords>Elternrechte, Vorlage 51, §§ 1666 und 1666a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