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Aktenzugang und Tatsachenklärung im Familienverfahren</w:t>
      </w:r>
    </w:p>
    <w:p>
      <w:r>
        <w:rPr>
          <w:b w:val="0"/>
          <w:sz w:val="18"/>
        </w:rPr>
        <w:t>Vorlage 55 · §§ 7, 13, 26 und 29 FamFG · Verfahrensanfrage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13 FamFG unterscheidet Beteiligte und Dritte; schwerwiegende entgegenstehende Interessen können Grenzen setzen. Die Anfrage ersetzt keine förmliche Beschwerde gegen eine Ablehnung.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Familiengericht im laufenden Verfahren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Aktenzugang und Tatsachenklärung im Familienverfahren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als [Beteiligte oder Beteiligter / Person mit geltend gemachtem berechtigtem Interesse] bitte ich um Prüfung des Aktenzugangs und Berücksichtigung des folgenden Sachvortrags.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Gewünschte Aktenbestandteile; bei Dritten berechtigtes Interesse mit Nachweis: [Angaben].</w:t>
      </w:r>
    </w:p>
    <w:p>
      <w:pPr>
        <w:ind w:left="187" w:hanging="187"/>
      </w:pPr>
      <w:r>
        <w:rPr>
          <w:b w:val="0"/>
        </w:rPr>
        <w:t>2. Konkrete entscheidungserhebliche Tatsache und zugehöriger Beleg: [Angaben].</w:t>
      </w:r>
    </w:p>
    <w:p>
      <w:pPr>
        <w:ind w:left="187" w:hanging="187"/>
      </w:pPr>
      <w:r>
        <w:rPr>
          <w:b w:val="0"/>
        </w:rPr>
        <w:t>3. Noch fehlende Unterlagen und erbetene Äußerungsmöglichkeit: [Angaben].</w:t>
      </w:r>
    </w:p>
    <w:p>
      <w:r>
        <w:rPr>
          <w:b w:val="0"/>
        </w:rPr>
        <w:t>Bitte nehmen Sie dieses Schreiben zur Verfahrensakte und teilen Sie mir mit, wie die genannten Punkte im weiteren Verfahren berücksichtigt werden können.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55-7-13-26-und-29-famfg-beteiligte-akteneinsicht-amtsermittlung-und-beweis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Aktenzugang und Tatsachenklärung im Familienverfahren</dc:title>
  <dc:subject>§§ 7, 13, 26 und 29 FamFG – Verfahrensanfrage</dc:subject>
  <dc:creator>Systemfehler Familie</dc:creator>
  <cp:keywords>Elternrechte, Vorlage 55, §§ 7, 13, 26 und 29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