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Durchsetzung oder Anpassung einer Regelung</w:t>
      </w:r>
    </w:p>
    <w:p>
      <w:r>
        <w:rPr>
          <w:b w:val="0"/>
          <w:sz w:val="18"/>
        </w:rPr>
        <w:t>Vorlage 60 · §§ 165, 166, 89 und 90 FamFG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Vollstreckung setzt einen geeigneten Titel und weitere Voraussetzungen voraus. Keine eigenmächtige Durchsetzung; unmittelbarer Zwang gegen ein Kind zur Durchführung von Umgang ist unzulässig. Dies ist kein Vollstreckungsantrag.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Durchsetzung oder Anpassung einer Regelung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ob Vermittlung, gerichtliche Überprüfung oder Vollstreckung im folgenden Fall der passende Weg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Vollständiger Titel, Zustellung und gegebenenfalls Ordnungsmittelhinweis: [Angaben].</w:t>
      </w:r>
    </w:p>
    <w:p>
      <w:pPr>
        <w:ind w:left="187" w:hanging="187"/>
      </w:pPr>
      <w:r>
        <w:rPr>
          <w:b w:val="0"/>
        </w:rPr>
        <w:t>2. Konkrete ausgefallene Termine oder Verstöße mit Datum: [Angaben].</w:t>
      </w:r>
    </w:p>
    <w:p>
      <w:pPr>
        <w:ind w:left="187" w:hanging="187"/>
      </w:pPr>
      <w:r>
        <w:rPr>
          <w:b w:val="0"/>
        </w:rPr>
        <w:t>3. Gründe, Sicherheitsfragen und Veränderungen seit der Regelung: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famfg/" TargetMode="External"/><Relationship Id="rId10" Type="http://schemas.openxmlformats.org/officeDocument/2006/relationships/hyperlink" Target="https://systemfehlerfamilie.de/rechte-fuer-eltern/60-165-166-89-und-90-famfg-vermittlung-abanderung-und-vollstreckung-in-kindschaftssach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Durchsetzung oder Anpassung einer Regelung</dc:title>
  <dc:subject>§§ 165, 166, 89 und 90 FamFG – Beratungsanfrage</dc:subject>
  <dc:creator>Systemfehler Familie</dc:creator>
  <cp:keywords>Elternrechte, Vorlage 60, §§ 165, 166, 89 und 90 FamFG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