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80" w:before="0" w:line="264" w:lineRule="auto"/>
        <w:ind w:left="-220" w:right="-220" w:firstLine="0"/>
        <w:rPr>
          <w:rFonts w:ascii="Verdana" w:cs="Verdana" w:eastAsia="Verdana" w:hAnsi="Verdana"/>
          <w:color w:val="333333"/>
          <w:sz w:val="90"/>
          <w:szCs w:val="90"/>
        </w:rPr>
      </w:pPr>
      <w:bookmarkStart w:colFirst="0" w:colLast="0" w:name="_p96qobra4w6i" w:id="0"/>
      <w:bookmarkEnd w:id="0"/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O guia do </w:t>
      </w:r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mochileiro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das </w:t>
      </w:r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galáxias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/ Douglas Adams ; [tradução: Paulo Fernando Henriques Britto e Carlos Irineu da Costa].</w:t>
      </w:r>
    </w:p>
    <w:p w:rsidR="00000000" w:rsidDel="00000000" w:rsidP="00000000" w:rsidRDefault="00000000" w:rsidRPr="00000000" w14:paraId="00000002">
      <w:pPr>
        <w:shd w:fill="ffffff" w:val="clear"/>
        <w:spacing w:after="460" w:lineRule="auto"/>
        <w:ind w:left="-220" w:right="-220" w:firstLine="0"/>
        <w:rPr>
          <w:rFonts w:ascii="Verdana" w:cs="Verdana" w:eastAsia="Verdana" w:hAnsi="Verdana"/>
          <w:color w:val="433e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3e33"/>
          <w:sz w:val="21"/>
          <w:szCs w:val="21"/>
          <w:rtl w:val="0"/>
        </w:rPr>
        <w:t xml:space="preserve">Adams, Douglas, 1952-2001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Material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Livro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Idioma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Português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ISBN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9788599296578 (broch.)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Classificação Dewey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823 (Edição 22)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Localização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Obras Gerais - ANEXO II-915,2,09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Título uniforme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[The hitchhiker's guide to the galaxy]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Publicação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Rio de Janeiro : Sextante, 2009.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Descrição física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204p. ; 21cm.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Série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(O mochileiro das galáxias ; v.1)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Nota geral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Tradução de: The hitchhiker's guide to the galaxy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Notas locais 5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BNB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