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C1" w:rsidRDefault="004255C1" w:rsidP="004255C1">
      <w:pPr>
        <w:pStyle w:val="NormalWeb"/>
        <w:jc w:val="center"/>
        <w:rPr>
          <w:b/>
          <w:bCs/>
          <w:sz w:val="36"/>
          <w:szCs w:val="36"/>
        </w:rPr>
      </w:pPr>
      <w:bookmarkStart w:id="0" w:name="_GoBack"/>
      <w:bookmarkEnd w:id="0"/>
    </w:p>
    <w:p w:rsidR="004255C1" w:rsidRDefault="00454134" w:rsidP="004255C1">
      <w:pPr>
        <w:pStyle w:val="NormalWeb"/>
        <w:jc w:val="center"/>
        <w:rPr>
          <w:b/>
          <w:bCs/>
          <w:sz w:val="36"/>
          <w:szCs w:val="36"/>
        </w:rPr>
      </w:pPr>
      <w:r>
        <w:rPr>
          <w:b/>
          <w:bCs/>
          <w:noProof/>
          <w:sz w:val="20"/>
          <w:szCs w:val="36"/>
        </w:rPr>
        <mc:AlternateContent>
          <mc:Choice Requires="wps">
            <w:drawing>
              <wp:anchor distT="0" distB="0" distL="114300" distR="114300" simplePos="0" relativeHeight="251657216" behindDoc="0" locked="0" layoutInCell="1" allowOverlap="1">
                <wp:simplePos x="0" y="0"/>
                <wp:positionH relativeFrom="column">
                  <wp:posOffset>33020</wp:posOffset>
                </wp:positionH>
                <wp:positionV relativeFrom="paragraph">
                  <wp:posOffset>20955</wp:posOffset>
                </wp:positionV>
                <wp:extent cx="6422390" cy="0"/>
                <wp:effectExtent l="46355" t="41275" r="46355" b="444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239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2843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1.65pt" to="508.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lXGQIAADQEAAAOAAAAZHJzL2Uyb0RvYy54bWysU02P2jAQvVfqf7B8h3yQsh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" strokeweight="6pt">
                <v:stroke linestyle="thickBetweenThin"/>
              </v:line>
            </w:pict>
          </mc:Fallback>
        </mc:AlternateContent>
      </w:r>
    </w:p>
    <w:p w:rsidR="004255C1" w:rsidRDefault="004255C1" w:rsidP="004255C1">
      <w:pPr>
        <w:pStyle w:val="NormalWeb"/>
        <w:jc w:val="center"/>
        <w:rPr>
          <w:b/>
          <w:bCs/>
          <w:sz w:val="36"/>
          <w:szCs w:val="36"/>
        </w:rPr>
      </w:pPr>
    </w:p>
    <w:p w:rsidR="004255C1" w:rsidRPr="00127B01" w:rsidRDefault="00454134" w:rsidP="004255C1">
      <w:pPr>
        <w:pStyle w:val="NormalWeb"/>
        <w:jc w:val="center"/>
        <w:rPr>
          <w:rFonts w:ascii="Arial" w:hAnsi="Arial" w:cs="Arial"/>
          <w:b/>
          <w:bCs/>
          <w:sz w:val="36"/>
          <w:szCs w:val="36"/>
        </w:rPr>
      </w:pPr>
      <w:r>
        <w:rPr>
          <w:rFonts w:cs="Arial"/>
          <w:b/>
          <w:noProof/>
          <w:color w:val="000000"/>
          <w:sz w:val="40"/>
          <w:szCs w:val="40"/>
        </w:rPr>
        <w:drawing>
          <wp:inline distT="0" distB="0" distL="0" distR="0">
            <wp:extent cx="2286000" cy="1173480"/>
            <wp:effectExtent l="0" t="0" r="0" b="0"/>
            <wp:docPr id="1" name="Picture 1" descr="OIS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S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173480"/>
                    </a:xfrm>
                    <a:prstGeom prst="rect">
                      <a:avLst/>
                    </a:prstGeom>
                    <a:noFill/>
                    <a:ln>
                      <a:noFill/>
                    </a:ln>
                  </pic:spPr>
                </pic:pic>
              </a:graphicData>
            </a:graphic>
          </wp:inline>
        </w:drawing>
      </w:r>
    </w:p>
    <w:p w:rsidR="00183319" w:rsidRDefault="00183319" w:rsidP="004255C1">
      <w:pPr>
        <w:pStyle w:val="NormalWeb"/>
        <w:jc w:val="center"/>
        <w:outlineLvl w:val="0"/>
        <w:rPr>
          <w:rFonts w:ascii="Arial" w:hAnsi="Arial" w:cs="Arial"/>
          <w:b/>
          <w:bCs/>
          <w:sz w:val="52"/>
          <w:szCs w:val="36"/>
        </w:rPr>
      </w:pPr>
    </w:p>
    <w:p w:rsidR="004255C1" w:rsidRDefault="004255C1" w:rsidP="004255C1">
      <w:pPr>
        <w:pStyle w:val="NormalWeb"/>
        <w:jc w:val="center"/>
        <w:outlineLvl w:val="0"/>
        <w:rPr>
          <w:rFonts w:ascii="Arial" w:hAnsi="Arial" w:cs="Arial"/>
          <w:b/>
          <w:bCs/>
          <w:sz w:val="52"/>
          <w:szCs w:val="36"/>
        </w:rPr>
      </w:pPr>
      <w:r w:rsidRPr="00127B01">
        <w:rPr>
          <w:rFonts w:ascii="Arial" w:hAnsi="Arial" w:cs="Arial"/>
          <w:b/>
          <w:bCs/>
          <w:sz w:val="52"/>
          <w:szCs w:val="36"/>
        </w:rPr>
        <w:t xml:space="preserve">Information Security </w:t>
      </w:r>
    </w:p>
    <w:p w:rsidR="004255C1" w:rsidRPr="00127B01" w:rsidRDefault="004255C1" w:rsidP="004255C1">
      <w:pPr>
        <w:pStyle w:val="NormalWeb"/>
        <w:jc w:val="center"/>
        <w:rPr>
          <w:rFonts w:ascii="Arial" w:hAnsi="Arial" w:cs="Arial"/>
          <w:b/>
          <w:bCs/>
          <w:sz w:val="52"/>
          <w:szCs w:val="36"/>
        </w:rPr>
      </w:pPr>
      <w:r w:rsidRPr="00127B01">
        <w:rPr>
          <w:rFonts w:ascii="Arial" w:hAnsi="Arial" w:cs="Arial"/>
          <w:b/>
          <w:bCs/>
          <w:sz w:val="52"/>
          <w:szCs w:val="36"/>
        </w:rPr>
        <w:t>Risk Assessment Checklist</w:t>
      </w:r>
    </w:p>
    <w:p w:rsidR="004255C1" w:rsidRPr="00127B01" w:rsidRDefault="004255C1" w:rsidP="004255C1">
      <w:pPr>
        <w:jc w:val="center"/>
        <w:rPr>
          <w:b/>
          <w:sz w:val="36"/>
          <w:szCs w:val="36"/>
        </w:rPr>
      </w:pPr>
      <w:r w:rsidRPr="00127B01">
        <w:rPr>
          <w:b/>
          <w:sz w:val="36"/>
          <w:szCs w:val="36"/>
        </w:rPr>
        <w:t xml:space="preserve">A </w:t>
      </w:r>
      <w:r>
        <w:rPr>
          <w:b/>
          <w:sz w:val="36"/>
          <w:szCs w:val="36"/>
        </w:rPr>
        <w:t xml:space="preserve">High-Level </w:t>
      </w:r>
      <w:r w:rsidRPr="00127B01">
        <w:rPr>
          <w:b/>
          <w:sz w:val="36"/>
          <w:szCs w:val="36"/>
        </w:rPr>
        <w:t xml:space="preserve">Tool to Assist </w:t>
      </w:r>
      <w:r>
        <w:rPr>
          <w:b/>
          <w:sz w:val="36"/>
          <w:szCs w:val="36"/>
        </w:rPr>
        <w:t xml:space="preserve">State Agencies </w:t>
      </w:r>
      <w:r w:rsidR="00CE0A38">
        <w:rPr>
          <w:b/>
          <w:sz w:val="36"/>
          <w:szCs w:val="36"/>
        </w:rPr>
        <w:br/>
      </w:r>
      <w:r w:rsidRPr="00127B01">
        <w:rPr>
          <w:b/>
          <w:sz w:val="36"/>
          <w:szCs w:val="36"/>
        </w:rPr>
        <w:t>with Risk Analysis</w:t>
      </w:r>
    </w:p>
    <w:p w:rsidR="004255C1" w:rsidRDefault="004255C1" w:rsidP="004255C1">
      <w:pPr>
        <w:pStyle w:val="NormalWeb"/>
        <w:jc w:val="center"/>
        <w:rPr>
          <w:rFonts w:ascii="Arial" w:hAnsi="Arial" w:cs="Arial"/>
          <w:b/>
          <w:bCs/>
          <w:sz w:val="52"/>
          <w:szCs w:val="36"/>
        </w:rPr>
      </w:pPr>
    </w:p>
    <w:p w:rsidR="00183319" w:rsidRPr="00127B01" w:rsidRDefault="00183319" w:rsidP="004255C1">
      <w:pPr>
        <w:pStyle w:val="NormalWeb"/>
        <w:jc w:val="center"/>
        <w:rPr>
          <w:rFonts w:ascii="Arial" w:hAnsi="Arial" w:cs="Arial"/>
          <w:b/>
          <w:bCs/>
          <w:sz w:val="52"/>
          <w:szCs w:val="36"/>
        </w:rPr>
      </w:pPr>
    </w:p>
    <w:p w:rsidR="004255C1" w:rsidRPr="00127B01" w:rsidRDefault="00042A4A" w:rsidP="004255C1">
      <w:pPr>
        <w:pStyle w:val="NormalWeb"/>
        <w:jc w:val="center"/>
        <w:outlineLvl w:val="0"/>
        <w:rPr>
          <w:rFonts w:ascii="Arial" w:hAnsi="Arial" w:cs="Arial"/>
          <w:bCs/>
          <w:sz w:val="28"/>
          <w:szCs w:val="28"/>
        </w:rPr>
      </w:pPr>
      <w:r>
        <w:rPr>
          <w:rFonts w:ascii="Arial" w:hAnsi="Arial" w:cs="Arial"/>
          <w:bCs/>
          <w:sz w:val="28"/>
          <w:szCs w:val="28"/>
        </w:rPr>
        <w:t xml:space="preserve">November </w:t>
      </w:r>
      <w:r w:rsidR="004255C1">
        <w:rPr>
          <w:rFonts w:ascii="Arial" w:hAnsi="Arial" w:cs="Arial"/>
          <w:bCs/>
          <w:sz w:val="28"/>
          <w:szCs w:val="28"/>
        </w:rPr>
        <w:t>200</w:t>
      </w:r>
      <w:r w:rsidR="00316A0E">
        <w:rPr>
          <w:rFonts w:ascii="Arial" w:hAnsi="Arial" w:cs="Arial"/>
          <w:bCs/>
          <w:sz w:val="28"/>
          <w:szCs w:val="28"/>
        </w:rPr>
        <w:t>9</w:t>
      </w:r>
    </w:p>
    <w:p w:rsidR="004255C1" w:rsidRDefault="004255C1" w:rsidP="00183319">
      <w:pPr>
        <w:pStyle w:val="NormalWeb"/>
        <w:rPr>
          <w:b/>
          <w:bCs/>
          <w:sz w:val="36"/>
          <w:szCs w:val="36"/>
        </w:rPr>
      </w:pPr>
    </w:p>
    <w:p w:rsidR="004255C1" w:rsidRDefault="004255C1" w:rsidP="004255C1">
      <w:pPr>
        <w:pStyle w:val="NormalWeb"/>
        <w:jc w:val="center"/>
        <w:rPr>
          <w:b/>
          <w:bCs/>
          <w:sz w:val="36"/>
          <w:szCs w:val="36"/>
        </w:rPr>
      </w:pPr>
    </w:p>
    <w:p w:rsidR="004255C1" w:rsidRDefault="00454134" w:rsidP="004255C1">
      <w:pPr>
        <w:pStyle w:val="NormalWeb"/>
        <w:jc w:val="center"/>
        <w:rPr>
          <w:b/>
          <w:bCs/>
          <w:sz w:val="28"/>
          <w:szCs w:val="36"/>
        </w:rPr>
      </w:pPr>
      <w:r>
        <w:rPr>
          <w:b/>
          <w:bCs/>
          <w:noProof/>
          <w:sz w:val="36"/>
          <w:szCs w:val="36"/>
        </w:rPr>
        <mc:AlternateContent>
          <mc:Choice Requires="wps">
            <w:drawing>
              <wp:anchor distT="0" distB="0" distL="114300" distR="114300" simplePos="0" relativeHeight="251658240" behindDoc="0" locked="0" layoutInCell="1" allowOverlap="1">
                <wp:simplePos x="0" y="0"/>
                <wp:positionH relativeFrom="column">
                  <wp:posOffset>33020</wp:posOffset>
                </wp:positionH>
                <wp:positionV relativeFrom="paragraph">
                  <wp:posOffset>32385</wp:posOffset>
                </wp:positionV>
                <wp:extent cx="6422390" cy="0"/>
                <wp:effectExtent l="46355" t="41910" r="46355" b="438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239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FC983"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2.55pt" to="508.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TqGQIAADQEAAAOAAAAZHJzL2Uyb0RvYy54bWysU02P2jAQvVfqf7B8h3yQsh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" strokeweight="6pt">
                <v:stroke linestyle="thickBetweenThin"/>
              </v:line>
            </w:pict>
          </mc:Fallback>
        </mc:AlternateContent>
      </w:r>
    </w:p>
    <w:p w:rsidR="004255C1" w:rsidRPr="00183319" w:rsidRDefault="00183319" w:rsidP="00183319">
      <w:pPr>
        <w:pStyle w:val="NormalWeb"/>
        <w:jc w:val="center"/>
        <w:rPr>
          <w:rFonts w:ascii="Arial" w:hAnsi="Arial" w:cs="Arial"/>
          <w:b/>
        </w:rPr>
      </w:pPr>
      <w:r>
        <w:rPr>
          <w:b/>
          <w:bCs/>
          <w:sz w:val="28"/>
          <w:szCs w:val="36"/>
        </w:rPr>
        <w:br w:type="page"/>
      </w:r>
      <w:r w:rsidR="004255C1" w:rsidRPr="00183319">
        <w:rPr>
          <w:rFonts w:ascii="Arial" w:hAnsi="Arial" w:cs="Arial"/>
          <w:b/>
        </w:rPr>
        <w:lastRenderedPageBreak/>
        <w:t>Introduction</w:t>
      </w:r>
    </w:p>
    <w:p w:rsidR="004255C1" w:rsidRPr="00AE2DCA" w:rsidRDefault="004255C1" w:rsidP="004255C1">
      <w:pPr>
        <w:autoSpaceDE w:val="0"/>
        <w:autoSpaceDN w:val="0"/>
        <w:adjustRightInd w:val="0"/>
      </w:pPr>
    </w:p>
    <w:p w:rsidR="004255C1" w:rsidRDefault="004255C1" w:rsidP="004255C1">
      <w:pPr>
        <w:autoSpaceDE w:val="0"/>
        <w:autoSpaceDN w:val="0"/>
        <w:adjustRightInd w:val="0"/>
        <w:rPr>
          <w:sz w:val="24"/>
          <w:szCs w:val="24"/>
        </w:rPr>
      </w:pPr>
      <w:r w:rsidRPr="00BE62D4">
        <w:rPr>
          <w:sz w:val="24"/>
          <w:szCs w:val="24"/>
        </w:rPr>
        <w:t xml:space="preserve">Information security is a critical issue for state agencies.  </w:t>
      </w:r>
      <w:r>
        <w:rPr>
          <w:sz w:val="24"/>
          <w:szCs w:val="24"/>
        </w:rPr>
        <w:t>Increased access to government information and services has been realized a</w:t>
      </w:r>
      <w:r w:rsidRPr="00BE62D4">
        <w:rPr>
          <w:sz w:val="24"/>
          <w:szCs w:val="24"/>
        </w:rPr>
        <w:t>s the state increasingly moves its core activities to the Internet</w:t>
      </w:r>
      <w:r>
        <w:rPr>
          <w:sz w:val="24"/>
          <w:szCs w:val="24"/>
        </w:rPr>
        <w:t>.  However, a</w:t>
      </w:r>
      <w:r w:rsidRPr="00BE62D4">
        <w:rPr>
          <w:sz w:val="24"/>
          <w:szCs w:val="24"/>
        </w:rPr>
        <w:t xml:space="preserve">s more information and services become </w:t>
      </w:r>
      <w:r>
        <w:rPr>
          <w:sz w:val="24"/>
          <w:szCs w:val="24"/>
        </w:rPr>
        <w:t xml:space="preserve">available and </w:t>
      </w:r>
      <w:r w:rsidRPr="00BE62D4">
        <w:rPr>
          <w:sz w:val="24"/>
          <w:szCs w:val="24"/>
        </w:rPr>
        <w:t xml:space="preserve">dependent </w:t>
      </w:r>
      <w:r>
        <w:rPr>
          <w:sz w:val="24"/>
          <w:szCs w:val="24"/>
        </w:rPr>
        <w:t xml:space="preserve">on Internet-based technology </w:t>
      </w:r>
      <w:r w:rsidRPr="00BE62D4">
        <w:rPr>
          <w:sz w:val="24"/>
          <w:szCs w:val="24"/>
        </w:rPr>
        <w:t xml:space="preserve">the risk of </w:t>
      </w:r>
      <w:r>
        <w:rPr>
          <w:sz w:val="24"/>
          <w:szCs w:val="24"/>
        </w:rPr>
        <w:t xml:space="preserve">potential </w:t>
      </w:r>
      <w:r w:rsidRPr="00BE62D4">
        <w:rPr>
          <w:sz w:val="24"/>
          <w:szCs w:val="24"/>
        </w:rPr>
        <w:t>liability, cost, and national repercussions</w:t>
      </w:r>
      <w:r>
        <w:rPr>
          <w:sz w:val="24"/>
          <w:szCs w:val="24"/>
        </w:rPr>
        <w:t xml:space="preserve"> increases as well.</w:t>
      </w:r>
      <w:r w:rsidRPr="00BE62D4">
        <w:rPr>
          <w:sz w:val="24"/>
          <w:szCs w:val="24"/>
        </w:rPr>
        <w:t xml:space="preserve">  State agencies play a unique role as the managers </w:t>
      </w:r>
      <w:r>
        <w:rPr>
          <w:sz w:val="24"/>
          <w:szCs w:val="24"/>
        </w:rPr>
        <w:t xml:space="preserve">and caretakers </w:t>
      </w:r>
      <w:r w:rsidRPr="00BE62D4">
        <w:rPr>
          <w:sz w:val="24"/>
          <w:szCs w:val="24"/>
        </w:rPr>
        <w:t>of some of the largest collections of critical systems, applications, and databases</w:t>
      </w:r>
      <w:r>
        <w:rPr>
          <w:sz w:val="24"/>
          <w:szCs w:val="24"/>
        </w:rPr>
        <w:t>.  These systems, applications, and databases often house information which is subject to strict controls and protections by law</w:t>
      </w:r>
      <w:r w:rsidRPr="00BE62D4">
        <w:rPr>
          <w:sz w:val="24"/>
          <w:szCs w:val="24"/>
        </w:rPr>
        <w:t>, including the data collected, stored, shared, and transmitted that was once very difficult to obtain</w:t>
      </w:r>
      <w:r w:rsidRPr="00791A7B">
        <w:rPr>
          <w:sz w:val="24"/>
          <w:szCs w:val="24"/>
        </w:rPr>
        <w:t xml:space="preserve">.  </w:t>
      </w:r>
      <w:r w:rsidRPr="00BE62D4">
        <w:rPr>
          <w:sz w:val="24"/>
          <w:szCs w:val="24"/>
        </w:rPr>
        <w:t xml:space="preserve">Risk assessment tools, like this one, can assist an agency in determining the gaps in its information security program and provide guidance and direction </w:t>
      </w:r>
      <w:r>
        <w:rPr>
          <w:sz w:val="24"/>
          <w:szCs w:val="24"/>
        </w:rPr>
        <w:t>for improvement.</w:t>
      </w:r>
    </w:p>
    <w:p w:rsidR="004255C1" w:rsidRDefault="004255C1" w:rsidP="004255C1">
      <w:pPr>
        <w:autoSpaceDE w:val="0"/>
        <w:autoSpaceDN w:val="0"/>
        <w:adjustRightInd w:val="0"/>
        <w:rPr>
          <w:sz w:val="24"/>
          <w:szCs w:val="24"/>
        </w:rPr>
      </w:pPr>
    </w:p>
    <w:p w:rsidR="004255C1" w:rsidRDefault="00183319" w:rsidP="004255C1">
      <w:pPr>
        <w:autoSpaceDE w:val="0"/>
        <w:autoSpaceDN w:val="0"/>
        <w:adjustRightInd w:val="0"/>
        <w:rPr>
          <w:sz w:val="20"/>
          <w:szCs w:val="20"/>
        </w:rPr>
      </w:pPr>
      <w:r w:rsidRPr="003B4999">
        <w:rPr>
          <w:sz w:val="24"/>
          <w:szCs w:val="24"/>
        </w:rPr>
        <w:t xml:space="preserve">State Administrative Manual </w:t>
      </w:r>
      <w:r w:rsidR="009A3F81">
        <w:rPr>
          <w:sz w:val="24"/>
          <w:szCs w:val="24"/>
        </w:rPr>
        <w:t>(</w:t>
      </w:r>
      <w:r w:rsidR="004255C1" w:rsidRPr="00791A7B">
        <w:rPr>
          <w:sz w:val="24"/>
          <w:szCs w:val="24"/>
        </w:rPr>
        <w:t>SAM</w:t>
      </w:r>
      <w:r w:rsidR="009A3F81">
        <w:rPr>
          <w:sz w:val="24"/>
          <w:szCs w:val="24"/>
        </w:rPr>
        <w:t>)</w:t>
      </w:r>
      <w:r w:rsidR="004255C1" w:rsidRPr="00791A7B">
        <w:rPr>
          <w:sz w:val="24"/>
          <w:szCs w:val="24"/>
        </w:rPr>
        <w:t xml:space="preserve"> Section </w:t>
      </w:r>
      <w:r w:rsidR="00B415C4">
        <w:rPr>
          <w:sz w:val="24"/>
          <w:szCs w:val="24"/>
        </w:rPr>
        <w:t>5305</w:t>
      </w:r>
      <w:r w:rsidR="004255C1" w:rsidRPr="00791A7B">
        <w:rPr>
          <w:sz w:val="24"/>
          <w:szCs w:val="24"/>
        </w:rPr>
        <w:t xml:space="preserve"> requires that state agencies conduct periodic risk a</w:t>
      </w:r>
      <w:r w:rsidR="004255C1">
        <w:rPr>
          <w:sz w:val="24"/>
          <w:szCs w:val="24"/>
        </w:rPr>
        <w:t>ssessments,</w:t>
      </w:r>
      <w:r w:rsidR="004255C1" w:rsidRPr="00791A7B">
        <w:rPr>
          <w:sz w:val="24"/>
          <w:szCs w:val="24"/>
        </w:rPr>
        <w:t xml:space="preserve"> and SAM Section </w:t>
      </w:r>
      <w:r w:rsidR="00B415C4">
        <w:rPr>
          <w:sz w:val="24"/>
          <w:szCs w:val="24"/>
        </w:rPr>
        <w:t>5315.1</w:t>
      </w:r>
      <w:r w:rsidR="00B415C4" w:rsidRPr="00791A7B">
        <w:rPr>
          <w:sz w:val="24"/>
          <w:szCs w:val="24"/>
        </w:rPr>
        <w:t xml:space="preserve"> </w:t>
      </w:r>
      <w:r w:rsidR="004255C1" w:rsidRPr="00791A7B">
        <w:rPr>
          <w:sz w:val="24"/>
          <w:szCs w:val="24"/>
        </w:rPr>
        <w:t xml:space="preserve">requires agencies submit an annual risk management certification, signed by its director.  </w:t>
      </w:r>
      <w:r w:rsidR="004255C1">
        <w:rPr>
          <w:sz w:val="24"/>
          <w:szCs w:val="24"/>
        </w:rPr>
        <w:t>Use of t</w:t>
      </w:r>
      <w:r w:rsidR="004255C1" w:rsidRPr="00791A7B">
        <w:rPr>
          <w:sz w:val="24"/>
          <w:szCs w:val="24"/>
        </w:rPr>
        <w:t xml:space="preserve">his </w:t>
      </w:r>
      <w:r w:rsidR="004255C1">
        <w:rPr>
          <w:sz w:val="24"/>
          <w:szCs w:val="24"/>
        </w:rPr>
        <w:t xml:space="preserve">simple </w:t>
      </w:r>
      <w:r w:rsidR="004255C1" w:rsidRPr="00791A7B">
        <w:rPr>
          <w:sz w:val="24"/>
          <w:szCs w:val="24"/>
        </w:rPr>
        <w:t xml:space="preserve">Checklist </w:t>
      </w:r>
      <w:r w:rsidR="004255C1">
        <w:rPr>
          <w:sz w:val="24"/>
          <w:szCs w:val="24"/>
        </w:rPr>
        <w:t xml:space="preserve">is not required, nor is it </w:t>
      </w:r>
      <w:r w:rsidR="004255C1" w:rsidRPr="00791A7B">
        <w:rPr>
          <w:sz w:val="24"/>
          <w:szCs w:val="24"/>
        </w:rPr>
        <w:t xml:space="preserve">intended to cover all of the steps that your agency will need for its annual certification, but </w:t>
      </w:r>
      <w:r w:rsidR="004255C1">
        <w:rPr>
          <w:sz w:val="24"/>
          <w:szCs w:val="24"/>
        </w:rPr>
        <w:t>its use will provide</w:t>
      </w:r>
      <w:r w:rsidR="004255C1" w:rsidRPr="00791A7B">
        <w:rPr>
          <w:sz w:val="24"/>
          <w:szCs w:val="24"/>
        </w:rPr>
        <w:t xml:space="preserve"> a high-level view of </w:t>
      </w:r>
      <w:r w:rsidR="004255C1">
        <w:rPr>
          <w:sz w:val="24"/>
          <w:szCs w:val="24"/>
        </w:rPr>
        <w:t xml:space="preserve">an agency's security posture when measured against </w:t>
      </w:r>
      <w:r w:rsidR="004255C1" w:rsidRPr="00791A7B">
        <w:rPr>
          <w:sz w:val="24"/>
          <w:szCs w:val="24"/>
        </w:rPr>
        <w:t>general information security practices.</w:t>
      </w:r>
    </w:p>
    <w:p w:rsidR="004255C1" w:rsidRDefault="004255C1" w:rsidP="004255C1">
      <w:pPr>
        <w:autoSpaceDE w:val="0"/>
        <w:autoSpaceDN w:val="0"/>
        <w:adjustRightInd w:val="0"/>
        <w:rPr>
          <w:sz w:val="20"/>
          <w:szCs w:val="20"/>
        </w:rPr>
      </w:pPr>
    </w:p>
    <w:p w:rsidR="004255C1" w:rsidRDefault="004255C1" w:rsidP="004255C1">
      <w:pPr>
        <w:autoSpaceDE w:val="0"/>
        <w:autoSpaceDN w:val="0"/>
        <w:adjustRightInd w:val="0"/>
        <w:rPr>
          <w:sz w:val="24"/>
          <w:szCs w:val="24"/>
        </w:rPr>
      </w:pPr>
      <w:r>
        <w:rPr>
          <w:sz w:val="24"/>
          <w:szCs w:val="24"/>
        </w:rPr>
        <w:t>This tool should be used in conjunction with the following steps:</w:t>
      </w:r>
    </w:p>
    <w:p w:rsidR="004255C1" w:rsidRDefault="004255C1" w:rsidP="004255C1">
      <w:pPr>
        <w:autoSpaceDE w:val="0"/>
        <w:autoSpaceDN w:val="0"/>
        <w:adjustRightInd w:val="0"/>
        <w:rPr>
          <w:sz w:val="24"/>
          <w:szCs w:val="24"/>
        </w:rPr>
      </w:pPr>
    </w:p>
    <w:p w:rsidR="004255C1" w:rsidRDefault="004255C1" w:rsidP="004255C1">
      <w:pPr>
        <w:numPr>
          <w:ilvl w:val="0"/>
          <w:numId w:val="13"/>
        </w:numPr>
        <w:autoSpaceDE w:val="0"/>
        <w:autoSpaceDN w:val="0"/>
        <w:adjustRightInd w:val="0"/>
        <w:rPr>
          <w:sz w:val="24"/>
          <w:szCs w:val="24"/>
        </w:rPr>
      </w:pPr>
      <w:r w:rsidRPr="00E320A7">
        <w:rPr>
          <w:sz w:val="24"/>
          <w:szCs w:val="24"/>
        </w:rPr>
        <w:t>This Checklist should be completed by the agency</w:t>
      </w:r>
      <w:r w:rsidR="009A3F81">
        <w:rPr>
          <w:sz w:val="24"/>
          <w:szCs w:val="24"/>
        </w:rPr>
        <w:t>’</w:t>
      </w:r>
      <w:r w:rsidRPr="00E320A7">
        <w:rPr>
          <w:sz w:val="24"/>
          <w:szCs w:val="24"/>
        </w:rPr>
        <w:t xml:space="preserve">s </w:t>
      </w:r>
      <w:r>
        <w:rPr>
          <w:sz w:val="24"/>
          <w:szCs w:val="24"/>
        </w:rPr>
        <w:t>I</w:t>
      </w:r>
      <w:r w:rsidRPr="00E320A7">
        <w:rPr>
          <w:sz w:val="24"/>
          <w:szCs w:val="24"/>
        </w:rPr>
        <w:t xml:space="preserve">nformation </w:t>
      </w:r>
      <w:r>
        <w:rPr>
          <w:sz w:val="24"/>
          <w:szCs w:val="24"/>
        </w:rPr>
        <w:t>S</w:t>
      </w:r>
      <w:r w:rsidRPr="00E320A7">
        <w:rPr>
          <w:sz w:val="24"/>
          <w:szCs w:val="24"/>
        </w:rPr>
        <w:t xml:space="preserve">ecurity </w:t>
      </w:r>
      <w:r>
        <w:rPr>
          <w:sz w:val="24"/>
          <w:szCs w:val="24"/>
        </w:rPr>
        <w:t>O</w:t>
      </w:r>
      <w:r w:rsidRPr="00E320A7">
        <w:rPr>
          <w:sz w:val="24"/>
          <w:szCs w:val="24"/>
        </w:rPr>
        <w:t>fficer</w:t>
      </w:r>
      <w:r>
        <w:rPr>
          <w:sz w:val="24"/>
          <w:szCs w:val="24"/>
        </w:rPr>
        <w:t xml:space="preserve"> (ISO)</w:t>
      </w:r>
      <w:r w:rsidRPr="00E320A7">
        <w:rPr>
          <w:sz w:val="24"/>
          <w:szCs w:val="24"/>
        </w:rPr>
        <w:t xml:space="preserve">, in cooperation with the </w:t>
      </w:r>
      <w:r>
        <w:rPr>
          <w:sz w:val="24"/>
          <w:szCs w:val="24"/>
        </w:rPr>
        <w:t>C</w:t>
      </w:r>
      <w:r w:rsidRPr="00E320A7">
        <w:rPr>
          <w:sz w:val="24"/>
          <w:szCs w:val="24"/>
        </w:rPr>
        <w:t xml:space="preserve">hief </w:t>
      </w:r>
      <w:r>
        <w:rPr>
          <w:sz w:val="24"/>
          <w:szCs w:val="24"/>
        </w:rPr>
        <w:t>I</w:t>
      </w:r>
      <w:r w:rsidRPr="00E320A7">
        <w:rPr>
          <w:sz w:val="24"/>
          <w:szCs w:val="24"/>
        </w:rPr>
        <w:t xml:space="preserve">nformation </w:t>
      </w:r>
      <w:r>
        <w:rPr>
          <w:sz w:val="24"/>
          <w:szCs w:val="24"/>
        </w:rPr>
        <w:t>O</w:t>
      </w:r>
      <w:r w:rsidRPr="00E320A7">
        <w:rPr>
          <w:sz w:val="24"/>
          <w:szCs w:val="24"/>
        </w:rPr>
        <w:t xml:space="preserve">fficer.  </w:t>
      </w:r>
      <w:r>
        <w:rPr>
          <w:sz w:val="24"/>
          <w:szCs w:val="24"/>
        </w:rPr>
        <w:t>A response to t</w:t>
      </w:r>
      <w:r w:rsidRPr="00E320A7">
        <w:rPr>
          <w:sz w:val="24"/>
          <w:szCs w:val="24"/>
        </w:rPr>
        <w:t xml:space="preserve">he items in each section </w:t>
      </w:r>
      <w:r>
        <w:rPr>
          <w:sz w:val="24"/>
          <w:szCs w:val="24"/>
        </w:rPr>
        <w:t xml:space="preserve">should be prepared to accurately reflect the </w:t>
      </w:r>
      <w:r w:rsidR="009A3F81">
        <w:rPr>
          <w:sz w:val="24"/>
          <w:szCs w:val="24"/>
        </w:rPr>
        <w:t>“</w:t>
      </w:r>
      <w:r>
        <w:rPr>
          <w:sz w:val="24"/>
          <w:szCs w:val="24"/>
        </w:rPr>
        <w:t>point in time</w:t>
      </w:r>
      <w:r w:rsidR="009A3F81">
        <w:rPr>
          <w:sz w:val="24"/>
          <w:szCs w:val="24"/>
        </w:rPr>
        <w:t>”</w:t>
      </w:r>
      <w:r>
        <w:rPr>
          <w:sz w:val="24"/>
          <w:szCs w:val="24"/>
        </w:rPr>
        <w:t xml:space="preserve"> picture of the agency</w:t>
      </w:r>
      <w:r w:rsidR="009A3F81">
        <w:rPr>
          <w:sz w:val="24"/>
          <w:szCs w:val="24"/>
        </w:rPr>
        <w:t>’</w:t>
      </w:r>
      <w:r>
        <w:rPr>
          <w:sz w:val="24"/>
          <w:szCs w:val="24"/>
        </w:rPr>
        <w:t>s security posture.</w:t>
      </w:r>
      <w:r w:rsidRPr="00E320A7">
        <w:rPr>
          <w:sz w:val="24"/>
          <w:szCs w:val="24"/>
        </w:rPr>
        <w:t xml:space="preserve">  </w:t>
      </w:r>
    </w:p>
    <w:p w:rsidR="004255C1" w:rsidRDefault="004255C1" w:rsidP="004255C1">
      <w:pPr>
        <w:numPr>
          <w:ilvl w:val="0"/>
          <w:numId w:val="13"/>
        </w:numPr>
        <w:autoSpaceDE w:val="0"/>
        <w:autoSpaceDN w:val="0"/>
        <w:adjustRightInd w:val="0"/>
        <w:rPr>
          <w:sz w:val="24"/>
          <w:szCs w:val="24"/>
        </w:rPr>
      </w:pPr>
      <w:r>
        <w:rPr>
          <w:sz w:val="24"/>
          <w:szCs w:val="24"/>
        </w:rPr>
        <w:t xml:space="preserve">Identify the levels of risk associated with </w:t>
      </w:r>
      <w:r w:rsidRPr="00E320A7">
        <w:rPr>
          <w:sz w:val="24"/>
          <w:szCs w:val="24"/>
        </w:rPr>
        <w:t xml:space="preserve">any of the items </w:t>
      </w:r>
      <w:r>
        <w:rPr>
          <w:sz w:val="24"/>
          <w:szCs w:val="24"/>
        </w:rPr>
        <w:t xml:space="preserve">that </w:t>
      </w:r>
      <w:r w:rsidRPr="00E320A7">
        <w:rPr>
          <w:sz w:val="24"/>
          <w:szCs w:val="24"/>
        </w:rPr>
        <w:t xml:space="preserve">result in a </w:t>
      </w:r>
      <w:r w:rsidR="009A3F81">
        <w:rPr>
          <w:sz w:val="24"/>
          <w:szCs w:val="24"/>
        </w:rPr>
        <w:t>“</w:t>
      </w:r>
      <w:r w:rsidRPr="00E320A7">
        <w:rPr>
          <w:sz w:val="24"/>
          <w:szCs w:val="24"/>
        </w:rPr>
        <w:t>no</w:t>
      </w:r>
      <w:r w:rsidR="009A3F81">
        <w:rPr>
          <w:sz w:val="24"/>
          <w:szCs w:val="24"/>
        </w:rPr>
        <w:t>”</w:t>
      </w:r>
      <w:r w:rsidRPr="00E320A7">
        <w:rPr>
          <w:sz w:val="24"/>
          <w:szCs w:val="24"/>
        </w:rPr>
        <w:t xml:space="preserve"> </w:t>
      </w:r>
      <w:r>
        <w:rPr>
          <w:sz w:val="24"/>
          <w:szCs w:val="24"/>
        </w:rPr>
        <w:t xml:space="preserve">response. </w:t>
      </w:r>
    </w:p>
    <w:p w:rsidR="004255C1" w:rsidRDefault="004255C1" w:rsidP="004255C1">
      <w:pPr>
        <w:numPr>
          <w:ilvl w:val="0"/>
          <w:numId w:val="13"/>
        </w:numPr>
        <w:autoSpaceDE w:val="0"/>
        <w:autoSpaceDN w:val="0"/>
        <w:adjustRightInd w:val="0"/>
        <w:rPr>
          <w:sz w:val="24"/>
          <w:szCs w:val="24"/>
        </w:rPr>
      </w:pPr>
      <w:r>
        <w:rPr>
          <w:sz w:val="24"/>
          <w:szCs w:val="24"/>
        </w:rPr>
        <w:t>De</w:t>
      </w:r>
      <w:r w:rsidRPr="00E320A7">
        <w:rPr>
          <w:sz w:val="24"/>
          <w:szCs w:val="24"/>
        </w:rPr>
        <w:t xml:space="preserve">velop an appropriate </w:t>
      </w:r>
      <w:r>
        <w:rPr>
          <w:sz w:val="24"/>
          <w:szCs w:val="24"/>
        </w:rPr>
        <w:t xml:space="preserve">action </w:t>
      </w:r>
      <w:r w:rsidRPr="00E320A7">
        <w:rPr>
          <w:sz w:val="24"/>
          <w:szCs w:val="24"/>
        </w:rPr>
        <w:t xml:space="preserve">plan to mitigate the </w:t>
      </w:r>
      <w:r>
        <w:rPr>
          <w:sz w:val="24"/>
          <w:szCs w:val="24"/>
        </w:rPr>
        <w:t xml:space="preserve">identified </w:t>
      </w:r>
      <w:r w:rsidRPr="00E320A7">
        <w:rPr>
          <w:sz w:val="24"/>
          <w:szCs w:val="24"/>
        </w:rPr>
        <w:t>risk.</w:t>
      </w:r>
    </w:p>
    <w:p w:rsidR="004255C1" w:rsidRPr="00E320A7" w:rsidRDefault="004255C1" w:rsidP="004255C1">
      <w:pPr>
        <w:numPr>
          <w:ilvl w:val="0"/>
          <w:numId w:val="13"/>
        </w:numPr>
        <w:autoSpaceDE w:val="0"/>
        <w:autoSpaceDN w:val="0"/>
        <w:adjustRightInd w:val="0"/>
        <w:rPr>
          <w:sz w:val="24"/>
          <w:szCs w:val="24"/>
        </w:rPr>
      </w:pPr>
      <w:r>
        <w:rPr>
          <w:sz w:val="24"/>
          <w:szCs w:val="24"/>
        </w:rPr>
        <w:t>Assign roles and responsibilities for implementing and monitoring timely completion of the action plan.</w:t>
      </w:r>
    </w:p>
    <w:p w:rsidR="004255C1" w:rsidRDefault="004255C1" w:rsidP="004255C1">
      <w:pPr>
        <w:autoSpaceDE w:val="0"/>
        <w:autoSpaceDN w:val="0"/>
        <w:adjustRightInd w:val="0"/>
        <w:rPr>
          <w:sz w:val="20"/>
          <w:szCs w:val="20"/>
        </w:rPr>
      </w:pPr>
    </w:p>
    <w:p w:rsidR="004255C1" w:rsidRDefault="004255C1" w:rsidP="004255C1">
      <w:pPr>
        <w:autoSpaceDE w:val="0"/>
        <w:autoSpaceDN w:val="0"/>
        <w:adjustRightInd w:val="0"/>
        <w:rPr>
          <w:sz w:val="24"/>
          <w:szCs w:val="24"/>
        </w:rPr>
      </w:pPr>
      <w:r w:rsidRPr="003B4999">
        <w:rPr>
          <w:sz w:val="24"/>
          <w:szCs w:val="24"/>
        </w:rPr>
        <w:t xml:space="preserve">This Checklist was first released in March 2006 and was developed by a workgroup of volunteer </w:t>
      </w:r>
      <w:r>
        <w:rPr>
          <w:sz w:val="24"/>
          <w:szCs w:val="24"/>
        </w:rPr>
        <w:t>ISO</w:t>
      </w:r>
      <w:r w:rsidRPr="003B4999">
        <w:rPr>
          <w:sz w:val="24"/>
          <w:szCs w:val="24"/>
        </w:rPr>
        <w:t xml:space="preserve">s from </w:t>
      </w:r>
      <w:r>
        <w:rPr>
          <w:sz w:val="24"/>
          <w:szCs w:val="24"/>
        </w:rPr>
        <w:t xml:space="preserve">various </w:t>
      </w:r>
      <w:r w:rsidRPr="003B4999">
        <w:rPr>
          <w:sz w:val="24"/>
          <w:szCs w:val="24"/>
        </w:rPr>
        <w:t xml:space="preserve">state agencies.  It was based upon the Risk Management categories outlined in SAM Section </w:t>
      </w:r>
      <w:r w:rsidR="00B415C4">
        <w:rPr>
          <w:sz w:val="24"/>
          <w:szCs w:val="24"/>
        </w:rPr>
        <w:t>5305.</w:t>
      </w:r>
      <w:r w:rsidR="00C044A7">
        <w:rPr>
          <w:sz w:val="24"/>
          <w:szCs w:val="24"/>
        </w:rPr>
        <w:t>2</w:t>
      </w:r>
      <w:r w:rsidRPr="003B4999">
        <w:rPr>
          <w:sz w:val="24"/>
          <w:szCs w:val="24"/>
        </w:rPr>
        <w:t>, Risk Management Program and is arra</w:t>
      </w:r>
      <w:r>
        <w:rPr>
          <w:sz w:val="24"/>
          <w:szCs w:val="24"/>
        </w:rPr>
        <w:t>ng</w:t>
      </w:r>
      <w:r w:rsidRPr="003B4999">
        <w:rPr>
          <w:sz w:val="24"/>
          <w:szCs w:val="24"/>
        </w:rPr>
        <w:t>ed to correspond with the categories in this Section.  In June 2007, this Checklist was updated with more</w:t>
      </w:r>
      <w:r>
        <w:rPr>
          <w:sz w:val="24"/>
          <w:szCs w:val="24"/>
        </w:rPr>
        <w:t xml:space="preserve"> current and</w:t>
      </w:r>
      <w:r w:rsidRPr="003B4999">
        <w:rPr>
          <w:sz w:val="24"/>
          <w:szCs w:val="24"/>
        </w:rPr>
        <w:t xml:space="preserve"> relevant information</w:t>
      </w:r>
      <w:r>
        <w:rPr>
          <w:sz w:val="24"/>
          <w:szCs w:val="24"/>
        </w:rPr>
        <w:t xml:space="preserve"> based upon the International Organization for Standardization/International Electrotechnical Commission (</w:t>
      </w:r>
      <w:r w:rsidR="009A3F81">
        <w:rPr>
          <w:sz w:val="24"/>
          <w:szCs w:val="24"/>
        </w:rPr>
        <w:t>ISO/</w:t>
      </w:r>
      <w:r>
        <w:rPr>
          <w:sz w:val="24"/>
          <w:szCs w:val="24"/>
        </w:rPr>
        <w:t>IEC) 17799:2005(E) standards</w:t>
      </w:r>
      <w:r w:rsidRPr="003B4999">
        <w:rPr>
          <w:sz w:val="24"/>
          <w:szCs w:val="24"/>
        </w:rPr>
        <w:t>.</w:t>
      </w:r>
      <w:r>
        <w:rPr>
          <w:sz w:val="24"/>
          <w:szCs w:val="24"/>
        </w:rPr>
        <w:t xml:space="preserve">  </w:t>
      </w:r>
    </w:p>
    <w:p w:rsidR="004255C1" w:rsidRDefault="004255C1" w:rsidP="004255C1">
      <w:pPr>
        <w:autoSpaceDE w:val="0"/>
        <w:autoSpaceDN w:val="0"/>
        <w:adjustRightInd w:val="0"/>
        <w:rPr>
          <w:sz w:val="24"/>
          <w:szCs w:val="24"/>
        </w:rPr>
      </w:pPr>
    </w:p>
    <w:p w:rsidR="004255C1" w:rsidRDefault="004255C1" w:rsidP="004255C1">
      <w:pPr>
        <w:autoSpaceDE w:val="0"/>
        <w:autoSpaceDN w:val="0"/>
        <w:adjustRightInd w:val="0"/>
        <w:rPr>
          <w:sz w:val="24"/>
          <w:szCs w:val="24"/>
        </w:rPr>
      </w:pPr>
      <w:r>
        <w:rPr>
          <w:sz w:val="24"/>
          <w:szCs w:val="24"/>
        </w:rPr>
        <w:t>This simple Checklist is just one of several tools available to conduct information security risk assessments.</w:t>
      </w:r>
      <w:r w:rsidRPr="00E320A7">
        <w:rPr>
          <w:sz w:val="24"/>
          <w:szCs w:val="24"/>
        </w:rPr>
        <w:t xml:space="preserve"> </w:t>
      </w:r>
      <w:r>
        <w:rPr>
          <w:sz w:val="24"/>
          <w:szCs w:val="24"/>
        </w:rPr>
        <w:t xml:space="preserve"> </w:t>
      </w:r>
      <w:r w:rsidRPr="00791A7B">
        <w:rPr>
          <w:sz w:val="24"/>
          <w:szCs w:val="24"/>
        </w:rPr>
        <w:t>More advanced risk assessment tools can be found on the</w:t>
      </w:r>
      <w:r w:rsidR="009A3F81">
        <w:rPr>
          <w:sz w:val="24"/>
          <w:szCs w:val="24"/>
        </w:rPr>
        <w:t xml:space="preserve"> </w:t>
      </w:r>
      <w:r w:rsidR="00CE0A38">
        <w:rPr>
          <w:sz w:val="24"/>
          <w:szCs w:val="24"/>
        </w:rPr>
        <w:t xml:space="preserve">California </w:t>
      </w:r>
      <w:r w:rsidR="009A3F81">
        <w:rPr>
          <w:sz w:val="24"/>
          <w:szCs w:val="24"/>
        </w:rPr>
        <w:t xml:space="preserve">Office of Information Security </w:t>
      </w:r>
      <w:r w:rsidRPr="00791A7B">
        <w:rPr>
          <w:sz w:val="24"/>
          <w:szCs w:val="24"/>
        </w:rPr>
        <w:t xml:space="preserve">Web site at </w:t>
      </w:r>
      <w:r w:rsidR="00CD4D2F" w:rsidRPr="00CD4D2F">
        <w:rPr>
          <w:sz w:val="24"/>
          <w:szCs w:val="24"/>
        </w:rPr>
        <w:t>http://www.cio.ca.gov/OIS/Government/risk/default.asp</w:t>
      </w:r>
      <w:r>
        <w:rPr>
          <w:sz w:val="24"/>
          <w:szCs w:val="24"/>
        </w:rPr>
        <w:t>.</w:t>
      </w:r>
    </w:p>
    <w:p w:rsidR="00CD4D2F" w:rsidRDefault="00CD4D2F" w:rsidP="004255C1">
      <w:pPr>
        <w:autoSpaceDE w:val="0"/>
        <w:autoSpaceDN w:val="0"/>
        <w:adjustRightInd w:val="0"/>
        <w:rPr>
          <w:sz w:val="24"/>
          <w:szCs w:val="24"/>
        </w:rPr>
      </w:pPr>
    </w:p>
    <w:p w:rsidR="00CD4D2F" w:rsidRDefault="00CD4D2F" w:rsidP="004255C1">
      <w:pPr>
        <w:autoSpaceDE w:val="0"/>
        <w:autoSpaceDN w:val="0"/>
        <w:adjustRightInd w:val="0"/>
        <w:rPr>
          <w:sz w:val="24"/>
          <w:szCs w:val="24"/>
        </w:rPr>
        <w:sectPr w:rsidR="00CD4D2F" w:rsidSect="00CE0A38">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1296" w:bottom="720" w:left="1296" w:header="720" w:footer="720" w:gutter="0"/>
          <w:pgNumType w:start="0"/>
          <w:cols w:space="720"/>
          <w:titlePg/>
          <w:docGrid w:linePitch="360"/>
        </w:sectPr>
      </w:pPr>
    </w:p>
    <w:p w:rsidR="004255C1" w:rsidRPr="00127B01" w:rsidRDefault="004255C1" w:rsidP="004255C1">
      <w:pPr>
        <w:jc w:val="center"/>
        <w:outlineLvl w:val="0"/>
        <w:rPr>
          <w:b/>
        </w:rPr>
      </w:pPr>
      <w:r w:rsidRPr="00127B01">
        <w:rPr>
          <w:b/>
        </w:rPr>
        <w:lastRenderedPageBreak/>
        <w:t>I</w:t>
      </w:r>
      <w:r>
        <w:rPr>
          <w:b/>
        </w:rPr>
        <w:t xml:space="preserve">nformation </w:t>
      </w:r>
      <w:r w:rsidRPr="00127B01">
        <w:rPr>
          <w:b/>
        </w:rPr>
        <w:t>Security Risk Assessment Checklist</w:t>
      </w:r>
    </w:p>
    <w:p w:rsidR="004255C1" w:rsidRDefault="004255C1" w:rsidP="004255C1">
      <w:pPr>
        <w:jc w:val="center"/>
      </w:pPr>
      <w:r>
        <w:t>A High-Level Tool to Assist State Agencies with Risk Analysis</w:t>
      </w:r>
    </w:p>
    <w:p w:rsidR="004255C1" w:rsidRDefault="004255C1" w:rsidP="004255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5"/>
        <w:gridCol w:w="1085"/>
      </w:tblGrid>
      <w:tr w:rsidR="004255C1" w:rsidTr="001B43DC">
        <w:tc>
          <w:tcPr>
            <w:tcW w:w="4497" w:type="pct"/>
            <w:shd w:val="clear" w:color="auto" w:fill="F3F3F3"/>
          </w:tcPr>
          <w:p w:rsidR="004255C1" w:rsidRDefault="004255C1" w:rsidP="008240D6"/>
        </w:tc>
        <w:tc>
          <w:tcPr>
            <w:tcW w:w="503" w:type="pct"/>
            <w:shd w:val="clear" w:color="auto" w:fill="F3F3F3"/>
          </w:tcPr>
          <w:p w:rsidR="004255C1" w:rsidRDefault="004255C1" w:rsidP="008240D6">
            <w:r>
              <w:t>Yes/No</w:t>
            </w:r>
          </w:p>
        </w:tc>
      </w:tr>
      <w:tr w:rsidR="004255C1" w:rsidTr="001B43DC">
        <w:trPr>
          <w:trHeight w:val="413"/>
        </w:trPr>
        <w:tc>
          <w:tcPr>
            <w:tcW w:w="4497" w:type="pct"/>
          </w:tcPr>
          <w:p w:rsidR="004255C1" w:rsidRDefault="004255C1" w:rsidP="008240D6">
            <w:r w:rsidRPr="001B43DC">
              <w:rPr>
                <w:b/>
                <w:color w:val="000000"/>
              </w:rPr>
              <w:t xml:space="preserve">A.  Organizational and Management Practices </w:t>
            </w:r>
          </w:p>
        </w:tc>
        <w:tc>
          <w:tcPr>
            <w:tcW w:w="503" w:type="pct"/>
          </w:tcPr>
          <w:p w:rsidR="004255C1" w:rsidRDefault="004255C1" w:rsidP="008240D6"/>
        </w:tc>
      </w:tr>
      <w:tr w:rsidR="004255C1" w:rsidTr="001B43DC">
        <w:tc>
          <w:tcPr>
            <w:tcW w:w="4497" w:type="pct"/>
          </w:tcPr>
          <w:p w:rsidR="004255C1" w:rsidRPr="00845462" w:rsidRDefault="004255C1" w:rsidP="001B43DC">
            <w:pPr>
              <w:numPr>
                <w:ilvl w:val="0"/>
                <w:numId w:val="1"/>
              </w:numPr>
              <w:spacing w:after="120"/>
            </w:pPr>
            <w:r w:rsidRPr="001B43DC">
              <w:rPr>
                <w:u w:val="single"/>
              </w:rPr>
              <w:t>Security Program Governance</w:t>
            </w:r>
            <w:r w:rsidR="009A3F81" w:rsidRPr="009A3F81">
              <w:t xml:space="preserve"> </w:t>
            </w:r>
            <w:r w:rsidRPr="00845462">
              <w:t xml:space="preserve">– </w:t>
            </w:r>
            <w:r>
              <w:t xml:space="preserve">Executive Management has assigned roles and responsibilities for information security across its organization.  This includes, but is not limited to, the following: </w:t>
            </w:r>
            <w:r w:rsidRPr="00845462">
              <w:t>document</w:t>
            </w:r>
            <w:r>
              <w:t>ing</w:t>
            </w:r>
            <w:r w:rsidRPr="00845462">
              <w:t>, disseminat</w:t>
            </w:r>
            <w:r>
              <w:t>ing</w:t>
            </w:r>
            <w:r w:rsidRPr="00845462">
              <w:t xml:space="preserve">, </w:t>
            </w:r>
            <w:r>
              <w:t xml:space="preserve">and </w:t>
            </w:r>
            <w:r w:rsidRPr="00845462">
              <w:t>periodically updat</w:t>
            </w:r>
            <w:r>
              <w:t xml:space="preserve">ing </w:t>
            </w:r>
            <w:r w:rsidRPr="00845462">
              <w:t xml:space="preserve">a formal </w:t>
            </w:r>
            <w:r>
              <w:t xml:space="preserve">information </w:t>
            </w:r>
            <w:r w:rsidRPr="00845462">
              <w:t xml:space="preserve">security program that addresses purpose, scope, roles, responsibilities, </w:t>
            </w:r>
            <w:r>
              <w:t xml:space="preserve">applicable laws and regulations, and the implementation of policies, </w:t>
            </w:r>
            <w:r w:rsidRPr="00845462">
              <w:t>st</w:t>
            </w:r>
            <w:r>
              <w:t>and</w:t>
            </w:r>
            <w:r w:rsidRPr="00845462">
              <w:t xml:space="preserve">ards, </w:t>
            </w:r>
            <w:r>
              <w:t xml:space="preserve">and </w:t>
            </w:r>
            <w:r w:rsidRPr="00845462">
              <w:t>procedures.</w:t>
            </w:r>
          </w:p>
        </w:tc>
        <w:tc>
          <w:tcPr>
            <w:tcW w:w="503" w:type="pct"/>
          </w:tcPr>
          <w:p w:rsidR="004255C1" w:rsidRDefault="004255C1" w:rsidP="001B43DC">
            <w:pPr>
              <w:spacing w:after="120"/>
            </w:pPr>
          </w:p>
        </w:tc>
      </w:tr>
      <w:tr w:rsidR="004255C1" w:rsidTr="001B43DC">
        <w:tc>
          <w:tcPr>
            <w:tcW w:w="4497" w:type="pct"/>
          </w:tcPr>
          <w:p w:rsidR="004255C1" w:rsidRPr="001B43DC" w:rsidRDefault="004255C1" w:rsidP="001B43DC">
            <w:pPr>
              <w:numPr>
                <w:ilvl w:val="0"/>
                <w:numId w:val="1"/>
              </w:numPr>
              <w:spacing w:after="120"/>
              <w:rPr>
                <w:u w:val="single"/>
              </w:rPr>
            </w:pPr>
            <w:r w:rsidRPr="001B43DC">
              <w:rPr>
                <w:u w:val="single"/>
              </w:rPr>
              <w:t>Confidentiality Agreements</w:t>
            </w:r>
            <w:r w:rsidRPr="009A3F81">
              <w:t xml:space="preserve"> </w:t>
            </w:r>
            <w:r w:rsidRPr="009853F4">
              <w:t xml:space="preserve">– </w:t>
            </w:r>
            <w:r>
              <w:t>I</w:t>
            </w:r>
            <w:r w:rsidRPr="009853F4">
              <w:t>mplement confidentiality or non-disclosure agreements with contractors and external entities to ensure the agency</w:t>
            </w:r>
            <w:r w:rsidR="009A3F81">
              <w:t>’</w:t>
            </w:r>
            <w:r w:rsidRPr="009853F4">
              <w:t xml:space="preserve">s needs for protection of </w:t>
            </w:r>
            <w:r>
              <w:t>classified</w:t>
            </w:r>
            <w:r w:rsidRPr="009853F4">
              <w:t xml:space="preserve"> information is met.</w:t>
            </w:r>
          </w:p>
        </w:tc>
        <w:tc>
          <w:tcPr>
            <w:tcW w:w="503" w:type="pct"/>
          </w:tcPr>
          <w:p w:rsidR="004255C1" w:rsidRDefault="004255C1" w:rsidP="001B43DC">
            <w:pPr>
              <w:spacing w:after="120"/>
            </w:pPr>
          </w:p>
        </w:tc>
      </w:tr>
      <w:tr w:rsidR="004255C1" w:rsidTr="001B43DC">
        <w:tc>
          <w:tcPr>
            <w:tcW w:w="4497" w:type="pct"/>
          </w:tcPr>
          <w:p w:rsidR="004255C1" w:rsidRPr="001B43DC" w:rsidRDefault="004255C1" w:rsidP="001B43DC">
            <w:pPr>
              <w:numPr>
                <w:ilvl w:val="0"/>
                <w:numId w:val="1"/>
              </w:numPr>
              <w:spacing w:after="120"/>
              <w:rPr>
                <w:u w:val="single"/>
              </w:rPr>
            </w:pPr>
            <w:r w:rsidRPr="001B43DC">
              <w:rPr>
                <w:u w:val="single"/>
              </w:rPr>
              <w:t>Risk Assessments</w:t>
            </w:r>
            <w:r w:rsidRPr="009A3F81">
              <w:t xml:space="preserve"> </w:t>
            </w:r>
            <w:r w:rsidRPr="009853F4">
              <w:t xml:space="preserve">– </w:t>
            </w:r>
            <w:r>
              <w:t>A</w:t>
            </w:r>
            <w:r w:rsidRPr="009853F4">
              <w:t xml:space="preserve"> review process at planned intervals </w:t>
            </w:r>
            <w:r>
              <w:t xml:space="preserve">is implemented </w:t>
            </w:r>
            <w:r w:rsidRPr="009853F4">
              <w:t>to ensure the continuing suitability and effectiveness of the agency</w:t>
            </w:r>
            <w:r w:rsidR="009A3F81">
              <w:t>’</w:t>
            </w:r>
            <w:r w:rsidRPr="009853F4">
              <w:t>s approach to managing information security</w:t>
            </w:r>
            <w:r>
              <w:t>.</w:t>
            </w:r>
          </w:p>
        </w:tc>
        <w:tc>
          <w:tcPr>
            <w:tcW w:w="503" w:type="pct"/>
          </w:tcPr>
          <w:p w:rsidR="004255C1" w:rsidRDefault="004255C1" w:rsidP="001B43DC">
            <w:pPr>
              <w:spacing w:after="120"/>
            </w:pPr>
          </w:p>
        </w:tc>
      </w:tr>
      <w:tr w:rsidR="004255C1" w:rsidTr="001B43DC">
        <w:tc>
          <w:tcPr>
            <w:tcW w:w="4497" w:type="pct"/>
          </w:tcPr>
          <w:p w:rsidR="004255C1" w:rsidRPr="00845462" w:rsidRDefault="004255C1" w:rsidP="001B43DC">
            <w:pPr>
              <w:numPr>
                <w:ilvl w:val="0"/>
                <w:numId w:val="1"/>
              </w:numPr>
              <w:spacing w:after="120"/>
            </w:pPr>
            <w:r w:rsidRPr="001B43DC">
              <w:rPr>
                <w:u w:val="single"/>
              </w:rPr>
              <w:t>System Security</w:t>
            </w:r>
            <w:r w:rsidRPr="009A3F81">
              <w:t xml:space="preserve"> </w:t>
            </w:r>
            <w:r w:rsidRPr="00845462">
              <w:t xml:space="preserve">– </w:t>
            </w:r>
            <w:r>
              <w:t>A</w:t>
            </w:r>
            <w:r w:rsidRPr="00845462">
              <w:t xml:space="preserve"> formal document that provide</w:t>
            </w:r>
            <w:r>
              <w:t>s</w:t>
            </w:r>
            <w:r w:rsidRPr="00845462">
              <w:t xml:space="preserve"> an overview of the security requirements for </w:t>
            </w:r>
            <w:r>
              <w:t xml:space="preserve">agency </w:t>
            </w:r>
            <w:r w:rsidRPr="00845462">
              <w:t>information system</w:t>
            </w:r>
            <w:r>
              <w:t>s</w:t>
            </w:r>
            <w:r w:rsidRPr="00845462">
              <w:t xml:space="preserve"> </w:t>
            </w:r>
            <w:r>
              <w:t xml:space="preserve">and </w:t>
            </w:r>
            <w:r w:rsidRPr="00845462">
              <w:t>describe</w:t>
            </w:r>
            <w:r>
              <w:t>s</w:t>
            </w:r>
            <w:r w:rsidRPr="00845462">
              <w:t xml:space="preserve"> the security controls in place </w:t>
            </w:r>
            <w:r>
              <w:t>(</w:t>
            </w:r>
            <w:r w:rsidRPr="00845462">
              <w:t>or planned</w:t>
            </w:r>
            <w:r>
              <w:t>)</w:t>
            </w:r>
            <w:r w:rsidRPr="00845462">
              <w:t xml:space="preserve"> for meeting those requirements</w:t>
            </w:r>
            <w:r>
              <w:t xml:space="preserve"> is maintained</w:t>
            </w:r>
            <w:r w:rsidRPr="00845462">
              <w:t xml:space="preserve">. </w:t>
            </w:r>
          </w:p>
        </w:tc>
        <w:tc>
          <w:tcPr>
            <w:tcW w:w="503" w:type="pct"/>
          </w:tcPr>
          <w:p w:rsidR="004255C1" w:rsidRDefault="004255C1" w:rsidP="001B43DC">
            <w:pPr>
              <w:spacing w:after="120"/>
            </w:pPr>
          </w:p>
        </w:tc>
      </w:tr>
      <w:tr w:rsidR="004255C1" w:rsidTr="001B43DC">
        <w:tc>
          <w:tcPr>
            <w:tcW w:w="4497" w:type="pct"/>
          </w:tcPr>
          <w:p w:rsidR="004255C1" w:rsidRPr="00845462" w:rsidRDefault="004255C1" w:rsidP="001B43DC">
            <w:pPr>
              <w:numPr>
                <w:ilvl w:val="0"/>
                <w:numId w:val="1"/>
              </w:numPr>
              <w:spacing w:after="120"/>
            </w:pPr>
            <w:r w:rsidRPr="001B43DC">
              <w:rPr>
                <w:u w:val="single"/>
              </w:rPr>
              <w:t>System Certification</w:t>
            </w:r>
            <w:r w:rsidRPr="00845462">
              <w:t xml:space="preserve"> – </w:t>
            </w:r>
            <w:r>
              <w:t>A</w:t>
            </w:r>
            <w:r w:rsidRPr="00845462">
              <w:t xml:space="preserve">n assessment of the security controls in place </w:t>
            </w:r>
            <w:r>
              <w:t>for</w:t>
            </w:r>
            <w:r w:rsidRPr="00845462">
              <w:t xml:space="preserve"> </w:t>
            </w:r>
            <w:r>
              <w:t>existing</w:t>
            </w:r>
            <w:r w:rsidRPr="00845462">
              <w:t xml:space="preserve"> system</w:t>
            </w:r>
            <w:r>
              <w:t>s and those planned for new systems is conducted at least once each year</w:t>
            </w:r>
            <w:r w:rsidRPr="00845462">
              <w:t xml:space="preserve">. </w:t>
            </w:r>
            <w:r>
              <w:t xml:space="preserve"> Assessment tools are readily available through security organizations, like National Institute of Standards and Technology (NIST), </w:t>
            </w:r>
            <w:r w:rsidRPr="000B2411">
              <w:t>SysAdmin, Audit, Network, Security (SANS) Institute</w:t>
            </w:r>
            <w:r>
              <w:t>, and other reputable sources.  The agency</w:t>
            </w:r>
            <w:r w:rsidR="009A3F81">
              <w:t>’</w:t>
            </w:r>
            <w:r>
              <w:t>s ISO reviews and approves actions taken to correct any deficiencies identified.</w:t>
            </w:r>
            <w:r w:rsidRPr="00845462">
              <w:t xml:space="preserve"> </w:t>
            </w:r>
            <w:r>
              <w:t xml:space="preserve"> </w:t>
            </w:r>
            <w:r w:rsidRPr="00845462">
              <w:t xml:space="preserve">Responsible technical or operational management </w:t>
            </w:r>
            <w:r>
              <w:t>are included in the review process</w:t>
            </w:r>
            <w:r w:rsidRPr="00845462">
              <w:t xml:space="preserve">.  </w:t>
            </w:r>
          </w:p>
        </w:tc>
        <w:tc>
          <w:tcPr>
            <w:tcW w:w="503" w:type="pct"/>
          </w:tcPr>
          <w:p w:rsidR="004255C1" w:rsidRDefault="004255C1" w:rsidP="001B43DC">
            <w:pPr>
              <w:spacing w:after="120"/>
            </w:pPr>
          </w:p>
        </w:tc>
      </w:tr>
      <w:tr w:rsidR="004255C1" w:rsidTr="001B43DC">
        <w:tc>
          <w:tcPr>
            <w:tcW w:w="4497" w:type="pct"/>
          </w:tcPr>
          <w:p w:rsidR="004255C1" w:rsidRPr="00845462" w:rsidRDefault="004255C1" w:rsidP="001B43DC">
            <w:pPr>
              <w:numPr>
                <w:ilvl w:val="0"/>
                <w:numId w:val="1"/>
              </w:numPr>
              <w:spacing w:after="120"/>
            </w:pPr>
            <w:r w:rsidRPr="001B43DC">
              <w:rPr>
                <w:u w:val="single"/>
              </w:rPr>
              <w:t>Configuration Change Control</w:t>
            </w:r>
            <w:r w:rsidRPr="00845462">
              <w:t xml:space="preserve"> –</w:t>
            </w:r>
            <w:r w:rsidR="009A3F81">
              <w:t xml:space="preserve"> </w:t>
            </w:r>
            <w:r>
              <w:t>C</w:t>
            </w:r>
            <w:r w:rsidRPr="00845462">
              <w:t xml:space="preserve">hanges </w:t>
            </w:r>
            <w:r>
              <w:t xml:space="preserve">made </w:t>
            </w:r>
            <w:r w:rsidRPr="00845462">
              <w:t>to information systems</w:t>
            </w:r>
            <w:r>
              <w:t xml:space="preserve"> are controlled and documented</w:t>
            </w:r>
            <w:r w:rsidRPr="00845462">
              <w:t xml:space="preserve">.  The changes </w:t>
            </w:r>
            <w:r>
              <w:t>are</w:t>
            </w:r>
            <w:r w:rsidRPr="00845462">
              <w:t xml:space="preserve"> reviewed </w:t>
            </w:r>
            <w:r>
              <w:t xml:space="preserve">and </w:t>
            </w:r>
            <w:r w:rsidRPr="00845462">
              <w:t xml:space="preserve">approved in accordance with written policy </w:t>
            </w:r>
            <w:r>
              <w:t xml:space="preserve">and </w:t>
            </w:r>
            <w:r w:rsidRPr="00845462">
              <w:t>procedures, including a process for emergency changes.</w:t>
            </w:r>
          </w:p>
        </w:tc>
        <w:tc>
          <w:tcPr>
            <w:tcW w:w="503" w:type="pct"/>
          </w:tcPr>
          <w:p w:rsidR="004255C1" w:rsidRDefault="004255C1" w:rsidP="001B43DC">
            <w:pPr>
              <w:spacing w:after="120"/>
            </w:pPr>
          </w:p>
        </w:tc>
      </w:tr>
      <w:tr w:rsidR="004255C1" w:rsidTr="001B43DC">
        <w:tc>
          <w:tcPr>
            <w:tcW w:w="4497" w:type="pct"/>
          </w:tcPr>
          <w:p w:rsidR="004255C1" w:rsidRPr="00845462" w:rsidRDefault="004255C1" w:rsidP="001B43DC">
            <w:pPr>
              <w:numPr>
                <w:ilvl w:val="0"/>
                <w:numId w:val="1"/>
              </w:numPr>
              <w:spacing w:after="120"/>
            </w:pPr>
            <w:r w:rsidRPr="001B43DC">
              <w:rPr>
                <w:u w:val="single"/>
              </w:rPr>
              <w:t>Security Categorization</w:t>
            </w:r>
            <w:r w:rsidRPr="00845462">
              <w:t xml:space="preserve"> – </w:t>
            </w:r>
            <w:r>
              <w:t>Procedures to classify</w:t>
            </w:r>
            <w:r w:rsidRPr="00845462">
              <w:t xml:space="preserve"> systems </w:t>
            </w:r>
            <w:r>
              <w:t xml:space="preserve">and </w:t>
            </w:r>
            <w:r w:rsidRPr="00845462">
              <w:t xml:space="preserve">information that is stored, processed, </w:t>
            </w:r>
            <w:r>
              <w:t xml:space="preserve">shared, </w:t>
            </w:r>
            <w:r w:rsidRPr="00845462">
              <w:t>or transmitted with respect to the type of data (e.g., confidential or sensitiv</w:t>
            </w:r>
            <w:r>
              <w:t>e</w:t>
            </w:r>
            <w:r w:rsidRPr="00845462">
              <w:t xml:space="preserve">) </w:t>
            </w:r>
            <w:r>
              <w:t xml:space="preserve">and </w:t>
            </w:r>
            <w:r w:rsidRPr="00845462">
              <w:t xml:space="preserve">its value to critical </w:t>
            </w:r>
            <w:r>
              <w:t xml:space="preserve">business </w:t>
            </w:r>
            <w:r w:rsidRPr="00845462">
              <w:t>functions</w:t>
            </w:r>
            <w:r>
              <w:t xml:space="preserve"> are in place</w:t>
            </w:r>
            <w:r w:rsidRPr="00845462">
              <w:t>.</w:t>
            </w:r>
          </w:p>
        </w:tc>
        <w:tc>
          <w:tcPr>
            <w:tcW w:w="503" w:type="pct"/>
          </w:tcPr>
          <w:p w:rsidR="004255C1" w:rsidRDefault="004255C1" w:rsidP="001B43DC">
            <w:pPr>
              <w:spacing w:after="120"/>
            </w:pPr>
          </w:p>
        </w:tc>
      </w:tr>
      <w:tr w:rsidR="004255C1" w:rsidTr="001B43DC">
        <w:tc>
          <w:tcPr>
            <w:tcW w:w="4497" w:type="pct"/>
          </w:tcPr>
          <w:p w:rsidR="004255C1" w:rsidRPr="00845462" w:rsidRDefault="004255C1" w:rsidP="001B43DC">
            <w:pPr>
              <w:numPr>
                <w:ilvl w:val="0"/>
                <w:numId w:val="1"/>
              </w:numPr>
              <w:spacing w:after="120"/>
            </w:pPr>
            <w:r w:rsidRPr="001B43DC">
              <w:rPr>
                <w:u w:val="single"/>
              </w:rPr>
              <w:t>Vulnerability Scanning</w:t>
            </w:r>
            <w:r w:rsidRPr="00845462">
              <w:t xml:space="preserve"> – </w:t>
            </w:r>
            <w:r>
              <w:t>A</w:t>
            </w:r>
            <w:r w:rsidRPr="00845462">
              <w:t xml:space="preserve"> regular occurring (e.g., bi-annual, quarterly, monthly) process using specialized scanning tools </w:t>
            </w:r>
            <w:r>
              <w:t xml:space="preserve">and </w:t>
            </w:r>
            <w:r w:rsidRPr="00845462">
              <w:t xml:space="preserve">techniques that evaluates the configuration, patches, </w:t>
            </w:r>
            <w:r>
              <w:t xml:space="preserve">and </w:t>
            </w:r>
            <w:r w:rsidRPr="00845462">
              <w:t>services for known vulnerabilities</w:t>
            </w:r>
            <w:r>
              <w:t xml:space="preserve"> is employed</w:t>
            </w:r>
            <w:r w:rsidRPr="00845462">
              <w:t>.</w:t>
            </w:r>
          </w:p>
        </w:tc>
        <w:tc>
          <w:tcPr>
            <w:tcW w:w="503" w:type="pct"/>
          </w:tcPr>
          <w:p w:rsidR="004255C1" w:rsidRDefault="004255C1" w:rsidP="001B43DC">
            <w:pPr>
              <w:spacing w:after="120"/>
            </w:pPr>
          </w:p>
        </w:tc>
      </w:tr>
      <w:tr w:rsidR="004255C1" w:rsidTr="001B43DC">
        <w:tc>
          <w:tcPr>
            <w:tcW w:w="4497" w:type="pct"/>
          </w:tcPr>
          <w:p w:rsidR="004255C1" w:rsidRPr="001B43DC" w:rsidRDefault="004255C1" w:rsidP="001B43DC">
            <w:pPr>
              <w:autoSpaceDE w:val="0"/>
              <w:autoSpaceDN w:val="0"/>
              <w:adjustRightInd w:val="0"/>
              <w:spacing w:after="120"/>
              <w:rPr>
                <w:b/>
                <w:color w:val="000000"/>
              </w:rPr>
            </w:pPr>
            <w:r w:rsidRPr="001B43DC">
              <w:rPr>
                <w:b/>
                <w:color w:val="000000"/>
              </w:rPr>
              <w:t>B.</w:t>
            </w:r>
            <w:r w:rsidR="00FC3076" w:rsidRPr="001B43DC">
              <w:rPr>
                <w:b/>
                <w:color w:val="000000"/>
              </w:rPr>
              <w:t xml:space="preserve"> </w:t>
            </w:r>
            <w:r w:rsidRPr="001B43DC">
              <w:rPr>
                <w:b/>
                <w:color w:val="000000"/>
              </w:rPr>
              <w:t xml:space="preserve"> Personnel Practices</w:t>
            </w:r>
          </w:p>
        </w:tc>
        <w:tc>
          <w:tcPr>
            <w:tcW w:w="503" w:type="pct"/>
          </w:tcPr>
          <w:p w:rsidR="004255C1" w:rsidRDefault="004255C1" w:rsidP="008240D6"/>
        </w:tc>
      </w:tr>
      <w:tr w:rsidR="004255C1" w:rsidTr="001B43DC">
        <w:tc>
          <w:tcPr>
            <w:tcW w:w="4497" w:type="pct"/>
          </w:tcPr>
          <w:p w:rsidR="004255C1" w:rsidRPr="00845462" w:rsidRDefault="004255C1" w:rsidP="001B43DC">
            <w:pPr>
              <w:numPr>
                <w:ilvl w:val="0"/>
                <w:numId w:val="2"/>
              </w:numPr>
              <w:spacing w:after="120"/>
            </w:pPr>
            <w:r w:rsidRPr="001B43DC">
              <w:rPr>
                <w:u w:val="single"/>
              </w:rPr>
              <w:t>Security Awareness</w:t>
            </w:r>
            <w:r w:rsidRPr="00845462">
              <w:t xml:space="preserve"> – </w:t>
            </w:r>
            <w:r>
              <w:t>T</w:t>
            </w:r>
            <w:r w:rsidRPr="00845462">
              <w:t xml:space="preserve">raining </w:t>
            </w:r>
            <w:r>
              <w:t xml:space="preserve">is provided </w:t>
            </w:r>
            <w:r w:rsidRPr="00845462">
              <w:t xml:space="preserve">to all </w:t>
            </w:r>
            <w:r>
              <w:t>employees and contractors on an annual basis</w:t>
            </w:r>
            <w:r w:rsidRPr="00845462">
              <w:t xml:space="preserve"> that addresses acceptable use </w:t>
            </w:r>
            <w:r>
              <w:t xml:space="preserve">and </w:t>
            </w:r>
            <w:r w:rsidRPr="00845462">
              <w:t>good computing practice</w:t>
            </w:r>
            <w:r>
              <w:t>s</w:t>
            </w:r>
            <w:r w:rsidRPr="00845462">
              <w:t xml:space="preserve"> for systems </w:t>
            </w:r>
            <w:r>
              <w:t>they</w:t>
            </w:r>
            <w:r w:rsidRPr="00845462">
              <w:t xml:space="preserve"> are authorized to access. </w:t>
            </w:r>
            <w:r>
              <w:t xml:space="preserve"> </w:t>
            </w:r>
            <w:r w:rsidRPr="00845462">
              <w:t xml:space="preserve">Content of training </w:t>
            </w:r>
            <w:r>
              <w:t>is</w:t>
            </w:r>
            <w:r w:rsidRPr="00845462">
              <w:t xml:space="preserve"> based on the </w:t>
            </w:r>
            <w:r>
              <w:t>agency</w:t>
            </w:r>
            <w:r w:rsidRPr="00845462">
              <w:t>’s policies addressing issues</w:t>
            </w:r>
            <w:r>
              <w:t>,</w:t>
            </w:r>
            <w:r w:rsidRPr="00845462">
              <w:t xml:space="preserve"> such as</w:t>
            </w:r>
            <w:r>
              <w:t>,</w:t>
            </w:r>
            <w:r w:rsidRPr="00845462">
              <w:t xml:space="preserve"> </w:t>
            </w:r>
            <w:r>
              <w:t xml:space="preserve">privacy requirements, </w:t>
            </w:r>
            <w:r w:rsidRPr="00845462">
              <w:t xml:space="preserve">virus protection, </w:t>
            </w:r>
            <w:r>
              <w:t xml:space="preserve">incident </w:t>
            </w:r>
            <w:r w:rsidRPr="00845462">
              <w:t>reporting,</w:t>
            </w:r>
            <w:r>
              <w:t xml:space="preserve"> Internet use,</w:t>
            </w:r>
            <w:r w:rsidRPr="00845462">
              <w:t xml:space="preserve"> notification to staff </w:t>
            </w:r>
            <w:r>
              <w:t>about</w:t>
            </w:r>
            <w:r w:rsidRPr="00845462">
              <w:t xml:space="preserve"> monitoring activities, password</w:t>
            </w:r>
            <w:r>
              <w:t xml:space="preserve"> requirements, and consequences of legal and policy violations</w:t>
            </w:r>
            <w:r w:rsidRPr="00845462">
              <w:t>.</w:t>
            </w:r>
          </w:p>
        </w:tc>
        <w:tc>
          <w:tcPr>
            <w:tcW w:w="503" w:type="pct"/>
          </w:tcPr>
          <w:p w:rsidR="004255C1" w:rsidRDefault="004255C1" w:rsidP="001B43DC">
            <w:pPr>
              <w:spacing w:after="120"/>
            </w:pPr>
          </w:p>
        </w:tc>
      </w:tr>
      <w:tr w:rsidR="00CE0A38" w:rsidTr="001B43DC">
        <w:tc>
          <w:tcPr>
            <w:tcW w:w="4497" w:type="pct"/>
          </w:tcPr>
          <w:p w:rsidR="00CE0A38" w:rsidRPr="001B43DC" w:rsidRDefault="00CE0A38" w:rsidP="001B43DC">
            <w:pPr>
              <w:numPr>
                <w:ilvl w:val="0"/>
                <w:numId w:val="2"/>
              </w:numPr>
              <w:spacing w:after="120"/>
              <w:rPr>
                <w:u w:val="single"/>
              </w:rPr>
            </w:pPr>
            <w:r w:rsidRPr="001B43DC">
              <w:rPr>
                <w:u w:val="single"/>
              </w:rPr>
              <w:t>Human Resources Security</w:t>
            </w:r>
            <w:r w:rsidRPr="009A3F81">
              <w:t xml:space="preserve"> </w:t>
            </w:r>
            <w:r w:rsidRPr="00845462">
              <w:t xml:space="preserve">– </w:t>
            </w:r>
            <w:r>
              <w:t>P</w:t>
            </w:r>
            <w:r w:rsidRPr="00845462">
              <w:t>olic</w:t>
            </w:r>
            <w:r>
              <w:t xml:space="preserve">ies and procedures </w:t>
            </w:r>
            <w:r w:rsidRPr="00845462">
              <w:t xml:space="preserve">that address purpose, scope, roles, responsibilities, </w:t>
            </w:r>
            <w:r>
              <w:t xml:space="preserve">and </w:t>
            </w:r>
            <w:r w:rsidRPr="00845462">
              <w:t>compliance to support personnel security requirements</w:t>
            </w:r>
            <w:r>
              <w:t>, such as access rights, disciplinary process, etc</w:t>
            </w:r>
            <w:r w:rsidRPr="00845462">
              <w:t>.</w:t>
            </w:r>
            <w:r>
              <w:t xml:space="preserve"> are in place.</w:t>
            </w:r>
          </w:p>
        </w:tc>
        <w:tc>
          <w:tcPr>
            <w:tcW w:w="503" w:type="pct"/>
          </w:tcPr>
          <w:p w:rsidR="00CE0A38" w:rsidRDefault="00CE0A38" w:rsidP="001B43DC">
            <w:pPr>
              <w:spacing w:after="120"/>
            </w:pPr>
          </w:p>
        </w:tc>
      </w:tr>
      <w:tr w:rsidR="00CE0A38" w:rsidTr="001B43DC">
        <w:tc>
          <w:tcPr>
            <w:tcW w:w="4497" w:type="pct"/>
          </w:tcPr>
          <w:p w:rsidR="00CE0A38" w:rsidRPr="00845462" w:rsidRDefault="00CE0A38" w:rsidP="001B43DC">
            <w:pPr>
              <w:numPr>
                <w:ilvl w:val="0"/>
                <w:numId w:val="2"/>
              </w:numPr>
              <w:spacing w:after="120"/>
            </w:pPr>
            <w:r w:rsidRPr="001B43DC">
              <w:rPr>
                <w:u w:val="single"/>
              </w:rPr>
              <w:t>Position Categorization</w:t>
            </w:r>
            <w:r w:rsidRPr="00845462">
              <w:t xml:space="preserve"> – </w:t>
            </w:r>
            <w:r>
              <w:t>P</w:t>
            </w:r>
            <w:r w:rsidRPr="00845462">
              <w:t xml:space="preserve">rocedures for identifying system access needs by job function </w:t>
            </w:r>
            <w:r>
              <w:t xml:space="preserve">and </w:t>
            </w:r>
            <w:r w:rsidRPr="00845462">
              <w:t>screening criteria for individuals performing those functions</w:t>
            </w:r>
            <w:r>
              <w:t xml:space="preserve"> are in place</w:t>
            </w:r>
            <w:r w:rsidRPr="00845462">
              <w:t>.</w:t>
            </w:r>
          </w:p>
        </w:tc>
        <w:tc>
          <w:tcPr>
            <w:tcW w:w="503" w:type="pct"/>
          </w:tcPr>
          <w:p w:rsidR="00CE0A38" w:rsidRDefault="00CE0A38" w:rsidP="001B43DC">
            <w:pPr>
              <w:spacing w:after="120"/>
            </w:pPr>
          </w:p>
        </w:tc>
      </w:tr>
    </w:tbl>
    <w:p w:rsidR="00CE0A38" w:rsidRDefault="00CE0A38"/>
    <w:p w:rsidR="00AE2DCA" w:rsidRDefault="00AE2DCA" w:rsidP="00AE2DCA">
      <w:pPr>
        <w:spacing w:after="120"/>
        <w:rPr>
          <w:u w:val="single"/>
        </w:rPr>
        <w:sectPr w:rsidR="00AE2DCA" w:rsidSect="00CE0A38">
          <w:footerReference w:type="default" r:id="rId14"/>
          <w:pgSz w:w="12240" w:h="15840"/>
          <w:pgMar w:top="720" w:right="720" w:bottom="720" w:left="72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7"/>
        <w:gridCol w:w="1083"/>
      </w:tblGrid>
      <w:tr w:rsidR="00AE2DCA" w:rsidTr="001B43DC">
        <w:tc>
          <w:tcPr>
            <w:tcW w:w="4498" w:type="pct"/>
            <w:shd w:val="clear" w:color="auto" w:fill="F3F3F3"/>
          </w:tcPr>
          <w:p w:rsidR="00AE2DCA" w:rsidRPr="001B43DC" w:rsidRDefault="00AE2DCA" w:rsidP="001B43DC">
            <w:pPr>
              <w:spacing w:after="120"/>
              <w:rPr>
                <w:u w:val="single"/>
              </w:rPr>
            </w:pPr>
          </w:p>
        </w:tc>
        <w:tc>
          <w:tcPr>
            <w:tcW w:w="502" w:type="pct"/>
            <w:shd w:val="clear" w:color="auto" w:fill="F3F3F3"/>
          </w:tcPr>
          <w:p w:rsidR="00AE2DCA" w:rsidRDefault="00AE2DCA" w:rsidP="001B43DC">
            <w:pPr>
              <w:spacing w:after="120"/>
              <w:jc w:val="center"/>
            </w:pPr>
            <w:r>
              <w:t>Yes/No</w:t>
            </w:r>
          </w:p>
        </w:tc>
      </w:tr>
      <w:tr w:rsidR="00CE0A38" w:rsidTr="001B43DC">
        <w:tc>
          <w:tcPr>
            <w:tcW w:w="4498" w:type="pct"/>
          </w:tcPr>
          <w:p w:rsidR="00CE0A38" w:rsidRPr="00845462" w:rsidRDefault="00CE0A38" w:rsidP="001B43DC">
            <w:pPr>
              <w:numPr>
                <w:ilvl w:val="0"/>
                <w:numId w:val="2"/>
              </w:numPr>
              <w:spacing w:after="120"/>
            </w:pPr>
            <w:r w:rsidRPr="001B43DC">
              <w:rPr>
                <w:u w:val="single"/>
              </w:rPr>
              <w:t>Personnel Separation</w:t>
            </w:r>
            <w:r w:rsidRPr="00845462">
              <w:t xml:space="preserve"> – </w:t>
            </w:r>
            <w:r>
              <w:t>A</w:t>
            </w:r>
            <w:r w:rsidRPr="00845462">
              <w:t xml:space="preserve"> process to terminate information system </w:t>
            </w:r>
            <w:r>
              <w:t xml:space="preserve">and physical </w:t>
            </w:r>
            <w:r w:rsidRPr="00845462">
              <w:t xml:space="preserve">access </w:t>
            </w:r>
            <w:r>
              <w:t xml:space="preserve">and </w:t>
            </w:r>
            <w:r w:rsidRPr="00845462">
              <w:t xml:space="preserve">ensure the return of all </w:t>
            </w:r>
            <w:r>
              <w:t>agency-related</w:t>
            </w:r>
            <w:r w:rsidRPr="00845462">
              <w:t xml:space="preserve"> property (keys, id badges, etc.)</w:t>
            </w:r>
            <w:r>
              <w:t xml:space="preserve"> when an individual changes assignments or separates from the agency is developed and implemented.</w:t>
            </w:r>
          </w:p>
        </w:tc>
        <w:tc>
          <w:tcPr>
            <w:tcW w:w="502" w:type="pct"/>
          </w:tcPr>
          <w:p w:rsidR="00CE0A38" w:rsidRDefault="00CE0A38" w:rsidP="001B43DC">
            <w:pPr>
              <w:spacing w:after="120"/>
            </w:pPr>
          </w:p>
        </w:tc>
      </w:tr>
      <w:tr w:rsidR="00CE0A38" w:rsidTr="001B43DC">
        <w:tc>
          <w:tcPr>
            <w:tcW w:w="4498" w:type="pct"/>
          </w:tcPr>
          <w:p w:rsidR="00CE0A38" w:rsidRPr="00845462" w:rsidRDefault="00CE0A38" w:rsidP="001B43DC">
            <w:pPr>
              <w:numPr>
                <w:ilvl w:val="0"/>
                <w:numId w:val="2"/>
              </w:numPr>
              <w:spacing w:after="120"/>
            </w:pPr>
            <w:r w:rsidRPr="001B43DC">
              <w:rPr>
                <w:u w:val="single"/>
              </w:rPr>
              <w:t>Third Party or Contractor Security</w:t>
            </w:r>
            <w:r w:rsidRPr="00845462">
              <w:t xml:space="preserve"> – </w:t>
            </w:r>
            <w:r>
              <w:t>P</w:t>
            </w:r>
            <w:r w:rsidRPr="00845462">
              <w:t xml:space="preserve">ersonnel security requirements for third-party providers </w:t>
            </w:r>
            <w:r>
              <w:t xml:space="preserve">and </w:t>
            </w:r>
            <w:r w:rsidRPr="00845462">
              <w:t>procedures to monitor compliance</w:t>
            </w:r>
            <w:r>
              <w:t xml:space="preserve"> are in place</w:t>
            </w:r>
            <w:r w:rsidRPr="00845462">
              <w:t xml:space="preserve">.  Requirements </w:t>
            </w:r>
            <w:r>
              <w:t xml:space="preserve">are </w:t>
            </w:r>
            <w:r w:rsidRPr="00845462">
              <w:t>included in acquisition-related documents</w:t>
            </w:r>
            <w:r>
              <w:t>,</w:t>
            </w:r>
            <w:r w:rsidRPr="00845462">
              <w:t xml:space="preserve"> </w:t>
            </w:r>
            <w:r>
              <w:t>such as service-level agreements, contracts, and memorandums of understanding.</w:t>
            </w:r>
          </w:p>
        </w:tc>
        <w:tc>
          <w:tcPr>
            <w:tcW w:w="502" w:type="pct"/>
          </w:tcPr>
          <w:p w:rsidR="00CE0A38" w:rsidRDefault="00CE0A38" w:rsidP="008240D6"/>
        </w:tc>
      </w:tr>
      <w:tr w:rsidR="00CE0A38" w:rsidTr="001B43DC">
        <w:tc>
          <w:tcPr>
            <w:tcW w:w="4498" w:type="pct"/>
          </w:tcPr>
          <w:p w:rsidR="00CE0A38" w:rsidRPr="00845462" w:rsidRDefault="00CE0A38" w:rsidP="001B43DC">
            <w:pPr>
              <w:numPr>
                <w:ilvl w:val="0"/>
                <w:numId w:val="2"/>
              </w:numPr>
              <w:spacing w:after="120"/>
            </w:pPr>
            <w:r w:rsidRPr="001B43DC">
              <w:rPr>
                <w:u w:val="single"/>
              </w:rPr>
              <w:t>Personnel Screening</w:t>
            </w:r>
            <w:r w:rsidRPr="00845462">
              <w:t xml:space="preserve"> – </w:t>
            </w:r>
            <w:r>
              <w:t>E</w:t>
            </w:r>
            <w:r w:rsidRPr="00845462">
              <w:t xml:space="preserve">mployee history </w:t>
            </w:r>
            <w:r>
              <w:t>and</w:t>
            </w:r>
            <w:r w:rsidRPr="00845462">
              <w:t xml:space="preserve">/or a background check </w:t>
            </w:r>
            <w:r>
              <w:t xml:space="preserve">is performed </w:t>
            </w:r>
            <w:r w:rsidRPr="00845462">
              <w:t>on employees who work with or have access to confidential or sensitive information or critical systems.</w:t>
            </w:r>
          </w:p>
        </w:tc>
        <w:tc>
          <w:tcPr>
            <w:tcW w:w="502" w:type="pct"/>
          </w:tcPr>
          <w:p w:rsidR="00CE0A38" w:rsidRDefault="00CE0A38" w:rsidP="008240D6"/>
        </w:tc>
      </w:tr>
      <w:tr w:rsidR="00CE0A38" w:rsidTr="001B43DC">
        <w:tc>
          <w:tcPr>
            <w:tcW w:w="4498" w:type="pct"/>
          </w:tcPr>
          <w:p w:rsidR="00CE0A38" w:rsidRPr="001B43DC" w:rsidRDefault="00CE0A38" w:rsidP="001B43DC">
            <w:pPr>
              <w:autoSpaceDE w:val="0"/>
              <w:autoSpaceDN w:val="0"/>
              <w:adjustRightInd w:val="0"/>
              <w:spacing w:after="120"/>
              <w:rPr>
                <w:b/>
                <w:color w:val="000000"/>
              </w:rPr>
            </w:pPr>
            <w:r w:rsidRPr="001B43DC">
              <w:rPr>
                <w:b/>
                <w:color w:val="000000"/>
              </w:rPr>
              <w:t xml:space="preserve">C.  Physical Security Practices </w:t>
            </w:r>
          </w:p>
        </w:tc>
        <w:tc>
          <w:tcPr>
            <w:tcW w:w="502" w:type="pct"/>
          </w:tcPr>
          <w:p w:rsidR="00CE0A38" w:rsidRDefault="00CE0A38" w:rsidP="008240D6"/>
        </w:tc>
      </w:tr>
      <w:tr w:rsidR="00CE0A38" w:rsidTr="001B43DC">
        <w:tc>
          <w:tcPr>
            <w:tcW w:w="4498" w:type="pct"/>
          </w:tcPr>
          <w:p w:rsidR="00CE0A38" w:rsidRPr="00845462" w:rsidRDefault="00CE0A38" w:rsidP="001B43DC">
            <w:pPr>
              <w:numPr>
                <w:ilvl w:val="0"/>
                <w:numId w:val="3"/>
              </w:numPr>
              <w:spacing w:after="120"/>
            </w:pPr>
            <w:r w:rsidRPr="001B43DC">
              <w:rPr>
                <w:u w:val="single"/>
              </w:rPr>
              <w:t>Physical and Environmental Program</w:t>
            </w:r>
            <w:r w:rsidRPr="00845462">
              <w:t xml:space="preserve"> – </w:t>
            </w:r>
            <w:r>
              <w:t>P</w:t>
            </w:r>
            <w:r w:rsidRPr="00845462">
              <w:t xml:space="preserve">olicy </w:t>
            </w:r>
            <w:r>
              <w:t xml:space="preserve">and procedures </w:t>
            </w:r>
            <w:r w:rsidRPr="00845462">
              <w:t>that address</w:t>
            </w:r>
            <w:r>
              <w:t xml:space="preserve"> the</w:t>
            </w:r>
            <w:r w:rsidRPr="00845462">
              <w:t xml:space="preserve"> purpose, scope, roles, responsibilities, </w:t>
            </w:r>
            <w:r>
              <w:t xml:space="preserve">and </w:t>
            </w:r>
            <w:r w:rsidRPr="00845462">
              <w:t>compliance</w:t>
            </w:r>
            <w:r>
              <w:t xml:space="preserve"> for physical and environmental security, such as security perimeter and entry controls, working in secure areas, equipment security, cabling security, fire detection and suppression, room temperature controls, etc. are in place.</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3"/>
              </w:numPr>
              <w:spacing w:after="120"/>
            </w:pPr>
            <w:r w:rsidRPr="001B43DC">
              <w:rPr>
                <w:u w:val="single"/>
              </w:rPr>
              <w:t>Physical Access Monitoring</w:t>
            </w:r>
            <w:r w:rsidRPr="00845462">
              <w:t xml:space="preserve"> – </w:t>
            </w:r>
            <w:r>
              <w:t xml:space="preserve">The need for monitored access to business areas is evaluated.  In monitored areas, </w:t>
            </w:r>
            <w:r w:rsidRPr="00845462">
              <w:t xml:space="preserve">records for approved personnel access </w:t>
            </w:r>
            <w:r>
              <w:t xml:space="preserve">and </w:t>
            </w:r>
            <w:r w:rsidRPr="00845462">
              <w:t>sign-in sheets for visitors</w:t>
            </w:r>
            <w:r>
              <w:t xml:space="preserve"> are maintained</w:t>
            </w:r>
            <w:r w:rsidRPr="00845462">
              <w:t xml:space="preserve">.  </w:t>
            </w:r>
            <w:r>
              <w:t>Logs are p</w:t>
            </w:r>
            <w:r w:rsidRPr="00845462">
              <w:t>eriodically review</w:t>
            </w:r>
            <w:r>
              <w:t xml:space="preserve">ed, </w:t>
            </w:r>
            <w:r w:rsidRPr="00845462">
              <w:t>violations or suspicious activities</w:t>
            </w:r>
            <w:r>
              <w:t xml:space="preserve"> are investigated, and action is taken to address issues.</w:t>
            </w:r>
            <w:r w:rsidRPr="00845462">
              <w:t xml:space="preserve"> </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3"/>
              </w:numPr>
              <w:spacing w:after="120"/>
            </w:pPr>
            <w:r w:rsidRPr="001B43DC">
              <w:rPr>
                <w:u w:val="single"/>
              </w:rPr>
              <w:t>Physical Access Control</w:t>
            </w:r>
            <w:r w:rsidRPr="00845462">
              <w:t xml:space="preserve"> – </w:t>
            </w:r>
            <w:r>
              <w:t>P</w:t>
            </w:r>
            <w:r w:rsidRPr="00845462">
              <w:t xml:space="preserve">hysical access to facilities containing information systems </w:t>
            </w:r>
            <w:r>
              <w:t xml:space="preserve">is controlled and </w:t>
            </w:r>
            <w:r w:rsidRPr="00845462">
              <w:t xml:space="preserve">individual’s authorization </w:t>
            </w:r>
            <w:r>
              <w:t xml:space="preserve">is verified </w:t>
            </w:r>
            <w:r w:rsidRPr="00845462">
              <w:t>before granting access.</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3"/>
              </w:numPr>
              <w:spacing w:after="120"/>
            </w:pPr>
            <w:r w:rsidRPr="001B43DC">
              <w:rPr>
                <w:u w:val="single"/>
              </w:rPr>
              <w:t>Environmental Controls</w:t>
            </w:r>
            <w:r w:rsidRPr="00845462">
              <w:t xml:space="preserve"> – </w:t>
            </w:r>
            <w:r>
              <w:t>T</w:t>
            </w:r>
            <w:r w:rsidRPr="00845462">
              <w:t>he necessary environmental controls, based on a</w:t>
            </w:r>
            <w:r>
              <w:t xml:space="preserve"> requirements </w:t>
            </w:r>
            <w:r w:rsidRPr="00845462">
              <w:t>assessment, which includ</w:t>
            </w:r>
            <w:r>
              <w:t>es but is not limited to b</w:t>
            </w:r>
            <w:r w:rsidRPr="00845462">
              <w:t>ackup power to facilitate an orderly shutdown process</w:t>
            </w:r>
            <w:r>
              <w:t>, f</w:t>
            </w:r>
            <w:r w:rsidRPr="00845462">
              <w:t xml:space="preserve">ire detection </w:t>
            </w:r>
            <w:r>
              <w:t xml:space="preserve">and </w:t>
            </w:r>
            <w:r w:rsidRPr="00845462">
              <w:t>suppression</w:t>
            </w:r>
            <w:r>
              <w:t>, t</w:t>
            </w:r>
            <w:r w:rsidRPr="00845462">
              <w:t xml:space="preserve">emperature </w:t>
            </w:r>
            <w:r>
              <w:t xml:space="preserve">and </w:t>
            </w:r>
            <w:r w:rsidRPr="00845462">
              <w:t>humidity controls</w:t>
            </w:r>
            <w:r>
              <w:t>, w</w:t>
            </w:r>
            <w:r w:rsidRPr="00845462">
              <w:t xml:space="preserve">ater damage detection </w:t>
            </w:r>
            <w:r>
              <w:t>and mitigation are p</w:t>
            </w:r>
            <w:r w:rsidRPr="00845462">
              <w:t>rovi</w:t>
            </w:r>
            <w:r>
              <w:t>sioned</w:t>
            </w:r>
            <w:r w:rsidRPr="00845462">
              <w:t xml:space="preserve"> </w:t>
            </w:r>
            <w:r>
              <w:t xml:space="preserve">and </w:t>
            </w:r>
            <w:r w:rsidRPr="00845462">
              <w:t>properly maintain</w:t>
            </w:r>
            <w:r>
              <w:t>ed.</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3"/>
              </w:numPr>
              <w:spacing w:after="120"/>
            </w:pPr>
            <w:r w:rsidRPr="001B43DC">
              <w:rPr>
                <w:u w:val="single"/>
              </w:rPr>
              <w:t>Secure Disposal of Equipment</w:t>
            </w:r>
            <w:r>
              <w:t xml:space="preserve"> – Processes are in place to permanently remove any sensitive data and licensed software prior to disposal. </w:t>
            </w:r>
          </w:p>
        </w:tc>
        <w:tc>
          <w:tcPr>
            <w:tcW w:w="502" w:type="pct"/>
          </w:tcPr>
          <w:p w:rsidR="00CE0A38" w:rsidRDefault="00CE0A38" w:rsidP="001B43DC">
            <w:pPr>
              <w:ind w:left="360"/>
            </w:pPr>
          </w:p>
        </w:tc>
      </w:tr>
      <w:tr w:rsidR="00CE0A38" w:rsidTr="001B43DC">
        <w:tc>
          <w:tcPr>
            <w:tcW w:w="4498" w:type="pct"/>
          </w:tcPr>
          <w:p w:rsidR="00CE0A38" w:rsidRPr="001B43DC" w:rsidRDefault="00CE0A38" w:rsidP="001B43DC">
            <w:pPr>
              <w:autoSpaceDE w:val="0"/>
              <w:autoSpaceDN w:val="0"/>
              <w:adjustRightInd w:val="0"/>
              <w:spacing w:after="120"/>
              <w:rPr>
                <w:b/>
                <w:color w:val="000000"/>
              </w:rPr>
            </w:pPr>
            <w:r w:rsidRPr="001B43DC">
              <w:rPr>
                <w:b/>
                <w:color w:val="000000"/>
              </w:rPr>
              <w:t xml:space="preserve">D.  Data Security Practices </w:t>
            </w:r>
          </w:p>
        </w:tc>
        <w:tc>
          <w:tcPr>
            <w:tcW w:w="502" w:type="pct"/>
          </w:tcPr>
          <w:p w:rsidR="00CE0A38" w:rsidRDefault="00CE0A38" w:rsidP="001B43DC">
            <w:pPr>
              <w:ind w:left="360"/>
            </w:pPr>
          </w:p>
        </w:tc>
      </w:tr>
      <w:tr w:rsidR="00CE0A38" w:rsidTr="001B43DC">
        <w:tc>
          <w:tcPr>
            <w:tcW w:w="4498" w:type="pct"/>
          </w:tcPr>
          <w:p w:rsidR="00CE0A38" w:rsidRPr="003C5BD2" w:rsidRDefault="00CE0A38" w:rsidP="001B43DC">
            <w:pPr>
              <w:numPr>
                <w:ilvl w:val="0"/>
                <w:numId w:val="4"/>
              </w:numPr>
              <w:spacing w:after="120"/>
            </w:pPr>
            <w:r w:rsidRPr="001B43DC">
              <w:rPr>
                <w:u w:val="single"/>
              </w:rPr>
              <w:t>Disaster Recovery Planning</w:t>
            </w:r>
            <w:r w:rsidRPr="003C5BD2">
              <w:t xml:space="preserve"> – A Disaster Recovery Plan (DRP) is in place that supports the current business continuity needs of the agency.  The DRP plans for the recovery of technology and communications following any major event that disrupts the normal business environment, provides for periodic updating and testing of the plan, and its documentation includes, but is not limited to:</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5"/>
              </w:numPr>
              <w:tabs>
                <w:tab w:val="clear" w:pos="1008"/>
                <w:tab w:val="num" w:pos="1080"/>
              </w:tabs>
              <w:spacing w:after="120"/>
              <w:ind w:left="1080" w:hanging="360"/>
            </w:pPr>
            <w:r w:rsidRPr="00845462">
              <w:t xml:space="preserve">Recovery based on critical </w:t>
            </w:r>
            <w:r>
              <w:t xml:space="preserve">and </w:t>
            </w:r>
            <w:r w:rsidRPr="00845462">
              <w:t xml:space="preserve">sensitive business needs.  </w:t>
            </w:r>
          </w:p>
        </w:tc>
        <w:tc>
          <w:tcPr>
            <w:tcW w:w="502" w:type="pct"/>
          </w:tcPr>
          <w:p w:rsidR="00CE0A38" w:rsidRDefault="00CE0A38" w:rsidP="001B43DC">
            <w:pPr>
              <w:ind w:left="360"/>
            </w:pPr>
          </w:p>
        </w:tc>
      </w:tr>
      <w:tr w:rsidR="00CE0A38" w:rsidTr="001B43DC">
        <w:trPr>
          <w:trHeight w:val="278"/>
        </w:trPr>
        <w:tc>
          <w:tcPr>
            <w:tcW w:w="4498" w:type="pct"/>
          </w:tcPr>
          <w:p w:rsidR="00CE0A38" w:rsidRPr="00845462" w:rsidRDefault="00CE0A38" w:rsidP="001B43DC">
            <w:pPr>
              <w:numPr>
                <w:ilvl w:val="0"/>
                <w:numId w:val="5"/>
              </w:numPr>
              <w:tabs>
                <w:tab w:val="clear" w:pos="1008"/>
                <w:tab w:val="num" w:pos="1080"/>
              </w:tabs>
              <w:spacing w:after="120"/>
              <w:ind w:left="1080" w:hanging="360"/>
            </w:pPr>
            <w:r w:rsidRPr="00845462">
              <w:t xml:space="preserve">Location of regular backups of systems </w:t>
            </w:r>
            <w:r>
              <w:t xml:space="preserve">and </w:t>
            </w:r>
            <w:r w:rsidRPr="00845462">
              <w:t xml:space="preserve">data, with documentation. </w:t>
            </w:r>
          </w:p>
        </w:tc>
        <w:tc>
          <w:tcPr>
            <w:tcW w:w="502" w:type="pct"/>
          </w:tcPr>
          <w:p w:rsidR="00CE0A38" w:rsidRDefault="00CE0A38" w:rsidP="001B43DC">
            <w:pPr>
              <w:ind w:left="360"/>
            </w:pPr>
          </w:p>
        </w:tc>
      </w:tr>
      <w:tr w:rsidR="00CE0A38" w:rsidTr="001B43DC">
        <w:tc>
          <w:tcPr>
            <w:tcW w:w="4498" w:type="pct"/>
          </w:tcPr>
          <w:p w:rsidR="00CE0A38" w:rsidRPr="00845462" w:rsidRDefault="00CE0A38" w:rsidP="001B43DC">
            <w:pPr>
              <w:numPr>
                <w:ilvl w:val="0"/>
                <w:numId w:val="5"/>
              </w:numPr>
              <w:tabs>
                <w:tab w:val="clear" w:pos="1008"/>
                <w:tab w:val="num" w:pos="1080"/>
              </w:tabs>
              <w:spacing w:after="120"/>
              <w:ind w:left="1080" w:hanging="360"/>
            </w:pPr>
            <w:r>
              <w:t xml:space="preserve">Regularly updated information about where copies of the plan reside, including appropriate off-site locations.  </w:t>
            </w:r>
          </w:p>
        </w:tc>
        <w:tc>
          <w:tcPr>
            <w:tcW w:w="502" w:type="pct"/>
          </w:tcPr>
          <w:p w:rsidR="00CE0A38" w:rsidRDefault="00CE0A38" w:rsidP="001B43DC">
            <w:pPr>
              <w:ind w:left="360"/>
            </w:pPr>
          </w:p>
        </w:tc>
      </w:tr>
      <w:tr w:rsidR="00CE0A38" w:rsidTr="001B43DC">
        <w:tc>
          <w:tcPr>
            <w:tcW w:w="4498" w:type="pct"/>
            <w:tcBorders>
              <w:bottom w:val="single" w:sz="4" w:space="0" w:color="auto"/>
            </w:tcBorders>
          </w:tcPr>
          <w:p w:rsidR="00CE0A38" w:rsidRPr="00845462" w:rsidRDefault="00CE0A38" w:rsidP="001B43DC">
            <w:pPr>
              <w:numPr>
                <w:ilvl w:val="0"/>
                <w:numId w:val="5"/>
              </w:numPr>
              <w:tabs>
                <w:tab w:val="clear" w:pos="1008"/>
                <w:tab w:val="num" w:pos="1080"/>
              </w:tabs>
              <w:spacing w:after="120"/>
              <w:ind w:left="1080" w:hanging="360"/>
            </w:pPr>
            <w:r>
              <w:t>Training for appropriate personnel.</w:t>
            </w:r>
          </w:p>
        </w:tc>
        <w:tc>
          <w:tcPr>
            <w:tcW w:w="502" w:type="pct"/>
            <w:tcBorders>
              <w:bottom w:val="single" w:sz="4" w:space="0" w:color="auto"/>
            </w:tcBorders>
          </w:tcPr>
          <w:p w:rsidR="00CE0A38" w:rsidRDefault="00CE0A38" w:rsidP="001B43DC">
            <w:pPr>
              <w:ind w:left="360"/>
            </w:pPr>
          </w:p>
        </w:tc>
      </w:tr>
      <w:tr w:rsidR="00CE0A38" w:rsidTr="001B43DC">
        <w:tc>
          <w:tcPr>
            <w:tcW w:w="4498" w:type="pct"/>
            <w:tcBorders>
              <w:bottom w:val="single" w:sz="4" w:space="0" w:color="auto"/>
            </w:tcBorders>
          </w:tcPr>
          <w:p w:rsidR="00CE0A38" w:rsidRPr="001B43DC" w:rsidRDefault="00CE0A38" w:rsidP="001B43DC">
            <w:pPr>
              <w:numPr>
                <w:ilvl w:val="0"/>
                <w:numId w:val="4"/>
              </w:numPr>
              <w:spacing w:after="120"/>
              <w:rPr>
                <w:u w:val="single"/>
              </w:rPr>
            </w:pPr>
            <w:r w:rsidRPr="001B43DC">
              <w:rPr>
                <w:u w:val="single"/>
              </w:rPr>
              <w:t>Information Back-up</w:t>
            </w:r>
            <w:r w:rsidRPr="000B2411">
              <w:t xml:space="preserve"> – </w:t>
            </w:r>
            <w:r>
              <w:t>B</w:t>
            </w:r>
            <w:r w:rsidRPr="000B2411">
              <w:t>ackup copies of information and software are completed on a routine schedule, tested regularly, and stored off-site.</w:t>
            </w:r>
          </w:p>
        </w:tc>
        <w:tc>
          <w:tcPr>
            <w:tcW w:w="502" w:type="pct"/>
            <w:tcBorders>
              <w:bottom w:val="single" w:sz="4" w:space="0" w:color="auto"/>
            </w:tcBorders>
          </w:tcPr>
          <w:p w:rsidR="00CE0A38" w:rsidRDefault="00CE0A38" w:rsidP="001B43DC">
            <w:pPr>
              <w:ind w:left="360"/>
            </w:pPr>
          </w:p>
        </w:tc>
      </w:tr>
      <w:tr w:rsidR="00FD2A0E" w:rsidTr="001B43DC">
        <w:tc>
          <w:tcPr>
            <w:tcW w:w="4498" w:type="pct"/>
            <w:tcBorders>
              <w:top w:val="single" w:sz="4" w:space="0" w:color="auto"/>
              <w:bottom w:val="single" w:sz="4" w:space="0" w:color="auto"/>
            </w:tcBorders>
          </w:tcPr>
          <w:p w:rsidR="00FD2A0E" w:rsidRPr="001B43DC" w:rsidRDefault="00FD2A0E" w:rsidP="001B43DC">
            <w:pPr>
              <w:numPr>
                <w:ilvl w:val="0"/>
                <w:numId w:val="4"/>
              </w:numPr>
              <w:spacing w:after="120"/>
              <w:rPr>
                <w:u w:val="single"/>
              </w:rPr>
            </w:pPr>
            <w:r w:rsidRPr="001B43DC">
              <w:rPr>
                <w:u w:val="single"/>
              </w:rPr>
              <w:t>Monitoring</w:t>
            </w:r>
            <w:r w:rsidRPr="009A3F81">
              <w:t xml:space="preserve"> </w:t>
            </w:r>
            <w:r w:rsidRPr="000B2411">
              <w:t xml:space="preserve">– </w:t>
            </w:r>
            <w:r>
              <w:t xml:space="preserve">System logging, and </w:t>
            </w:r>
            <w:r w:rsidRPr="000B2411">
              <w:t xml:space="preserve">routine procedures to audit logs, security events, system use, systems alerts or failures, etc. </w:t>
            </w:r>
            <w:r>
              <w:t xml:space="preserve">are implemented </w:t>
            </w:r>
            <w:r w:rsidRPr="000B2411">
              <w:t>and log information is in place</w:t>
            </w:r>
            <w:r>
              <w:t>d where it cannot be manipulated or altered</w:t>
            </w:r>
            <w:r w:rsidRPr="000B2411">
              <w:t>.</w:t>
            </w:r>
          </w:p>
        </w:tc>
        <w:tc>
          <w:tcPr>
            <w:tcW w:w="502" w:type="pct"/>
            <w:tcBorders>
              <w:top w:val="single" w:sz="4" w:space="0" w:color="auto"/>
            </w:tcBorders>
          </w:tcPr>
          <w:p w:rsidR="00FD2A0E" w:rsidRDefault="00FD2A0E" w:rsidP="001B43DC">
            <w:pPr>
              <w:ind w:left="360"/>
            </w:pPr>
          </w:p>
        </w:tc>
      </w:tr>
    </w:tbl>
    <w:p w:rsidR="003C5BD2" w:rsidRDefault="003C5BD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7"/>
        <w:gridCol w:w="1083"/>
      </w:tblGrid>
      <w:tr w:rsidR="00CE0A38" w:rsidTr="001B43DC">
        <w:tc>
          <w:tcPr>
            <w:tcW w:w="4498" w:type="pct"/>
            <w:tcBorders>
              <w:top w:val="single" w:sz="4" w:space="0" w:color="auto"/>
              <w:bottom w:val="single" w:sz="4" w:space="0" w:color="auto"/>
            </w:tcBorders>
            <w:shd w:val="clear" w:color="auto" w:fill="F3F3F3"/>
          </w:tcPr>
          <w:p w:rsidR="00CE0A38" w:rsidRPr="001B43DC" w:rsidRDefault="00CE0A38" w:rsidP="001B43DC">
            <w:pPr>
              <w:spacing w:after="120"/>
              <w:rPr>
                <w:u w:val="single"/>
              </w:rPr>
            </w:pPr>
          </w:p>
        </w:tc>
        <w:tc>
          <w:tcPr>
            <w:tcW w:w="502" w:type="pct"/>
            <w:tcBorders>
              <w:top w:val="single" w:sz="4" w:space="0" w:color="auto"/>
              <w:bottom w:val="single" w:sz="4" w:space="0" w:color="auto"/>
            </w:tcBorders>
            <w:shd w:val="clear" w:color="auto" w:fill="F3F3F3"/>
          </w:tcPr>
          <w:p w:rsidR="00CE0A38" w:rsidRDefault="00CE0A38" w:rsidP="00C67F57">
            <w:r>
              <w:t>Yes/No</w:t>
            </w:r>
          </w:p>
        </w:tc>
      </w:tr>
      <w:tr w:rsidR="00CE0A38" w:rsidTr="001B43DC">
        <w:tc>
          <w:tcPr>
            <w:tcW w:w="4498" w:type="pct"/>
          </w:tcPr>
          <w:p w:rsidR="00CE0A38" w:rsidRPr="001B43DC" w:rsidRDefault="00CE0A38" w:rsidP="001B43DC">
            <w:pPr>
              <w:numPr>
                <w:ilvl w:val="0"/>
                <w:numId w:val="4"/>
              </w:numPr>
              <w:spacing w:after="120"/>
              <w:rPr>
                <w:u w:val="single"/>
              </w:rPr>
            </w:pPr>
            <w:r w:rsidRPr="001B43DC">
              <w:rPr>
                <w:u w:val="single"/>
              </w:rPr>
              <w:t>Data Classification</w:t>
            </w:r>
            <w:r>
              <w:t xml:space="preserve"> – Policies and processes to classify information in terms of its value, legal requirements, sensitivity, and criticality to the organization are in place. </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4"/>
              </w:numPr>
              <w:spacing w:after="120"/>
            </w:pPr>
            <w:r w:rsidRPr="001B43DC">
              <w:rPr>
                <w:u w:val="single"/>
              </w:rPr>
              <w:t>Access Controls</w:t>
            </w:r>
            <w:r w:rsidRPr="00845462">
              <w:t xml:space="preserve"> –</w:t>
            </w:r>
            <w:r>
              <w:t xml:space="preserve"> P</w:t>
            </w:r>
            <w:r w:rsidRPr="00845462">
              <w:t xml:space="preserve">olicies </w:t>
            </w:r>
            <w:r>
              <w:t xml:space="preserve">and </w:t>
            </w:r>
            <w:r w:rsidRPr="00845462">
              <w:t xml:space="preserve">procedures </w:t>
            </w:r>
            <w:r>
              <w:t xml:space="preserve">are </w:t>
            </w:r>
            <w:r w:rsidRPr="00845462">
              <w:t>in place for appropriate levels of access to computer assets</w:t>
            </w:r>
            <w:r>
              <w:t>.  Access controls include, but are not limited to:</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6"/>
              </w:numPr>
              <w:tabs>
                <w:tab w:val="clear" w:pos="1008"/>
                <w:tab w:val="num" w:pos="1080"/>
              </w:tabs>
              <w:spacing w:after="120"/>
              <w:ind w:left="1080" w:hanging="360"/>
            </w:pPr>
            <w:r w:rsidRPr="00845462">
              <w:t>Password management</w:t>
            </w:r>
            <w:r>
              <w:t>,</w:t>
            </w:r>
            <w:r w:rsidRPr="00845462">
              <w:t xml:space="preserve"> includ</w:t>
            </w:r>
            <w:r>
              <w:t>ing the use of</w:t>
            </w:r>
            <w:r w:rsidRPr="00845462">
              <w:t xml:space="preserve"> strong passwords, periodic password change, </w:t>
            </w:r>
            <w:r>
              <w:t xml:space="preserve">and </w:t>
            </w:r>
            <w:r w:rsidRPr="00845462">
              <w:t xml:space="preserve">restriction of </w:t>
            </w:r>
            <w:r>
              <w:t xml:space="preserve">sharing </w:t>
            </w:r>
            <w:r w:rsidRPr="00845462">
              <w:t xml:space="preserve">access </w:t>
            </w:r>
            <w:r>
              <w:t xml:space="preserve">and/or passwords.  System access is authorized </w:t>
            </w:r>
            <w:r w:rsidRPr="00845462">
              <w:t>according to business need</w:t>
            </w:r>
            <w:r>
              <w:t xml:space="preserve"> and password files are not stored in clear text or are otherwise adequately protected</w:t>
            </w:r>
            <w:r w:rsidRPr="00845462">
              <w:t>.</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6"/>
              </w:numPr>
              <w:tabs>
                <w:tab w:val="clear" w:pos="1008"/>
                <w:tab w:val="num" w:pos="1080"/>
              </w:tabs>
              <w:spacing w:after="120"/>
              <w:ind w:left="1080" w:hanging="360"/>
            </w:pPr>
            <w:r>
              <w:t>W</w:t>
            </w:r>
            <w:r w:rsidRPr="00845462">
              <w:t xml:space="preserve">ireless access restrictions are in place, with organizational control over access points, prohibition </w:t>
            </w:r>
            <w:r>
              <w:t xml:space="preserve">and monitoring </w:t>
            </w:r>
            <w:r w:rsidRPr="00845462">
              <w:t xml:space="preserve">against rogue access points, appropriate configuration of wireless routers </w:t>
            </w:r>
            <w:r>
              <w:t xml:space="preserve">and </w:t>
            </w:r>
            <w:r w:rsidRPr="00845462">
              <w:t xml:space="preserve">user devices, </w:t>
            </w:r>
            <w:r>
              <w:t xml:space="preserve">and </w:t>
            </w:r>
            <w:r w:rsidRPr="00845462">
              <w:t xml:space="preserve">policy, procedure, </w:t>
            </w:r>
            <w:r>
              <w:t xml:space="preserve">and </w:t>
            </w:r>
            <w:r w:rsidRPr="00845462">
              <w:t xml:space="preserve">training for technical staff </w:t>
            </w:r>
            <w:r>
              <w:t xml:space="preserve">and </w:t>
            </w:r>
            <w:r w:rsidRPr="00845462">
              <w:t>users</w:t>
            </w:r>
            <w:r>
              <w:t xml:space="preserve"> are in place</w:t>
            </w:r>
            <w:r w:rsidRPr="00845462">
              <w:t>.</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6"/>
              </w:numPr>
              <w:tabs>
                <w:tab w:val="clear" w:pos="1008"/>
                <w:tab w:val="num" w:pos="1080"/>
              </w:tabs>
              <w:spacing w:after="120"/>
              <w:ind w:left="1080" w:hanging="360"/>
            </w:pPr>
            <w:r>
              <w:t>Secure r</w:t>
            </w:r>
            <w:r w:rsidRPr="00845462">
              <w:t xml:space="preserve">emote access procedures </w:t>
            </w:r>
            <w:r>
              <w:t xml:space="preserve">and </w:t>
            </w:r>
            <w:r w:rsidRPr="00845462">
              <w:t xml:space="preserve">policies </w:t>
            </w:r>
            <w:r>
              <w:t xml:space="preserve">are in place, and are </w:t>
            </w:r>
            <w:r w:rsidRPr="00845462">
              <w:t xml:space="preserve">known </w:t>
            </w:r>
            <w:r>
              <w:t>and followed by</w:t>
            </w:r>
            <w:r w:rsidRPr="00845462">
              <w:t xml:space="preserve"> users. </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6"/>
              </w:numPr>
              <w:tabs>
                <w:tab w:val="clear" w:pos="1008"/>
                <w:tab w:val="num" w:pos="1080"/>
              </w:tabs>
              <w:spacing w:after="120"/>
              <w:ind w:left="1080" w:hanging="360"/>
            </w:pPr>
            <w:r>
              <w:t>M</w:t>
            </w:r>
            <w:r w:rsidRPr="00845462">
              <w:t xml:space="preserve">obile </w:t>
            </w:r>
            <w:r>
              <w:t xml:space="preserve">and </w:t>
            </w:r>
            <w:r w:rsidRPr="00845462">
              <w:t>portable systems</w:t>
            </w:r>
            <w:r>
              <w:t xml:space="preserve"> and their data are protected through adequate security measures, such as</w:t>
            </w:r>
            <w:r w:rsidRPr="00845462">
              <w:t xml:space="preserve"> encrypt</w:t>
            </w:r>
            <w:r>
              <w:t>ion and secure passwords, and physical security, such as</w:t>
            </w:r>
            <w:r w:rsidRPr="00845462">
              <w:t xml:space="preserve"> </w:t>
            </w:r>
            <w:r>
              <w:t>storing devices in a secure location and using cable locking devices.</w:t>
            </w:r>
          </w:p>
        </w:tc>
        <w:tc>
          <w:tcPr>
            <w:tcW w:w="502" w:type="pct"/>
          </w:tcPr>
          <w:p w:rsidR="00CE0A38" w:rsidRDefault="00CE0A38" w:rsidP="001B43DC">
            <w:pPr>
              <w:spacing w:after="120"/>
              <w:ind w:left="360"/>
            </w:pPr>
          </w:p>
        </w:tc>
      </w:tr>
      <w:tr w:rsidR="00CE0A38" w:rsidTr="001B43DC">
        <w:tc>
          <w:tcPr>
            <w:tcW w:w="4498" w:type="pct"/>
            <w:tcBorders>
              <w:bottom w:val="single" w:sz="4" w:space="0" w:color="auto"/>
            </w:tcBorders>
          </w:tcPr>
          <w:p w:rsidR="00CE0A38" w:rsidRPr="00845462" w:rsidRDefault="00CE0A38" w:rsidP="001B43DC">
            <w:pPr>
              <w:numPr>
                <w:ilvl w:val="0"/>
                <w:numId w:val="6"/>
              </w:numPr>
              <w:tabs>
                <w:tab w:val="clear" w:pos="1008"/>
                <w:tab w:val="num" w:pos="1080"/>
              </w:tabs>
              <w:spacing w:after="120"/>
              <w:ind w:left="1080" w:hanging="360"/>
            </w:pPr>
            <w:r>
              <w:t>The tracking of access and authorities, including periodic a</w:t>
            </w:r>
            <w:r w:rsidRPr="00845462">
              <w:t xml:space="preserve">udits of controls </w:t>
            </w:r>
            <w:r>
              <w:t xml:space="preserve">and </w:t>
            </w:r>
            <w:r w:rsidRPr="00845462">
              <w:t>privileges</w:t>
            </w:r>
            <w:r>
              <w:t xml:space="preserve"> is in place.</w:t>
            </w:r>
            <w:r w:rsidRPr="00845462">
              <w:t xml:space="preserve"> </w:t>
            </w:r>
          </w:p>
        </w:tc>
        <w:tc>
          <w:tcPr>
            <w:tcW w:w="502" w:type="pct"/>
            <w:tcBorders>
              <w:bottom w:val="single" w:sz="4" w:space="0" w:color="auto"/>
            </w:tcBorders>
          </w:tcPr>
          <w:p w:rsidR="00CE0A38" w:rsidRDefault="00CE0A38" w:rsidP="001B43DC">
            <w:pPr>
              <w:spacing w:after="120"/>
            </w:pPr>
          </w:p>
        </w:tc>
      </w:tr>
      <w:tr w:rsidR="00CE0A38" w:rsidTr="001B43DC">
        <w:tc>
          <w:tcPr>
            <w:tcW w:w="4498" w:type="pct"/>
            <w:tcBorders>
              <w:bottom w:val="nil"/>
            </w:tcBorders>
          </w:tcPr>
          <w:p w:rsidR="00CE0A38" w:rsidRPr="00845462" w:rsidRDefault="00CE0A38" w:rsidP="001B43DC">
            <w:pPr>
              <w:numPr>
                <w:ilvl w:val="0"/>
                <w:numId w:val="6"/>
              </w:numPr>
              <w:tabs>
                <w:tab w:val="clear" w:pos="1008"/>
                <w:tab w:val="num" w:pos="1080"/>
              </w:tabs>
              <w:spacing w:after="120"/>
              <w:ind w:left="1080" w:hanging="360"/>
            </w:pPr>
            <w:r>
              <w:t>Networks</w:t>
            </w:r>
            <w:r w:rsidRPr="00845462">
              <w:t xml:space="preserve"> challenge access request</w:t>
            </w:r>
            <w:r>
              <w:t>s</w:t>
            </w:r>
            <w:r w:rsidRPr="00845462">
              <w:t xml:space="preserve"> (both user </w:t>
            </w:r>
            <w:r>
              <w:t xml:space="preserve">and </w:t>
            </w:r>
            <w:r w:rsidRPr="00845462">
              <w:t>system</w:t>
            </w:r>
            <w:r>
              <w:t xml:space="preserve"> levels</w:t>
            </w:r>
            <w:r w:rsidRPr="00845462">
              <w:t xml:space="preserve">) </w:t>
            </w:r>
            <w:r>
              <w:t xml:space="preserve">and </w:t>
            </w:r>
            <w:r w:rsidRPr="00845462">
              <w:t>authenticate the request</w:t>
            </w:r>
            <w:r>
              <w:t>e</w:t>
            </w:r>
            <w:r w:rsidRPr="00845462">
              <w:t>r prior to granting access.</w:t>
            </w:r>
          </w:p>
        </w:tc>
        <w:tc>
          <w:tcPr>
            <w:tcW w:w="502" w:type="pct"/>
            <w:tcBorders>
              <w:bottom w:val="nil"/>
            </w:tcBorders>
          </w:tcPr>
          <w:p w:rsidR="00CE0A38" w:rsidRDefault="00CE0A38" w:rsidP="001B43DC">
            <w:pPr>
              <w:spacing w:after="120"/>
              <w:ind w:left="360"/>
            </w:pPr>
          </w:p>
        </w:tc>
      </w:tr>
      <w:tr w:rsidR="00CE0A38" w:rsidTr="001B43DC">
        <w:tc>
          <w:tcPr>
            <w:tcW w:w="4498" w:type="pct"/>
          </w:tcPr>
          <w:p w:rsidR="00CE0A38" w:rsidRPr="001B43DC" w:rsidRDefault="00CE0A38" w:rsidP="001B43DC">
            <w:pPr>
              <w:numPr>
                <w:ilvl w:val="0"/>
                <w:numId w:val="4"/>
              </w:numPr>
              <w:autoSpaceDE w:val="0"/>
              <w:autoSpaceDN w:val="0"/>
              <w:adjustRightInd w:val="0"/>
              <w:spacing w:after="120"/>
              <w:rPr>
                <w:color w:val="000000"/>
              </w:rPr>
            </w:pPr>
            <w:r w:rsidRPr="001B43DC">
              <w:rPr>
                <w:u w:val="single"/>
              </w:rPr>
              <w:t>Least Privilege</w:t>
            </w:r>
            <w:r w:rsidRPr="00845462">
              <w:t xml:space="preserve"> – </w:t>
            </w:r>
            <w:r>
              <w:t>C</w:t>
            </w:r>
            <w:r w:rsidRPr="00845462">
              <w:t xml:space="preserve">onfiguration to the lowest privilege level necessary to execute </w:t>
            </w:r>
            <w:r>
              <w:t>legitimate and authorized</w:t>
            </w:r>
            <w:r w:rsidRPr="00845462">
              <w:t xml:space="preserve"> business applications</w:t>
            </w:r>
            <w:r>
              <w:t xml:space="preserve"> is implemented.</w:t>
            </w:r>
          </w:p>
        </w:tc>
        <w:tc>
          <w:tcPr>
            <w:tcW w:w="502" w:type="pct"/>
          </w:tcPr>
          <w:p w:rsidR="00CE0A38" w:rsidRDefault="00CE0A38" w:rsidP="001B43DC">
            <w:pPr>
              <w:spacing w:after="120"/>
              <w:ind w:left="360"/>
            </w:pPr>
          </w:p>
        </w:tc>
      </w:tr>
      <w:tr w:rsidR="00CE0A38" w:rsidTr="001B43DC">
        <w:tc>
          <w:tcPr>
            <w:tcW w:w="4498" w:type="pct"/>
          </w:tcPr>
          <w:p w:rsidR="00CE0A38" w:rsidRPr="00845462" w:rsidRDefault="00CE0A38" w:rsidP="001B43DC">
            <w:pPr>
              <w:numPr>
                <w:ilvl w:val="0"/>
                <w:numId w:val="4"/>
              </w:numPr>
              <w:spacing w:after="120"/>
            </w:pPr>
            <w:r w:rsidRPr="001B43DC">
              <w:rPr>
                <w:u w:val="single"/>
              </w:rPr>
              <w:t>Data Storage and Portable Media Protection</w:t>
            </w:r>
            <w:r w:rsidRPr="00845462">
              <w:t xml:space="preserve"> –</w:t>
            </w:r>
            <w:r>
              <w:t xml:space="preserve"> Poli</w:t>
            </w:r>
            <w:r w:rsidRPr="00845462">
              <w:t xml:space="preserve">cies </w:t>
            </w:r>
            <w:r>
              <w:t xml:space="preserve">and </w:t>
            </w:r>
            <w:r w:rsidRPr="00845462">
              <w:t xml:space="preserve">procedures </w:t>
            </w:r>
            <w:r>
              <w:t xml:space="preserve">to protect data on electronic storage media, including CDs, USB drives, and tapes are in place.  Procedures include </w:t>
            </w:r>
            <w:r w:rsidRPr="00845462">
              <w:t>label</w:t>
            </w:r>
            <w:r>
              <w:t xml:space="preserve">s on media to show sensitivity levels and </w:t>
            </w:r>
            <w:r w:rsidRPr="00845462">
              <w:t>h</w:t>
            </w:r>
            <w:r>
              <w:t>and</w:t>
            </w:r>
            <w:r w:rsidRPr="00845462">
              <w:t>ling</w:t>
            </w:r>
            <w:r>
              <w:t xml:space="preserve"> requirements, </w:t>
            </w:r>
            <w:r w:rsidRPr="00845462">
              <w:t>rotation</w:t>
            </w:r>
            <w:r>
              <w:t xml:space="preserve">, retention and archival schedules, and appropriate </w:t>
            </w:r>
            <w:r w:rsidRPr="00845462">
              <w:t xml:space="preserve">destruction/disposal of </w:t>
            </w:r>
            <w:r>
              <w:t xml:space="preserve">media and </w:t>
            </w:r>
            <w:r w:rsidRPr="00845462">
              <w:t>data.</w:t>
            </w:r>
          </w:p>
        </w:tc>
        <w:tc>
          <w:tcPr>
            <w:tcW w:w="502" w:type="pct"/>
          </w:tcPr>
          <w:p w:rsidR="00CE0A38" w:rsidRDefault="00CE0A38" w:rsidP="001B43DC">
            <w:pPr>
              <w:spacing w:after="120"/>
              <w:ind w:left="360"/>
            </w:pPr>
          </w:p>
        </w:tc>
      </w:tr>
      <w:tr w:rsidR="00CE0A38" w:rsidTr="001B43DC">
        <w:tc>
          <w:tcPr>
            <w:tcW w:w="4498" w:type="pct"/>
          </w:tcPr>
          <w:p w:rsidR="00CE0A38" w:rsidRPr="001B43DC" w:rsidRDefault="00CE0A38" w:rsidP="001B43DC">
            <w:pPr>
              <w:autoSpaceDE w:val="0"/>
              <w:autoSpaceDN w:val="0"/>
              <w:adjustRightInd w:val="0"/>
              <w:spacing w:after="120"/>
              <w:rPr>
                <w:b/>
                <w:color w:val="000000"/>
              </w:rPr>
            </w:pPr>
            <w:r w:rsidRPr="001B43DC">
              <w:rPr>
                <w:b/>
                <w:color w:val="000000"/>
              </w:rPr>
              <w:t>E.  Information Integrity Practices</w:t>
            </w:r>
          </w:p>
        </w:tc>
        <w:tc>
          <w:tcPr>
            <w:tcW w:w="502" w:type="pct"/>
          </w:tcPr>
          <w:p w:rsidR="00CE0A38" w:rsidRDefault="00CE0A38" w:rsidP="001B43DC">
            <w:pPr>
              <w:ind w:left="360"/>
            </w:pPr>
          </w:p>
        </w:tc>
      </w:tr>
      <w:tr w:rsidR="00CE0A38" w:rsidTr="001B43DC">
        <w:tc>
          <w:tcPr>
            <w:tcW w:w="4498" w:type="pct"/>
          </w:tcPr>
          <w:p w:rsidR="00CE0A38" w:rsidRPr="001B43DC" w:rsidRDefault="00CE0A38" w:rsidP="001B43DC">
            <w:pPr>
              <w:numPr>
                <w:ilvl w:val="0"/>
                <w:numId w:val="7"/>
              </w:numPr>
              <w:autoSpaceDE w:val="0"/>
              <w:autoSpaceDN w:val="0"/>
              <w:adjustRightInd w:val="0"/>
              <w:spacing w:after="120"/>
              <w:rPr>
                <w:color w:val="000000"/>
              </w:rPr>
            </w:pPr>
            <w:r w:rsidRPr="001B43DC">
              <w:rPr>
                <w:color w:val="000000"/>
                <w:u w:val="single"/>
              </w:rPr>
              <w:t>Identification and Authentication</w:t>
            </w:r>
            <w:r w:rsidRPr="001B43DC">
              <w:rPr>
                <w:color w:val="000000"/>
              </w:rPr>
              <w:t xml:space="preserve"> – Policies and procedures for identification and authentication to address roles and responsibilities, and compliance standards are in place. </w:t>
            </w:r>
          </w:p>
        </w:tc>
        <w:tc>
          <w:tcPr>
            <w:tcW w:w="502" w:type="pct"/>
          </w:tcPr>
          <w:p w:rsidR="00CE0A38" w:rsidRDefault="00CE0A38" w:rsidP="008240D6"/>
        </w:tc>
      </w:tr>
      <w:tr w:rsidR="00CE0A38" w:rsidTr="001B43DC">
        <w:tc>
          <w:tcPr>
            <w:tcW w:w="4498" w:type="pct"/>
          </w:tcPr>
          <w:p w:rsidR="00CE0A38" w:rsidRPr="001B43DC" w:rsidRDefault="00CE0A38" w:rsidP="001B43DC">
            <w:pPr>
              <w:numPr>
                <w:ilvl w:val="0"/>
                <w:numId w:val="7"/>
              </w:numPr>
              <w:autoSpaceDE w:val="0"/>
              <w:autoSpaceDN w:val="0"/>
              <w:adjustRightInd w:val="0"/>
              <w:spacing w:after="120"/>
              <w:rPr>
                <w:color w:val="000000"/>
              </w:rPr>
            </w:pPr>
            <w:r w:rsidRPr="001B43DC">
              <w:rPr>
                <w:u w:val="single"/>
              </w:rPr>
              <w:t>User Identification and Authentication (typically userid and password)</w:t>
            </w:r>
            <w:r w:rsidRPr="009A3F81">
              <w:t xml:space="preserve"> </w:t>
            </w:r>
            <w:r w:rsidRPr="00845462">
              <w:t xml:space="preserve">– </w:t>
            </w:r>
            <w:r>
              <w:t>I</w:t>
            </w:r>
            <w:r w:rsidRPr="00845462">
              <w:t>nformation system</w:t>
            </w:r>
            <w:r>
              <w:t>s/applications</w:t>
            </w:r>
            <w:r w:rsidRPr="00845462">
              <w:t xml:space="preserve"> uniquely identif</w:t>
            </w:r>
            <w:r>
              <w:t>y</w:t>
            </w:r>
            <w:r w:rsidRPr="00845462">
              <w:t xml:space="preserve"> </w:t>
            </w:r>
            <w:r>
              <w:t xml:space="preserve">and </w:t>
            </w:r>
            <w:r w:rsidRPr="00845462">
              <w:t>authenticate users</w:t>
            </w:r>
            <w:r>
              <w:t xml:space="preserve"> when it is appropriate to do so</w:t>
            </w:r>
            <w:r w:rsidRPr="00845462">
              <w:t>.</w:t>
            </w:r>
          </w:p>
        </w:tc>
        <w:tc>
          <w:tcPr>
            <w:tcW w:w="502" w:type="pct"/>
          </w:tcPr>
          <w:p w:rsidR="00CE0A38" w:rsidRDefault="00CE0A38" w:rsidP="008240D6"/>
        </w:tc>
      </w:tr>
      <w:tr w:rsidR="00CE0A38" w:rsidTr="001B43DC">
        <w:tc>
          <w:tcPr>
            <w:tcW w:w="4498" w:type="pct"/>
          </w:tcPr>
          <w:p w:rsidR="00CE0A38" w:rsidRPr="001B43DC" w:rsidRDefault="00CE0A38" w:rsidP="001B43DC">
            <w:pPr>
              <w:numPr>
                <w:ilvl w:val="0"/>
                <w:numId w:val="7"/>
              </w:numPr>
              <w:autoSpaceDE w:val="0"/>
              <w:autoSpaceDN w:val="0"/>
              <w:adjustRightInd w:val="0"/>
              <w:spacing w:after="120"/>
              <w:rPr>
                <w:color w:val="000000"/>
              </w:rPr>
            </w:pPr>
            <w:r w:rsidRPr="001B43DC">
              <w:rPr>
                <w:color w:val="000000"/>
                <w:u w:val="single"/>
              </w:rPr>
              <w:t>Device Identification and Authentication</w:t>
            </w:r>
            <w:r w:rsidRPr="001B43DC">
              <w:rPr>
                <w:color w:val="000000"/>
              </w:rPr>
              <w:t xml:space="preserve"> – Information systems/applications identify and authenticate specific devices before establishing a connection with them.</w:t>
            </w:r>
          </w:p>
        </w:tc>
        <w:tc>
          <w:tcPr>
            <w:tcW w:w="502" w:type="pct"/>
          </w:tcPr>
          <w:p w:rsidR="00CE0A38" w:rsidRDefault="00CE0A38" w:rsidP="008240D6"/>
        </w:tc>
      </w:tr>
      <w:tr w:rsidR="00CE0A38" w:rsidTr="001B43DC">
        <w:tc>
          <w:tcPr>
            <w:tcW w:w="4498" w:type="pct"/>
          </w:tcPr>
          <w:p w:rsidR="00CE0A38" w:rsidRPr="001B43DC" w:rsidRDefault="00CE0A38" w:rsidP="001B43DC">
            <w:pPr>
              <w:numPr>
                <w:ilvl w:val="0"/>
                <w:numId w:val="7"/>
              </w:numPr>
              <w:autoSpaceDE w:val="0"/>
              <w:autoSpaceDN w:val="0"/>
              <w:adjustRightInd w:val="0"/>
              <w:spacing w:after="120"/>
              <w:rPr>
                <w:color w:val="000000"/>
              </w:rPr>
            </w:pPr>
            <w:r w:rsidRPr="001B43DC">
              <w:rPr>
                <w:color w:val="000000"/>
                <w:u w:val="single"/>
              </w:rPr>
              <w:t>System and Information Integrity</w:t>
            </w:r>
            <w:r w:rsidRPr="001B43DC">
              <w:rPr>
                <w:color w:val="000000"/>
              </w:rPr>
              <w:t xml:space="preserve"> – Policies and procedures for system and information integrity to address roles, responsibilities, and compliance standards </w:t>
            </w:r>
            <w:r>
              <w:t>are in place</w:t>
            </w:r>
            <w:r w:rsidRPr="001B43DC">
              <w:rPr>
                <w:color w:val="000000"/>
              </w:rPr>
              <w:t>.</w:t>
            </w:r>
          </w:p>
        </w:tc>
        <w:tc>
          <w:tcPr>
            <w:tcW w:w="502" w:type="pct"/>
          </w:tcPr>
          <w:p w:rsidR="00CE0A38" w:rsidRDefault="00CE0A38" w:rsidP="008240D6"/>
        </w:tc>
      </w:tr>
      <w:tr w:rsidR="00CE0A38" w:rsidTr="001B43DC">
        <w:tc>
          <w:tcPr>
            <w:tcW w:w="4498" w:type="pct"/>
            <w:tcBorders>
              <w:bottom w:val="single" w:sz="4" w:space="0" w:color="auto"/>
            </w:tcBorders>
          </w:tcPr>
          <w:p w:rsidR="00CE0A38" w:rsidRPr="001B43DC" w:rsidRDefault="00CE0A38" w:rsidP="001B43DC">
            <w:pPr>
              <w:numPr>
                <w:ilvl w:val="0"/>
                <w:numId w:val="7"/>
              </w:numPr>
              <w:autoSpaceDE w:val="0"/>
              <w:autoSpaceDN w:val="0"/>
              <w:adjustRightInd w:val="0"/>
              <w:spacing w:after="120"/>
              <w:rPr>
                <w:color w:val="000000"/>
              </w:rPr>
            </w:pPr>
            <w:r w:rsidRPr="001B43DC">
              <w:rPr>
                <w:color w:val="000000"/>
                <w:u w:val="single"/>
              </w:rPr>
              <w:t>Malicious Code Protection</w:t>
            </w:r>
            <w:r w:rsidRPr="001B43DC">
              <w:rPr>
                <w:color w:val="000000"/>
              </w:rPr>
              <w:t xml:space="preserve"> – A regular patching process has been implemented to protect against malicious code.  The process is automated when possible.</w:t>
            </w:r>
          </w:p>
        </w:tc>
        <w:tc>
          <w:tcPr>
            <w:tcW w:w="502" w:type="pct"/>
            <w:tcBorders>
              <w:bottom w:val="single" w:sz="4" w:space="0" w:color="auto"/>
            </w:tcBorders>
          </w:tcPr>
          <w:p w:rsidR="00CE0A38" w:rsidRDefault="00CE0A38" w:rsidP="008240D6"/>
        </w:tc>
      </w:tr>
      <w:tr w:rsidR="00CE0A38" w:rsidTr="001B43DC">
        <w:tc>
          <w:tcPr>
            <w:tcW w:w="4498" w:type="pct"/>
          </w:tcPr>
          <w:p w:rsidR="00CE0A38" w:rsidRPr="001B43DC" w:rsidRDefault="00CE0A38" w:rsidP="001B43DC">
            <w:pPr>
              <w:numPr>
                <w:ilvl w:val="0"/>
                <w:numId w:val="7"/>
              </w:numPr>
              <w:autoSpaceDE w:val="0"/>
              <w:autoSpaceDN w:val="0"/>
              <w:adjustRightInd w:val="0"/>
              <w:spacing w:after="120"/>
              <w:rPr>
                <w:color w:val="000000"/>
              </w:rPr>
            </w:pPr>
            <w:r w:rsidRPr="001B43DC">
              <w:rPr>
                <w:color w:val="000000"/>
                <w:u w:val="single"/>
              </w:rPr>
              <w:t>Intrusion Detection</w:t>
            </w:r>
            <w:r w:rsidRPr="001B43DC">
              <w:rPr>
                <w:color w:val="000000"/>
              </w:rPr>
              <w:t xml:space="preserve"> – Tools and techniques are utilized to monitor intrusion events, detect attacks, and provide identification of unauthorized system use.</w:t>
            </w:r>
          </w:p>
        </w:tc>
        <w:tc>
          <w:tcPr>
            <w:tcW w:w="502" w:type="pct"/>
          </w:tcPr>
          <w:p w:rsidR="00CE0A38" w:rsidRDefault="00CE0A38" w:rsidP="00F02D82"/>
        </w:tc>
      </w:tr>
      <w:tr w:rsidR="00FD2A0E" w:rsidTr="001B43DC">
        <w:tc>
          <w:tcPr>
            <w:tcW w:w="4498" w:type="pct"/>
          </w:tcPr>
          <w:p w:rsidR="00FD2A0E" w:rsidRPr="001B43DC" w:rsidRDefault="00FD2A0E" w:rsidP="001B43DC">
            <w:pPr>
              <w:numPr>
                <w:ilvl w:val="0"/>
                <w:numId w:val="7"/>
              </w:numPr>
              <w:autoSpaceDE w:val="0"/>
              <w:autoSpaceDN w:val="0"/>
              <w:adjustRightInd w:val="0"/>
              <w:spacing w:after="120"/>
              <w:rPr>
                <w:color w:val="000000"/>
              </w:rPr>
            </w:pPr>
            <w:r w:rsidRPr="001B43DC">
              <w:rPr>
                <w:color w:val="000000"/>
                <w:u w:val="single"/>
              </w:rPr>
              <w:t>Security Alerts and Advisories</w:t>
            </w:r>
            <w:r w:rsidRPr="001B43DC">
              <w:rPr>
                <w:color w:val="000000"/>
              </w:rPr>
              <w:t xml:space="preserve"> – The appropriate internal staff members receive security alerts/advisories on a regular basis and take appropriate actions in response to them.</w:t>
            </w:r>
          </w:p>
        </w:tc>
        <w:tc>
          <w:tcPr>
            <w:tcW w:w="502" w:type="pct"/>
          </w:tcPr>
          <w:p w:rsidR="00FD2A0E" w:rsidRDefault="00FD2A0E" w:rsidP="00F02D82"/>
        </w:tc>
      </w:tr>
    </w:tbl>
    <w:p w:rsidR="0066503E" w:rsidRDefault="006650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7"/>
        <w:gridCol w:w="1083"/>
      </w:tblGrid>
      <w:tr w:rsidR="00C67F57" w:rsidTr="001B43DC">
        <w:tc>
          <w:tcPr>
            <w:tcW w:w="4498" w:type="pct"/>
            <w:shd w:val="clear" w:color="auto" w:fill="F3F3F3"/>
          </w:tcPr>
          <w:p w:rsidR="00C67F57" w:rsidRPr="001B43DC" w:rsidRDefault="00C67F57" w:rsidP="001B43DC">
            <w:pPr>
              <w:autoSpaceDE w:val="0"/>
              <w:autoSpaceDN w:val="0"/>
              <w:adjustRightInd w:val="0"/>
              <w:spacing w:after="120"/>
              <w:rPr>
                <w:color w:val="000000"/>
                <w:u w:val="single"/>
              </w:rPr>
            </w:pPr>
          </w:p>
        </w:tc>
        <w:tc>
          <w:tcPr>
            <w:tcW w:w="502" w:type="pct"/>
            <w:shd w:val="clear" w:color="auto" w:fill="F3F3F3"/>
          </w:tcPr>
          <w:p w:rsidR="00C67F57" w:rsidRDefault="007C7C52" w:rsidP="008240D6">
            <w:r>
              <w:t>Yes/No</w:t>
            </w:r>
          </w:p>
        </w:tc>
      </w:tr>
      <w:tr w:rsidR="004255C1" w:rsidTr="001B43DC">
        <w:tc>
          <w:tcPr>
            <w:tcW w:w="4498" w:type="pct"/>
          </w:tcPr>
          <w:p w:rsidR="004255C1" w:rsidRPr="001B43DC" w:rsidRDefault="004255C1" w:rsidP="001B43DC">
            <w:pPr>
              <w:numPr>
                <w:ilvl w:val="0"/>
                <w:numId w:val="7"/>
              </w:numPr>
              <w:autoSpaceDE w:val="0"/>
              <w:autoSpaceDN w:val="0"/>
              <w:adjustRightInd w:val="0"/>
              <w:spacing w:after="120"/>
              <w:rPr>
                <w:color w:val="000000"/>
              </w:rPr>
            </w:pPr>
            <w:r w:rsidRPr="001B43DC">
              <w:rPr>
                <w:u w:val="single"/>
              </w:rPr>
              <w:t>Secure System Configuration</w:t>
            </w:r>
            <w:r w:rsidRPr="009A3F81">
              <w:t xml:space="preserve"> </w:t>
            </w:r>
            <w:r w:rsidRPr="00845462">
              <w:t xml:space="preserve">– </w:t>
            </w:r>
            <w:r>
              <w:t>T</w:t>
            </w:r>
            <w:r w:rsidRPr="00845462">
              <w:t xml:space="preserve">he security settings on systems </w:t>
            </w:r>
            <w:r>
              <w:t xml:space="preserve">are </w:t>
            </w:r>
            <w:r w:rsidRPr="00845462">
              <w:t xml:space="preserve">configured to be </w:t>
            </w:r>
            <w:r>
              <w:t xml:space="preserve">appropriately </w:t>
            </w:r>
            <w:r w:rsidRPr="00845462">
              <w:t xml:space="preserve">restrictive while still supporting operational requirements. </w:t>
            </w:r>
            <w:r w:rsidR="009A3F81">
              <w:t xml:space="preserve"> </w:t>
            </w:r>
            <w:r>
              <w:t>N</w:t>
            </w:r>
            <w:r w:rsidRPr="00845462">
              <w:t xml:space="preserve">on-essential services </w:t>
            </w:r>
            <w:r>
              <w:t>ar</w:t>
            </w:r>
            <w:r w:rsidRPr="00845462">
              <w:t xml:space="preserve">e </w:t>
            </w:r>
            <w:r>
              <w:t xml:space="preserve">disabled or </w:t>
            </w:r>
            <w:r w:rsidRPr="00845462">
              <w:t xml:space="preserve">removed </w:t>
            </w:r>
            <w:r>
              <w:t>when their use is not necessary as to eliminate unnecessary risk</w:t>
            </w:r>
            <w:r w:rsidRPr="00845462">
              <w:t>.</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7"/>
              </w:numPr>
              <w:autoSpaceDE w:val="0"/>
              <w:autoSpaceDN w:val="0"/>
              <w:adjustRightInd w:val="0"/>
              <w:spacing w:after="120"/>
              <w:rPr>
                <w:color w:val="000000"/>
              </w:rPr>
            </w:pPr>
            <w:r w:rsidRPr="001B43DC">
              <w:rPr>
                <w:u w:val="single"/>
              </w:rPr>
              <w:t>Software and Information Integrity</w:t>
            </w:r>
            <w:r w:rsidRPr="00845462">
              <w:t xml:space="preserve"> –</w:t>
            </w:r>
            <w:r w:rsidR="009A3F81">
              <w:t xml:space="preserve"> </w:t>
            </w:r>
            <w:r>
              <w:t>I</w:t>
            </w:r>
            <w:r w:rsidRPr="00845462">
              <w:t>nformation system</w:t>
            </w:r>
            <w:r>
              <w:t>s/applications</w:t>
            </w:r>
            <w:r w:rsidRPr="00845462">
              <w:t xml:space="preserve"> detect </w:t>
            </w:r>
            <w:r>
              <w:t xml:space="preserve">and </w:t>
            </w:r>
            <w:r w:rsidRPr="00845462">
              <w:t xml:space="preserve">protect against unauthorized changes to software </w:t>
            </w:r>
            <w:r>
              <w:t xml:space="preserve">and </w:t>
            </w:r>
            <w:r w:rsidRPr="00845462">
              <w:t>information.</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7"/>
              </w:numPr>
              <w:autoSpaceDE w:val="0"/>
              <w:autoSpaceDN w:val="0"/>
              <w:adjustRightInd w:val="0"/>
              <w:spacing w:after="120"/>
              <w:rPr>
                <w:color w:val="000000"/>
              </w:rPr>
            </w:pPr>
            <w:r w:rsidRPr="001B43DC">
              <w:rPr>
                <w:u w:val="single"/>
              </w:rPr>
              <w:t>Information Input Accuracy, Completeness, and Validity</w:t>
            </w:r>
            <w:r w:rsidRPr="00845462">
              <w:t xml:space="preserve"> – </w:t>
            </w:r>
            <w:r>
              <w:t>I</w:t>
            </w:r>
            <w:r w:rsidRPr="00845462">
              <w:t>nformation system</w:t>
            </w:r>
            <w:r>
              <w:t>s/applications</w:t>
            </w:r>
            <w:r w:rsidRPr="00845462">
              <w:t xml:space="preserve"> check </w:t>
            </w:r>
            <w:r>
              <w:t>data in</w:t>
            </w:r>
            <w:r w:rsidRPr="00845462">
              <w:t xml:space="preserve">puts for accuracy, completeness, </w:t>
            </w:r>
            <w:r>
              <w:t xml:space="preserve">and </w:t>
            </w:r>
            <w:r w:rsidRPr="00845462">
              <w:t>validity.</w:t>
            </w:r>
          </w:p>
        </w:tc>
        <w:tc>
          <w:tcPr>
            <w:tcW w:w="502" w:type="pct"/>
          </w:tcPr>
          <w:p w:rsidR="004255C1" w:rsidRDefault="004255C1" w:rsidP="008240D6"/>
        </w:tc>
      </w:tr>
      <w:tr w:rsidR="004255C1" w:rsidTr="001B43DC">
        <w:tc>
          <w:tcPr>
            <w:tcW w:w="4498" w:type="pct"/>
          </w:tcPr>
          <w:p w:rsidR="004255C1" w:rsidRPr="001B43DC" w:rsidRDefault="004255C1" w:rsidP="001B43DC">
            <w:pPr>
              <w:tabs>
                <w:tab w:val="left" w:pos="465"/>
              </w:tabs>
              <w:autoSpaceDE w:val="0"/>
              <w:autoSpaceDN w:val="0"/>
              <w:adjustRightInd w:val="0"/>
              <w:spacing w:after="120"/>
              <w:ind w:left="360" w:hanging="360"/>
              <w:rPr>
                <w:color w:val="000000"/>
              </w:rPr>
            </w:pPr>
            <w:r w:rsidRPr="001B43DC">
              <w:rPr>
                <w:color w:val="000000"/>
              </w:rPr>
              <w:t xml:space="preserve">11. </w:t>
            </w:r>
            <w:r w:rsidRPr="001B43DC">
              <w:rPr>
                <w:color w:val="000000"/>
                <w:u w:val="single"/>
              </w:rPr>
              <w:t>Flaw Remediation</w:t>
            </w:r>
            <w:r w:rsidRPr="001B43DC">
              <w:rPr>
                <w:color w:val="000000"/>
              </w:rPr>
              <w:t xml:space="preserve"> –</w:t>
            </w:r>
            <w:r w:rsidR="00B415C4" w:rsidRPr="001B43DC">
              <w:rPr>
                <w:color w:val="000000"/>
              </w:rPr>
              <w:t xml:space="preserve"> </w:t>
            </w:r>
            <w:r w:rsidRPr="001B43DC">
              <w:rPr>
                <w:color w:val="000000"/>
              </w:rPr>
              <w:t>Information system/application flaws are identified, reported, and corrected.</w:t>
            </w:r>
          </w:p>
        </w:tc>
        <w:tc>
          <w:tcPr>
            <w:tcW w:w="502" w:type="pct"/>
          </w:tcPr>
          <w:p w:rsidR="004255C1" w:rsidRDefault="004255C1" w:rsidP="008240D6"/>
        </w:tc>
      </w:tr>
      <w:tr w:rsidR="004255C1" w:rsidTr="001B43DC">
        <w:tc>
          <w:tcPr>
            <w:tcW w:w="4498" w:type="pct"/>
          </w:tcPr>
          <w:p w:rsidR="004255C1" w:rsidRPr="001B43DC" w:rsidRDefault="004255C1" w:rsidP="001B43DC">
            <w:pPr>
              <w:autoSpaceDE w:val="0"/>
              <w:autoSpaceDN w:val="0"/>
              <w:adjustRightInd w:val="0"/>
              <w:spacing w:after="120"/>
              <w:rPr>
                <w:b/>
                <w:color w:val="000000"/>
              </w:rPr>
            </w:pPr>
            <w:r w:rsidRPr="001B43DC">
              <w:rPr>
                <w:b/>
                <w:color w:val="000000"/>
              </w:rPr>
              <w:t xml:space="preserve">F.  Software Integrity Practices </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8"/>
              </w:numPr>
              <w:autoSpaceDE w:val="0"/>
              <w:autoSpaceDN w:val="0"/>
              <w:adjustRightInd w:val="0"/>
              <w:spacing w:after="120"/>
              <w:rPr>
                <w:color w:val="000000"/>
              </w:rPr>
            </w:pPr>
            <w:r w:rsidRPr="001B43DC">
              <w:rPr>
                <w:color w:val="000000"/>
                <w:u w:val="single"/>
              </w:rPr>
              <w:t>System and Services Acquisition</w:t>
            </w:r>
            <w:r w:rsidR="007075B0" w:rsidRPr="001B43DC">
              <w:rPr>
                <w:color w:val="000000"/>
              </w:rPr>
              <w:t xml:space="preserve"> </w:t>
            </w:r>
            <w:r w:rsidRPr="001B43DC">
              <w:rPr>
                <w:color w:val="000000"/>
              </w:rPr>
              <w:t>– Policies and procedures for system and services acquisition are in place to address roles and responsibilities, and processes for compliance checking.</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8"/>
              </w:numPr>
              <w:autoSpaceDE w:val="0"/>
              <w:autoSpaceDN w:val="0"/>
              <w:adjustRightInd w:val="0"/>
              <w:spacing w:after="120"/>
              <w:rPr>
                <w:u w:val="single"/>
              </w:rPr>
            </w:pPr>
            <w:r w:rsidRPr="001B43DC">
              <w:rPr>
                <w:color w:val="000000"/>
                <w:u w:val="single"/>
              </w:rPr>
              <w:t>Software Integrity Practices</w:t>
            </w:r>
            <w:r w:rsidRPr="001B43DC">
              <w:rPr>
                <w:color w:val="000000"/>
              </w:rPr>
              <w:t xml:space="preserve"> – Policies and procedures associated with system and services acquisition and product acceptance are in place. </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9"/>
              </w:numPr>
              <w:tabs>
                <w:tab w:val="clear" w:pos="1008"/>
                <w:tab w:val="num" w:pos="1080"/>
              </w:tabs>
              <w:autoSpaceDE w:val="0"/>
              <w:autoSpaceDN w:val="0"/>
              <w:adjustRightInd w:val="0"/>
              <w:spacing w:after="120"/>
              <w:ind w:left="1080" w:hanging="360"/>
              <w:rPr>
                <w:color w:val="000000"/>
              </w:rPr>
            </w:pPr>
            <w:r w:rsidRPr="00EC42B2">
              <w:t xml:space="preserve">Acquisitions </w:t>
            </w:r>
            <w:r w:rsidR="00AE2DCA">
              <w:t>–</w:t>
            </w:r>
            <w:r w:rsidRPr="00EC42B2">
              <w:t xml:space="preserve"> </w:t>
            </w:r>
            <w:r>
              <w:t>S</w:t>
            </w:r>
            <w:r w:rsidRPr="00EC42B2">
              <w:t xml:space="preserve">ecurity requirements </w:t>
            </w:r>
            <w:r>
              <w:t>and</w:t>
            </w:r>
            <w:r w:rsidRPr="00EC42B2">
              <w:t xml:space="preserve">/or security specifications, either explicitly or by reference, </w:t>
            </w:r>
            <w:r>
              <w:t xml:space="preserve">are included </w:t>
            </w:r>
            <w:r w:rsidRPr="00EC42B2">
              <w:t xml:space="preserve">in </w:t>
            </w:r>
            <w:r>
              <w:t xml:space="preserve">all </w:t>
            </w:r>
            <w:r w:rsidRPr="00EC42B2">
              <w:t>information system acquisition contracts based on an assessment of risk.</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9"/>
              </w:numPr>
              <w:tabs>
                <w:tab w:val="clear" w:pos="1008"/>
                <w:tab w:val="num" w:pos="1080"/>
              </w:tabs>
              <w:autoSpaceDE w:val="0"/>
              <w:autoSpaceDN w:val="0"/>
              <w:adjustRightInd w:val="0"/>
              <w:spacing w:after="120"/>
              <w:ind w:left="1080" w:hanging="360"/>
              <w:rPr>
                <w:color w:val="000000"/>
              </w:rPr>
            </w:pPr>
            <w:r w:rsidRPr="00EC42B2">
              <w:t xml:space="preserve">Software </w:t>
            </w:r>
            <w:r>
              <w:t>U</w:t>
            </w:r>
            <w:r w:rsidRPr="00EC42B2">
              <w:t xml:space="preserve">sage </w:t>
            </w:r>
            <w:r>
              <w:t>R</w:t>
            </w:r>
            <w:r w:rsidRPr="00EC42B2">
              <w:t xml:space="preserve">estrictions </w:t>
            </w:r>
            <w:r>
              <w:t>–</w:t>
            </w:r>
            <w:r w:rsidRPr="00EC42B2">
              <w:t xml:space="preserve"> </w:t>
            </w:r>
            <w:r>
              <w:t xml:space="preserve">Controls or validation measures to </w:t>
            </w:r>
            <w:r w:rsidRPr="00EC42B2">
              <w:t>compl</w:t>
            </w:r>
            <w:r>
              <w:t>y</w:t>
            </w:r>
            <w:r w:rsidRPr="00EC42B2">
              <w:t xml:space="preserve"> with software usage restrictions in accordance with contract agreements </w:t>
            </w:r>
            <w:r>
              <w:t xml:space="preserve">and </w:t>
            </w:r>
            <w:r w:rsidRPr="00EC42B2">
              <w:t>copyright laws</w:t>
            </w:r>
            <w:r>
              <w:t xml:space="preserve"> are in place</w:t>
            </w:r>
            <w:r w:rsidRPr="00EC42B2">
              <w:t>.</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9"/>
              </w:numPr>
              <w:tabs>
                <w:tab w:val="clear" w:pos="1008"/>
                <w:tab w:val="num" w:pos="1080"/>
              </w:tabs>
              <w:autoSpaceDE w:val="0"/>
              <w:autoSpaceDN w:val="0"/>
              <w:adjustRightInd w:val="0"/>
              <w:spacing w:after="120"/>
              <w:ind w:left="1080" w:hanging="360"/>
              <w:rPr>
                <w:color w:val="000000"/>
              </w:rPr>
            </w:pPr>
            <w:r>
              <w:t>U</w:t>
            </w:r>
            <w:r w:rsidRPr="00EC42B2">
              <w:t xml:space="preserve">ser </w:t>
            </w:r>
            <w:r>
              <w:t>I</w:t>
            </w:r>
            <w:r w:rsidRPr="00EC42B2">
              <w:t xml:space="preserve">nstalled </w:t>
            </w:r>
            <w:r>
              <w:t>S</w:t>
            </w:r>
            <w:r w:rsidRPr="00EC42B2">
              <w:t xml:space="preserve">oftware </w:t>
            </w:r>
            <w:r w:rsidR="00AE2DCA">
              <w:t>–</w:t>
            </w:r>
            <w:r w:rsidRPr="00EC42B2">
              <w:t xml:space="preserve"> </w:t>
            </w:r>
            <w:r>
              <w:t>An e</w:t>
            </w:r>
            <w:r w:rsidRPr="00EC42B2">
              <w:t xml:space="preserve">xplicit </w:t>
            </w:r>
            <w:r>
              <w:t>policy</w:t>
            </w:r>
            <w:r w:rsidRPr="00EC42B2">
              <w:t xml:space="preserve"> governing the downloading </w:t>
            </w:r>
            <w:r>
              <w:t xml:space="preserve">and </w:t>
            </w:r>
            <w:r w:rsidRPr="00EC42B2">
              <w:t>installation of software by users</w:t>
            </w:r>
            <w:r>
              <w:t xml:space="preserve"> is in place</w:t>
            </w:r>
            <w:r w:rsidRPr="00EC42B2">
              <w:t>.</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9"/>
              </w:numPr>
              <w:tabs>
                <w:tab w:val="clear" w:pos="1008"/>
                <w:tab w:val="num" w:pos="1080"/>
              </w:tabs>
              <w:autoSpaceDE w:val="0"/>
              <w:autoSpaceDN w:val="0"/>
              <w:adjustRightInd w:val="0"/>
              <w:spacing w:after="120"/>
              <w:ind w:left="1080" w:hanging="360"/>
              <w:rPr>
                <w:color w:val="000000"/>
              </w:rPr>
            </w:pPr>
            <w:r w:rsidRPr="001B43DC">
              <w:rPr>
                <w:color w:val="000000"/>
              </w:rPr>
              <w:t xml:space="preserve">Outsourced Information System Services – </w:t>
            </w:r>
            <w:r>
              <w:t xml:space="preserve">Controls or validation measures to </w:t>
            </w:r>
            <w:r w:rsidRPr="001B43DC">
              <w:rPr>
                <w:color w:val="000000"/>
              </w:rPr>
              <w:t xml:space="preserve">ensure that third-party providers of information system services employ adequate security controls in accordance with applicable laws, policies and established service level agreements are in place. </w:t>
            </w:r>
          </w:p>
        </w:tc>
        <w:tc>
          <w:tcPr>
            <w:tcW w:w="502" w:type="pct"/>
          </w:tcPr>
          <w:p w:rsidR="004255C1" w:rsidRDefault="004255C1" w:rsidP="008240D6"/>
        </w:tc>
      </w:tr>
      <w:tr w:rsidR="004255C1" w:rsidTr="001B43DC">
        <w:tc>
          <w:tcPr>
            <w:tcW w:w="4498" w:type="pct"/>
          </w:tcPr>
          <w:p w:rsidR="004255C1" w:rsidRPr="00EC42B2" w:rsidRDefault="004255C1" w:rsidP="001B43DC">
            <w:pPr>
              <w:numPr>
                <w:ilvl w:val="0"/>
                <w:numId w:val="9"/>
              </w:numPr>
              <w:tabs>
                <w:tab w:val="clear" w:pos="1008"/>
                <w:tab w:val="num" w:pos="1080"/>
              </w:tabs>
              <w:autoSpaceDE w:val="0"/>
              <w:autoSpaceDN w:val="0"/>
              <w:adjustRightInd w:val="0"/>
              <w:spacing w:after="120"/>
              <w:ind w:left="1080" w:hanging="360"/>
            </w:pPr>
            <w:r w:rsidRPr="00EC42B2">
              <w:t xml:space="preserve">Developer </w:t>
            </w:r>
            <w:r>
              <w:t>S</w:t>
            </w:r>
            <w:r w:rsidRPr="00EC42B2">
              <w:t xml:space="preserve">ecurity </w:t>
            </w:r>
            <w:r>
              <w:t>T</w:t>
            </w:r>
            <w:r w:rsidRPr="00EC42B2">
              <w:t xml:space="preserve">esting </w:t>
            </w:r>
            <w:r w:rsidR="00AE2DCA">
              <w:t>–</w:t>
            </w:r>
            <w:r w:rsidRPr="00EC42B2">
              <w:t xml:space="preserve"> </w:t>
            </w:r>
            <w:r>
              <w:t>A</w:t>
            </w:r>
            <w:r w:rsidRPr="00EC42B2">
              <w:t xml:space="preserve"> security test </w:t>
            </w:r>
            <w:r>
              <w:t>and evaluation plan is in place, implemented</w:t>
            </w:r>
            <w:r w:rsidRPr="00EC42B2">
              <w:t xml:space="preserve">, </w:t>
            </w:r>
            <w:r>
              <w:t>and documents</w:t>
            </w:r>
            <w:r w:rsidRPr="00EC42B2">
              <w:t xml:space="preserve"> the results. </w:t>
            </w:r>
            <w:r>
              <w:t>S</w:t>
            </w:r>
            <w:r w:rsidRPr="00EC42B2">
              <w:t>ecurity test results may be used in support of the security certification process for the delivered information system.</w:t>
            </w:r>
          </w:p>
        </w:tc>
        <w:tc>
          <w:tcPr>
            <w:tcW w:w="502" w:type="pct"/>
          </w:tcPr>
          <w:p w:rsidR="004255C1" w:rsidRDefault="004255C1" w:rsidP="008240D6"/>
        </w:tc>
      </w:tr>
      <w:tr w:rsidR="004255C1" w:rsidTr="001B43DC">
        <w:tc>
          <w:tcPr>
            <w:tcW w:w="4498" w:type="pct"/>
          </w:tcPr>
          <w:p w:rsidR="004255C1" w:rsidRPr="001B43DC" w:rsidRDefault="004255C1" w:rsidP="001B43DC">
            <w:pPr>
              <w:autoSpaceDE w:val="0"/>
              <w:autoSpaceDN w:val="0"/>
              <w:adjustRightInd w:val="0"/>
              <w:spacing w:after="120"/>
              <w:ind w:left="360" w:hanging="360"/>
              <w:rPr>
                <w:color w:val="000000"/>
              </w:rPr>
            </w:pPr>
            <w:r w:rsidRPr="001B43DC">
              <w:rPr>
                <w:b/>
                <w:color w:val="000000"/>
              </w:rPr>
              <w:t>G.  Personal Computer Security Practices</w:t>
            </w:r>
            <w:r w:rsidRPr="001B43DC">
              <w:rPr>
                <w:color w:val="000000"/>
              </w:rPr>
              <w:t xml:space="preserve"> </w:t>
            </w:r>
            <w:r w:rsidR="00AE2DCA" w:rsidRPr="001B43DC">
              <w:rPr>
                <w:color w:val="000000"/>
              </w:rPr>
              <w:t>–</w:t>
            </w:r>
            <w:r w:rsidRPr="001B43DC">
              <w:rPr>
                <w:color w:val="000000"/>
              </w:rPr>
              <w:t xml:space="preserve"> Personal computing devices include desktops, laptops, notebooks, tablets, Personal Device Assistants (PDA), and other mobile devices. </w:t>
            </w:r>
          </w:p>
        </w:tc>
        <w:tc>
          <w:tcPr>
            <w:tcW w:w="502" w:type="pct"/>
          </w:tcPr>
          <w:p w:rsidR="004255C1" w:rsidRDefault="004255C1" w:rsidP="008240D6"/>
        </w:tc>
      </w:tr>
      <w:tr w:rsidR="004255C1" w:rsidTr="001B43DC">
        <w:tc>
          <w:tcPr>
            <w:tcW w:w="4498" w:type="pct"/>
          </w:tcPr>
          <w:p w:rsidR="004255C1" w:rsidRPr="001B43DC" w:rsidRDefault="004255C1" w:rsidP="001B43DC">
            <w:pPr>
              <w:numPr>
                <w:ilvl w:val="0"/>
                <w:numId w:val="10"/>
              </w:numPr>
              <w:autoSpaceDE w:val="0"/>
              <w:autoSpaceDN w:val="0"/>
              <w:adjustRightInd w:val="0"/>
              <w:spacing w:after="120"/>
              <w:rPr>
                <w:color w:val="000000"/>
              </w:rPr>
            </w:pPr>
            <w:r w:rsidRPr="001B43DC">
              <w:rPr>
                <w:u w:val="single"/>
              </w:rPr>
              <w:t>Device Hardening</w:t>
            </w:r>
            <w:r w:rsidRPr="003F6EE9">
              <w:t xml:space="preserve"> </w:t>
            </w:r>
            <w:r w:rsidR="00AE2DCA">
              <w:t>–</w:t>
            </w:r>
            <w:r w:rsidRPr="00845462">
              <w:t xml:space="preserve"> </w:t>
            </w:r>
            <w:r>
              <w:t>O</w:t>
            </w:r>
            <w:r w:rsidRPr="00845462">
              <w:t xml:space="preserve">perating system </w:t>
            </w:r>
            <w:r>
              <w:t xml:space="preserve">and </w:t>
            </w:r>
            <w:r w:rsidRPr="00845462">
              <w:t xml:space="preserve">application level updates, patches, </w:t>
            </w:r>
            <w:r>
              <w:t xml:space="preserve">and </w:t>
            </w:r>
            <w:r w:rsidRPr="00845462">
              <w:t xml:space="preserve">hot fixes </w:t>
            </w:r>
            <w:r>
              <w:t xml:space="preserve">are applied </w:t>
            </w:r>
            <w:r w:rsidRPr="00845462">
              <w:t>as soon as they become available</w:t>
            </w:r>
            <w:r>
              <w:t xml:space="preserve"> and </w:t>
            </w:r>
            <w:r w:rsidRPr="00845462">
              <w:t xml:space="preserve">are fully tested. </w:t>
            </w:r>
            <w:r>
              <w:t xml:space="preserve"> </w:t>
            </w:r>
            <w:r w:rsidRPr="00845462">
              <w:t xml:space="preserve">Services on the </w:t>
            </w:r>
            <w:r>
              <w:t>computing devices</w:t>
            </w:r>
            <w:r w:rsidRPr="00845462">
              <w:t xml:space="preserve"> </w:t>
            </w:r>
            <w:r>
              <w:t xml:space="preserve">are </w:t>
            </w:r>
            <w:r w:rsidRPr="00845462">
              <w:t xml:space="preserve">only enabled where there is a demonstrated </w:t>
            </w:r>
            <w:r>
              <w:t xml:space="preserve">business </w:t>
            </w:r>
            <w:r w:rsidRPr="00845462">
              <w:t xml:space="preserve">need </w:t>
            </w:r>
            <w:r>
              <w:t xml:space="preserve">and </w:t>
            </w:r>
            <w:r w:rsidRPr="00845462">
              <w:t>only after a risk assessment.</w:t>
            </w:r>
          </w:p>
        </w:tc>
        <w:tc>
          <w:tcPr>
            <w:tcW w:w="502" w:type="pct"/>
          </w:tcPr>
          <w:p w:rsidR="004255C1" w:rsidRDefault="004255C1" w:rsidP="008240D6"/>
        </w:tc>
      </w:tr>
      <w:tr w:rsidR="00FD2A0E" w:rsidTr="001B43DC">
        <w:tc>
          <w:tcPr>
            <w:tcW w:w="4498" w:type="pct"/>
          </w:tcPr>
          <w:p w:rsidR="00FD2A0E" w:rsidRPr="001B43DC" w:rsidRDefault="00FD2A0E" w:rsidP="001B43DC">
            <w:pPr>
              <w:numPr>
                <w:ilvl w:val="0"/>
                <w:numId w:val="10"/>
              </w:numPr>
              <w:autoSpaceDE w:val="0"/>
              <w:autoSpaceDN w:val="0"/>
              <w:adjustRightInd w:val="0"/>
              <w:spacing w:after="120"/>
              <w:rPr>
                <w:u w:val="single"/>
              </w:rPr>
            </w:pPr>
            <w:r w:rsidRPr="001B43DC">
              <w:rPr>
                <w:u w:val="single"/>
              </w:rPr>
              <w:t>Lock-Out for Inactive Computing Devices</w:t>
            </w:r>
            <w:r>
              <w:t xml:space="preserve"> – T</w:t>
            </w:r>
            <w:r w:rsidRPr="00845462">
              <w:t xml:space="preserve">he automatic locking of the </w:t>
            </w:r>
            <w:r>
              <w:t>computing device</w:t>
            </w:r>
            <w:r w:rsidRPr="00845462">
              <w:t xml:space="preserve"> after a period of inactivity</w:t>
            </w:r>
            <w:r>
              <w:t xml:space="preserve"> is enforced</w:t>
            </w:r>
            <w:r w:rsidRPr="00845462">
              <w:t>.</w:t>
            </w:r>
          </w:p>
        </w:tc>
        <w:tc>
          <w:tcPr>
            <w:tcW w:w="502" w:type="pct"/>
          </w:tcPr>
          <w:p w:rsidR="00FD2A0E" w:rsidRDefault="00FD2A0E" w:rsidP="00F02D82"/>
        </w:tc>
      </w:tr>
      <w:tr w:rsidR="00FD2A0E" w:rsidTr="001B43DC">
        <w:tc>
          <w:tcPr>
            <w:tcW w:w="4498" w:type="pct"/>
          </w:tcPr>
          <w:p w:rsidR="00FD2A0E" w:rsidRPr="001B43DC" w:rsidRDefault="00FD2A0E" w:rsidP="001B43DC">
            <w:pPr>
              <w:numPr>
                <w:ilvl w:val="0"/>
                <w:numId w:val="10"/>
              </w:numPr>
              <w:autoSpaceDE w:val="0"/>
              <w:autoSpaceDN w:val="0"/>
              <w:adjustRightInd w:val="0"/>
              <w:spacing w:after="120"/>
              <w:rPr>
                <w:color w:val="000000"/>
              </w:rPr>
            </w:pPr>
            <w:r w:rsidRPr="001B43DC">
              <w:rPr>
                <w:u w:val="single"/>
              </w:rPr>
              <w:t>Data Storage</w:t>
            </w:r>
            <w:r w:rsidRPr="00845462">
              <w:t xml:space="preserve"> –</w:t>
            </w:r>
            <w:r>
              <w:t xml:space="preserve"> Data that needs additional protection is stored on pre-defined servers, rather than on computing devices, for both data protection and backup/recovery reasons.  C</w:t>
            </w:r>
            <w:r w:rsidRPr="00845462">
              <w:t xml:space="preserve">onfidential, sensitive, </w:t>
            </w:r>
            <w:r>
              <w:t>and</w:t>
            </w:r>
            <w:r w:rsidRPr="00845462">
              <w:t xml:space="preserve">/or personal (notice-triggering) information </w:t>
            </w:r>
            <w:r>
              <w:t>is</w:t>
            </w:r>
            <w:r w:rsidRPr="00845462">
              <w:t xml:space="preserve"> not stored on </w:t>
            </w:r>
            <w:r>
              <w:t>computing devices</w:t>
            </w:r>
            <w:r w:rsidRPr="00845462">
              <w:t xml:space="preserve"> wit</w:t>
            </w:r>
            <w:r>
              <w:t xml:space="preserve">hout a careful risk assessment and adequate security measures. </w:t>
            </w:r>
          </w:p>
        </w:tc>
        <w:tc>
          <w:tcPr>
            <w:tcW w:w="502" w:type="pct"/>
          </w:tcPr>
          <w:p w:rsidR="00FD2A0E" w:rsidRDefault="00FD2A0E" w:rsidP="00F02D82"/>
        </w:tc>
      </w:tr>
    </w:tbl>
    <w:p w:rsidR="00C67F57" w:rsidRDefault="00C67F57" w:rsidP="00C67F57">
      <w:pPr>
        <w:autoSpaceDE w:val="0"/>
        <w:autoSpaceDN w:val="0"/>
        <w:adjustRightInd w:val="0"/>
        <w:spacing w:after="120"/>
        <w:rPr>
          <w:u w:val="single"/>
        </w:rPr>
        <w:sectPr w:rsidR="00C67F57" w:rsidSect="00CE0A38">
          <w:pgSz w:w="12240" w:h="15840"/>
          <w:pgMar w:top="720" w:right="720" w:bottom="720" w:left="72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9"/>
        <w:gridCol w:w="1081"/>
      </w:tblGrid>
      <w:tr w:rsidR="00C67F57" w:rsidTr="001B43DC">
        <w:tc>
          <w:tcPr>
            <w:tcW w:w="4499" w:type="pct"/>
            <w:shd w:val="clear" w:color="auto" w:fill="F3F3F3"/>
          </w:tcPr>
          <w:p w:rsidR="00C67F57" w:rsidRPr="001B43DC" w:rsidRDefault="00C67F57" w:rsidP="001B43DC">
            <w:pPr>
              <w:autoSpaceDE w:val="0"/>
              <w:autoSpaceDN w:val="0"/>
              <w:adjustRightInd w:val="0"/>
              <w:spacing w:after="120"/>
              <w:rPr>
                <w:u w:val="single"/>
              </w:rPr>
            </w:pPr>
          </w:p>
        </w:tc>
        <w:tc>
          <w:tcPr>
            <w:tcW w:w="501" w:type="pct"/>
            <w:shd w:val="clear" w:color="auto" w:fill="F3F3F3"/>
          </w:tcPr>
          <w:p w:rsidR="00C67F57" w:rsidRDefault="007C7C52" w:rsidP="008240D6">
            <w:r>
              <w:t>Yes/No</w:t>
            </w:r>
          </w:p>
        </w:tc>
      </w:tr>
      <w:tr w:rsidR="004255C1" w:rsidTr="001B43DC">
        <w:tc>
          <w:tcPr>
            <w:tcW w:w="4499" w:type="pct"/>
          </w:tcPr>
          <w:p w:rsidR="004255C1" w:rsidRPr="001B43DC" w:rsidRDefault="004255C1" w:rsidP="001B43DC">
            <w:pPr>
              <w:autoSpaceDE w:val="0"/>
              <w:autoSpaceDN w:val="0"/>
              <w:adjustRightInd w:val="0"/>
              <w:spacing w:after="120"/>
              <w:rPr>
                <w:b/>
                <w:color w:val="000000"/>
              </w:rPr>
            </w:pPr>
            <w:bookmarkStart w:id="1" w:name="_Toc98126516"/>
            <w:bookmarkStart w:id="2" w:name="_Toc98127898"/>
            <w:bookmarkStart w:id="3" w:name="_Toc98136387"/>
            <w:r w:rsidRPr="001B43DC">
              <w:rPr>
                <w:b/>
                <w:color w:val="000000"/>
              </w:rPr>
              <w:t>H.  Network Protection</w:t>
            </w:r>
            <w:bookmarkEnd w:id="1"/>
            <w:bookmarkEnd w:id="2"/>
            <w:r w:rsidRPr="001B43DC">
              <w:rPr>
                <w:b/>
                <w:color w:val="000000"/>
              </w:rPr>
              <w:t xml:space="preserve"> Practices</w:t>
            </w:r>
            <w:bookmarkEnd w:id="3"/>
          </w:p>
        </w:tc>
        <w:tc>
          <w:tcPr>
            <w:tcW w:w="501" w:type="pct"/>
          </w:tcPr>
          <w:p w:rsidR="004255C1" w:rsidRDefault="004255C1" w:rsidP="008240D6"/>
        </w:tc>
      </w:tr>
      <w:tr w:rsidR="004255C1" w:rsidTr="001B43DC">
        <w:tc>
          <w:tcPr>
            <w:tcW w:w="4499" w:type="pct"/>
          </w:tcPr>
          <w:p w:rsidR="004255C1" w:rsidRPr="001B43DC" w:rsidRDefault="004255C1" w:rsidP="001B43DC">
            <w:pPr>
              <w:numPr>
                <w:ilvl w:val="0"/>
                <w:numId w:val="11"/>
              </w:numPr>
              <w:tabs>
                <w:tab w:val="left" w:pos="4320"/>
                <w:tab w:val="left" w:pos="5400"/>
              </w:tabs>
              <w:autoSpaceDE w:val="0"/>
              <w:autoSpaceDN w:val="0"/>
              <w:adjustRightInd w:val="0"/>
              <w:spacing w:after="120"/>
              <w:rPr>
                <w:color w:val="000000"/>
              </w:rPr>
            </w:pPr>
            <w:r w:rsidRPr="001B43DC">
              <w:rPr>
                <w:color w:val="000000"/>
                <w:u w:val="single"/>
              </w:rPr>
              <w:t>Network Protection</w:t>
            </w:r>
            <w:r w:rsidRPr="001B43DC">
              <w:rPr>
                <w:color w:val="000000"/>
              </w:rPr>
              <w:t xml:space="preserve"> – Network and communication protection policies and procedures are in place.  These documents outline the procedures to authorize all connections to network services.  Authorization is based on an evaluation of sensitive or critical business applications, classification of data stored on the system, and physical location of the system (e.g., public area, private access, secure access, etc.). </w:t>
            </w:r>
          </w:p>
        </w:tc>
        <w:tc>
          <w:tcPr>
            <w:tcW w:w="501" w:type="pct"/>
          </w:tcPr>
          <w:p w:rsidR="004255C1" w:rsidRDefault="004255C1" w:rsidP="008240D6"/>
        </w:tc>
      </w:tr>
      <w:tr w:rsidR="004255C1" w:rsidTr="001B43DC">
        <w:tc>
          <w:tcPr>
            <w:tcW w:w="4499" w:type="pct"/>
          </w:tcPr>
          <w:p w:rsidR="004255C1" w:rsidRPr="001B43DC" w:rsidRDefault="004255C1" w:rsidP="001B43DC">
            <w:pPr>
              <w:numPr>
                <w:ilvl w:val="0"/>
                <w:numId w:val="11"/>
              </w:numPr>
              <w:tabs>
                <w:tab w:val="left" w:pos="4320"/>
                <w:tab w:val="left" w:pos="5400"/>
              </w:tabs>
              <w:autoSpaceDE w:val="0"/>
              <w:autoSpaceDN w:val="0"/>
              <w:adjustRightInd w:val="0"/>
              <w:spacing w:after="120"/>
              <w:rPr>
                <w:rFonts w:eastAsia="PMingLiU"/>
                <w:lang w:eastAsia="zh-TW"/>
              </w:rPr>
            </w:pPr>
            <w:r w:rsidRPr="001B43DC">
              <w:rPr>
                <w:color w:val="000000"/>
                <w:u w:val="single"/>
              </w:rPr>
              <w:t>Boundary Protection</w:t>
            </w:r>
            <w:r w:rsidRPr="001B43DC">
              <w:rPr>
                <w:color w:val="000000"/>
              </w:rPr>
              <w:t xml:space="preserve"> </w:t>
            </w:r>
            <w:r w:rsidRPr="001B43DC">
              <w:rPr>
                <w:rFonts w:eastAsia="PMingLiU"/>
                <w:lang w:eastAsia="zh-TW"/>
              </w:rPr>
              <w:t xml:space="preserve">– Equipment designed for public access (i.e. </w:t>
            </w:r>
            <w:r w:rsidR="007075B0" w:rsidRPr="001B43DC">
              <w:rPr>
                <w:rFonts w:eastAsia="PMingLiU"/>
                <w:lang w:eastAsia="zh-TW"/>
              </w:rPr>
              <w:t>W</w:t>
            </w:r>
            <w:r w:rsidRPr="001B43DC">
              <w:rPr>
                <w:rFonts w:eastAsia="PMingLiU"/>
                <w:lang w:eastAsia="zh-TW"/>
              </w:rPr>
              <w:t xml:space="preserve">eb servers dispensing public information) is protected.  These are segregated from the internal networks that control them.  Access into internal networks by authorized staff is controlled to prevent unauthorized entry.  </w:t>
            </w:r>
          </w:p>
        </w:tc>
        <w:tc>
          <w:tcPr>
            <w:tcW w:w="501" w:type="pct"/>
          </w:tcPr>
          <w:p w:rsidR="004255C1" w:rsidRDefault="004255C1" w:rsidP="008240D6"/>
        </w:tc>
      </w:tr>
      <w:tr w:rsidR="004255C1" w:rsidTr="001B43DC">
        <w:tc>
          <w:tcPr>
            <w:tcW w:w="4499" w:type="pct"/>
          </w:tcPr>
          <w:p w:rsidR="004255C1" w:rsidRPr="001B43DC" w:rsidRDefault="004255C1" w:rsidP="001B43DC">
            <w:pPr>
              <w:numPr>
                <w:ilvl w:val="0"/>
                <w:numId w:val="11"/>
              </w:numPr>
              <w:tabs>
                <w:tab w:val="left" w:pos="4320"/>
                <w:tab w:val="left" w:pos="5400"/>
              </w:tabs>
              <w:autoSpaceDE w:val="0"/>
              <w:autoSpaceDN w:val="0"/>
              <w:adjustRightInd w:val="0"/>
              <w:spacing w:after="120"/>
              <w:rPr>
                <w:color w:val="000000"/>
                <w:u w:val="single"/>
              </w:rPr>
            </w:pPr>
            <w:r w:rsidRPr="001B43DC">
              <w:rPr>
                <w:u w:val="single"/>
              </w:rPr>
              <w:t>Protect and Secure Network Infrastructure</w:t>
            </w:r>
            <w:r>
              <w:t xml:space="preserve"> – Policies and procedures for technology upgrades, network equipment (e.g., servers, routers, firewalls, switches), patches and upgrades, firewall and server configurations, and server hardening, etc are in place.</w:t>
            </w:r>
          </w:p>
        </w:tc>
        <w:tc>
          <w:tcPr>
            <w:tcW w:w="501" w:type="pct"/>
          </w:tcPr>
          <w:p w:rsidR="004255C1" w:rsidRDefault="004255C1" w:rsidP="008240D6"/>
        </w:tc>
      </w:tr>
      <w:tr w:rsidR="004255C1" w:rsidTr="001B43DC">
        <w:tc>
          <w:tcPr>
            <w:tcW w:w="4499" w:type="pct"/>
          </w:tcPr>
          <w:p w:rsidR="004255C1" w:rsidRPr="001B43DC" w:rsidRDefault="004255C1" w:rsidP="001B43DC">
            <w:pPr>
              <w:numPr>
                <w:ilvl w:val="0"/>
                <w:numId w:val="11"/>
              </w:numPr>
              <w:tabs>
                <w:tab w:val="left" w:pos="4320"/>
                <w:tab w:val="left" w:pos="5400"/>
              </w:tabs>
              <w:autoSpaceDE w:val="0"/>
              <w:autoSpaceDN w:val="0"/>
              <w:adjustRightInd w:val="0"/>
              <w:spacing w:after="120"/>
              <w:rPr>
                <w:rFonts w:eastAsia="PMingLiU"/>
                <w:lang w:eastAsia="zh-TW"/>
              </w:rPr>
            </w:pPr>
            <w:r w:rsidRPr="001B43DC">
              <w:rPr>
                <w:color w:val="000000"/>
                <w:u w:val="single"/>
              </w:rPr>
              <w:t>Transmission Integrity and Confidentiality</w:t>
            </w:r>
            <w:r w:rsidRPr="001B43DC">
              <w:rPr>
                <w:color w:val="000000"/>
              </w:rPr>
              <w:t xml:space="preserve"> – Data is protected from unauthorized disclosure during transmission.  Data classification is used to determine what security measures to employ, including encryption or physical measures.</w:t>
            </w:r>
          </w:p>
        </w:tc>
        <w:tc>
          <w:tcPr>
            <w:tcW w:w="501" w:type="pct"/>
          </w:tcPr>
          <w:p w:rsidR="004255C1" w:rsidRDefault="004255C1" w:rsidP="008240D6"/>
        </w:tc>
      </w:tr>
      <w:tr w:rsidR="004255C1" w:rsidTr="001B43DC">
        <w:tc>
          <w:tcPr>
            <w:tcW w:w="4499" w:type="pct"/>
          </w:tcPr>
          <w:p w:rsidR="004255C1" w:rsidRPr="001B43DC" w:rsidRDefault="004255C1" w:rsidP="001B43DC">
            <w:pPr>
              <w:autoSpaceDE w:val="0"/>
              <w:autoSpaceDN w:val="0"/>
              <w:adjustRightInd w:val="0"/>
              <w:spacing w:after="120"/>
              <w:rPr>
                <w:b/>
                <w:color w:val="000000"/>
              </w:rPr>
            </w:pPr>
            <w:r w:rsidRPr="001B43DC">
              <w:rPr>
                <w:b/>
                <w:color w:val="000000"/>
              </w:rPr>
              <w:t>I.  Incident Response Practices</w:t>
            </w:r>
          </w:p>
        </w:tc>
        <w:tc>
          <w:tcPr>
            <w:tcW w:w="501" w:type="pct"/>
          </w:tcPr>
          <w:p w:rsidR="004255C1" w:rsidRDefault="004255C1" w:rsidP="008240D6"/>
        </w:tc>
      </w:tr>
      <w:tr w:rsidR="004255C1" w:rsidTr="001B43DC">
        <w:trPr>
          <w:trHeight w:val="863"/>
        </w:trPr>
        <w:tc>
          <w:tcPr>
            <w:tcW w:w="4499" w:type="pct"/>
          </w:tcPr>
          <w:p w:rsidR="004255C1" w:rsidRPr="001B43DC" w:rsidRDefault="004255C1" w:rsidP="001B43DC">
            <w:pPr>
              <w:numPr>
                <w:ilvl w:val="0"/>
                <w:numId w:val="12"/>
              </w:numPr>
              <w:tabs>
                <w:tab w:val="left" w:pos="4320"/>
                <w:tab w:val="left" w:pos="5400"/>
              </w:tabs>
              <w:autoSpaceDE w:val="0"/>
              <w:autoSpaceDN w:val="0"/>
              <w:adjustRightInd w:val="0"/>
              <w:spacing w:after="120"/>
              <w:rPr>
                <w:rFonts w:eastAsia="PMingLiU"/>
                <w:lang w:eastAsia="zh-TW"/>
              </w:rPr>
            </w:pPr>
            <w:r w:rsidRPr="001B43DC">
              <w:rPr>
                <w:color w:val="000000"/>
                <w:u w:val="single"/>
              </w:rPr>
              <w:t>Incident Response</w:t>
            </w:r>
            <w:r w:rsidRPr="001B43DC">
              <w:rPr>
                <w:color w:val="000000"/>
              </w:rPr>
              <w:t xml:space="preserve"> – I</w:t>
            </w:r>
            <w:r w:rsidRPr="001B43DC">
              <w:rPr>
                <w:rFonts w:eastAsia="PMingLiU"/>
                <w:lang w:eastAsia="zh-TW"/>
              </w:rPr>
              <w:t xml:space="preserve">ncident response policies and procedures consistent with applicable laws and </w:t>
            </w:r>
            <w:r w:rsidR="00AE2DCA" w:rsidRPr="001B43DC">
              <w:rPr>
                <w:rFonts w:eastAsia="PMingLiU"/>
                <w:lang w:eastAsia="zh-TW"/>
              </w:rPr>
              <w:t>s</w:t>
            </w:r>
            <w:r w:rsidRPr="001B43DC">
              <w:rPr>
                <w:rFonts w:eastAsia="PMingLiU"/>
                <w:lang w:eastAsia="zh-TW"/>
              </w:rPr>
              <w:t>tate policies are in place.  These include but are not limited to identification of roles and responsibilities, investigation, containment and escalation procedures, documentation and preservation of evidence, communication protocols, and lessons learned.</w:t>
            </w:r>
          </w:p>
        </w:tc>
        <w:tc>
          <w:tcPr>
            <w:tcW w:w="501" w:type="pct"/>
          </w:tcPr>
          <w:p w:rsidR="004255C1" w:rsidRDefault="004255C1" w:rsidP="008240D6"/>
        </w:tc>
      </w:tr>
      <w:tr w:rsidR="004255C1" w:rsidTr="001B43DC">
        <w:trPr>
          <w:trHeight w:val="377"/>
        </w:trPr>
        <w:tc>
          <w:tcPr>
            <w:tcW w:w="4499" w:type="pct"/>
          </w:tcPr>
          <w:p w:rsidR="004255C1" w:rsidRPr="001B43DC" w:rsidRDefault="004255C1" w:rsidP="001B43DC">
            <w:pPr>
              <w:numPr>
                <w:ilvl w:val="0"/>
                <w:numId w:val="12"/>
              </w:numPr>
              <w:tabs>
                <w:tab w:val="left" w:pos="4320"/>
                <w:tab w:val="left" w:pos="5400"/>
              </w:tabs>
              <w:autoSpaceDE w:val="0"/>
              <w:autoSpaceDN w:val="0"/>
              <w:adjustRightInd w:val="0"/>
              <w:spacing w:after="120"/>
              <w:rPr>
                <w:color w:val="000000"/>
                <w:u w:val="single"/>
              </w:rPr>
            </w:pPr>
            <w:r w:rsidRPr="001B43DC">
              <w:rPr>
                <w:color w:val="000000"/>
                <w:u w:val="single"/>
              </w:rPr>
              <w:t>Incident Reporting</w:t>
            </w:r>
            <w:r w:rsidRPr="001B43DC">
              <w:rPr>
                <w:color w:val="000000"/>
              </w:rPr>
              <w:t xml:space="preserve"> – Proper incident reporting policies and procedures are in place.  These include training employees and contractors to identify and report incidents, the reporting of incidents immediately upon discovery, and preparation and submission of follow-up written reports.</w:t>
            </w:r>
            <w:r w:rsidRPr="001B43DC">
              <w:rPr>
                <w:color w:val="000000"/>
                <w:u w:val="single"/>
              </w:rPr>
              <w:t xml:space="preserve">  </w:t>
            </w:r>
          </w:p>
        </w:tc>
        <w:tc>
          <w:tcPr>
            <w:tcW w:w="501" w:type="pct"/>
          </w:tcPr>
          <w:p w:rsidR="004255C1" w:rsidRDefault="004255C1" w:rsidP="008240D6"/>
        </w:tc>
      </w:tr>
    </w:tbl>
    <w:p w:rsidR="00686667" w:rsidRPr="00EA7CD7" w:rsidRDefault="00686667" w:rsidP="00EA7CD7"/>
    <w:sectPr w:rsidR="00686667" w:rsidRPr="00EA7CD7" w:rsidSect="00FD2A0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9CA" w:rsidRDefault="00E939CA">
      <w:r>
        <w:separator/>
      </w:r>
    </w:p>
  </w:endnote>
  <w:endnote w:type="continuationSeparator" w:id="0">
    <w:p w:rsidR="00E939CA" w:rsidRDefault="00E9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D2F" w:rsidRDefault="00CD4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3E" w:rsidRPr="008C098A" w:rsidRDefault="00CE0A38" w:rsidP="00D026D9">
    <w:pPr>
      <w:pStyle w:val="Footer"/>
      <w:pBdr>
        <w:top w:val="single" w:sz="4" w:space="1" w:color="auto"/>
      </w:pBdr>
      <w:tabs>
        <w:tab w:val="clear" w:pos="8640"/>
        <w:tab w:val="right" w:pos="10440"/>
      </w:tabs>
      <w:ind w:right="72"/>
      <w:rPr>
        <w:rFonts w:ascii="Arial (W1)" w:hAnsi="Arial (W1)"/>
        <w:sz w:val="18"/>
        <w:szCs w:val="18"/>
      </w:rPr>
    </w:pPr>
    <w:r>
      <w:rPr>
        <w:rFonts w:ascii="Arial (W1)" w:hAnsi="Arial (W1)"/>
        <w:sz w:val="18"/>
        <w:szCs w:val="18"/>
      </w:rPr>
      <w:t xml:space="preserve">California </w:t>
    </w:r>
    <w:r w:rsidR="0066503E">
      <w:rPr>
        <w:rFonts w:ascii="Arial (W1)" w:hAnsi="Arial (W1)"/>
        <w:sz w:val="18"/>
        <w:szCs w:val="18"/>
      </w:rPr>
      <w:t xml:space="preserve">Office of Information Security </w:t>
    </w:r>
    <w:r w:rsidR="00316A0E">
      <w:rPr>
        <w:rFonts w:ascii="Arial (W1)" w:hAnsi="Arial (W1)"/>
        <w:sz w:val="18"/>
        <w:szCs w:val="18"/>
      </w:rPr>
      <w:tab/>
      <w:t xml:space="preserve">                                                                                                             </w:t>
    </w:r>
    <w:r w:rsidR="0066503E" w:rsidRPr="008C098A">
      <w:rPr>
        <w:rFonts w:ascii="Arial (W1)" w:hAnsi="Arial (W1)"/>
        <w:sz w:val="18"/>
        <w:szCs w:val="18"/>
      </w:rPr>
      <w:t xml:space="preserve">Page </w:t>
    </w:r>
    <w:r w:rsidR="0066503E" w:rsidRPr="008C098A">
      <w:rPr>
        <w:rFonts w:ascii="Arial (W1)" w:hAnsi="Arial (W1)"/>
        <w:sz w:val="18"/>
        <w:szCs w:val="18"/>
      </w:rPr>
      <w:fldChar w:fldCharType="begin"/>
    </w:r>
    <w:r w:rsidR="0066503E" w:rsidRPr="008C098A">
      <w:rPr>
        <w:rFonts w:ascii="Arial (W1)" w:hAnsi="Arial (W1)"/>
        <w:sz w:val="18"/>
        <w:szCs w:val="18"/>
      </w:rPr>
      <w:instrText xml:space="preserve"> PAGE </w:instrText>
    </w:r>
    <w:r w:rsidR="0066503E" w:rsidRPr="008C098A">
      <w:rPr>
        <w:rFonts w:ascii="Arial (W1)" w:hAnsi="Arial (W1)"/>
        <w:sz w:val="18"/>
        <w:szCs w:val="18"/>
      </w:rPr>
      <w:fldChar w:fldCharType="separate"/>
    </w:r>
    <w:r w:rsidR="005E172F">
      <w:rPr>
        <w:rFonts w:ascii="Arial (W1)" w:hAnsi="Arial (W1)"/>
        <w:noProof/>
        <w:sz w:val="18"/>
        <w:szCs w:val="18"/>
      </w:rPr>
      <w:t>1</w:t>
    </w:r>
    <w:r w:rsidR="0066503E" w:rsidRPr="008C098A">
      <w:rPr>
        <w:rFonts w:ascii="Arial (W1)" w:hAnsi="Arial (W1)"/>
        <w:sz w:val="18"/>
        <w:szCs w:val="18"/>
      </w:rPr>
      <w:fldChar w:fldCharType="end"/>
    </w:r>
    <w:r w:rsidR="0066503E" w:rsidRPr="008C098A">
      <w:rPr>
        <w:rFonts w:ascii="Arial (W1)" w:hAnsi="Arial (W1)"/>
        <w:sz w:val="18"/>
        <w:szCs w:val="18"/>
      </w:rPr>
      <w:t xml:space="preserve"> of </w:t>
    </w:r>
    <w:r w:rsidR="00FD2A0E">
      <w:rPr>
        <w:rFonts w:ascii="Arial (W1)" w:hAnsi="Arial (W1)"/>
        <w:sz w:val="18"/>
        <w:szCs w:val="18"/>
      </w:rPr>
      <w:t>6</w:t>
    </w:r>
  </w:p>
  <w:p w:rsidR="0066503E" w:rsidRPr="00636413" w:rsidRDefault="0066503E" w:rsidP="00636413">
    <w:pPr>
      <w:pStyle w:val="Footer"/>
      <w:pBdr>
        <w:top w:val="single" w:sz="4" w:space="1" w:color="auto"/>
      </w:pBdr>
      <w:tabs>
        <w:tab w:val="clear" w:pos="8640"/>
        <w:tab w:val="right" w:pos="10440"/>
      </w:tabs>
      <w:ind w:right="72"/>
      <w:rPr>
        <w:rFonts w:ascii="Arial (W1)" w:hAnsi="Arial (W1)"/>
        <w:sz w:val="18"/>
        <w:szCs w:val="18"/>
      </w:rPr>
    </w:pPr>
    <w:r w:rsidRPr="008C098A">
      <w:rPr>
        <w:rFonts w:ascii="Arial (W1)" w:hAnsi="Arial (W1)"/>
        <w:sz w:val="18"/>
        <w:szCs w:val="18"/>
      </w:rPr>
      <w:t>Information Security Risk Assessment Checklist</w:t>
    </w:r>
    <w:r>
      <w:rPr>
        <w:rFonts w:ascii="Arial (W1)" w:hAnsi="Arial (W1)"/>
        <w:sz w:val="18"/>
        <w:szCs w:val="18"/>
      </w:rPr>
      <w:t xml:space="preserve">                       </w:t>
    </w:r>
    <w:r w:rsidR="00CE0A38">
      <w:rPr>
        <w:rFonts w:ascii="Arial (W1)" w:hAnsi="Arial (W1)"/>
        <w:sz w:val="18"/>
        <w:szCs w:val="18"/>
      </w:rPr>
      <w:t xml:space="preserve">       </w:t>
    </w:r>
    <w:r w:rsidR="00FD2A0E">
      <w:rPr>
        <w:rFonts w:ascii="Arial (W1)" w:hAnsi="Arial (W1)"/>
        <w:sz w:val="18"/>
        <w:szCs w:val="18"/>
      </w:rPr>
      <w:t xml:space="preserve">          </w:t>
    </w:r>
    <w:r w:rsidR="00CE0A38">
      <w:rPr>
        <w:rFonts w:ascii="Arial (W1)" w:hAnsi="Arial (W1)"/>
        <w:sz w:val="18"/>
        <w:szCs w:val="18"/>
      </w:rPr>
      <w:t xml:space="preserve">                         </w:t>
    </w:r>
    <w:r w:rsidR="00FD2A0E">
      <w:rPr>
        <w:rFonts w:ascii="Arial (W1)" w:hAnsi="Arial (W1)"/>
        <w:sz w:val="18"/>
        <w:szCs w:val="18"/>
      </w:rPr>
      <w:t xml:space="preserve">                      </w:t>
    </w:r>
    <w:r>
      <w:rPr>
        <w:rFonts w:ascii="Arial (W1)" w:hAnsi="Arial (W1)"/>
        <w:sz w:val="18"/>
        <w:szCs w:val="18"/>
      </w:rPr>
      <w:t xml:space="preserve">  </w:t>
    </w:r>
    <w:r w:rsidR="00316A0E">
      <w:rPr>
        <w:rFonts w:ascii="Arial (W1)" w:hAnsi="Arial (W1)"/>
        <w:sz w:val="18"/>
        <w:szCs w:val="18"/>
      </w:rPr>
      <w:t>November 2009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D2F" w:rsidRDefault="00CD4D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A0E" w:rsidRPr="008C098A" w:rsidRDefault="00FD2A0E" w:rsidP="00D026D9">
    <w:pPr>
      <w:pStyle w:val="Footer"/>
      <w:pBdr>
        <w:top w:val="single" w:sz="4" w:space="1" w:color="auto"/>
      </w:pBdr>
      <w:tabs>
        <w:tab w:val="clear" w:pos="8640"/>
        <w:tab w:val="right" w:pos="10440"/>
      </w:tabs>
      <w:ind w:right="72"/>
      <w:rPr>
        <w:rFonts w:ascii="Arial (W1)" w:hAnsi="Arial (W1)"/>
        <w:sz w:val="18"/>
        <w:szCs w:val="18"/>
      </w:rPr>
    </w:pPr>
    <w:r>
      <w:rPr>
        <w:rFonts w:ascii="Arial (W1)" w:hAnsi="Arial (W1)"/>
        <w:sz w:val="18"/>
        <w:szCs w:val="18"/>
      </w:rPr>
      <w:t>California Office of Information</w:t>
    </w:r>
    <w:r w:rsidR="00CD4D2F">
      <w:rPr>
        <w:rFonts w:ascii="Arial (W1)" w:hAnsi="Arial (W1)"/>
        <w:sz w:val="18"/>
        <w:szCs w:val="18"/>
      </w:rPr>
      <w:t xml:space="preserve"> Security</w:t>
    </w:r>
    <w:r w:rsidR="00CD4D2F">
      <w:rPr>
        <w:rFonts w:ascii="Arial (W1)" w:hAnsi="Arial (W1)"/>
        <w:sz w:val="18"/>
        <w:szCs w:val="18"/>
      </w:rPr>
      <w:tab/>
    </w:r>
    <w:r w:rsidR="00CD4D2F">
      <w:rPr>
        <w:rFonts w:ascii="Arial (W1)" w:hAnsi="Arial (W1)"/>
        <w:sz w:val="18"/>
        <w:szCs w:val="18"/>
      </w:rPr>
      <w:tab/>
      <w:t xml:space="preserve">             </w:t>
    </w:r>
    <w:r>
      <w:rPr>
        <w:rFonts w:ascii="Arial (W1)" w:hAnsi="Arial (W1)"/>
        <w:sz w:val="18"/>
        <w:szCs w:val="18"/>
      </w:rPr>
      <w:t xml:space="preserve">                                                                                                </w:t>
    </w:r>
    <w:r w:rsidRPr="008C098A">
      <w:rPr>
        <w:rFonts w:ascii="Arial (W1)" w:hAnsi="Arial (W1)"/>
        <w:sz w:val="18"/>
        <w:szCs w:val="18"/>
      </w:rPr>
      <w:t xml:space="preserve">Page </w:t>
    </w:r>
    <w:r w:rsidRPr="008C098A">
      <w:rPr>
        <w:rFonts w:ascii="Arial (W1)" w:hAnsi="Arial (W1)"/>
        <w:sz w:val="18"/>
        <w:szCs w:val="18"/>
      </w:rPr>
      <w:fldChar w:fldCharType="begin"/>
    </w:r>
    <w:r w:rsidRPr="008C098A">
      <w:rPr>
        <w:rFonts w:ascii="Arial (W1)" w:hAnsi="Arial (W1)"/>
        <w:sz w:val="18"/>
        <w:szCs w:val="18"/>
      </w:rPr>
      <w:instrText xml:space="preserve"> PAGE </w:instrText>
    </w:r>
    <w:r w:rsidRPr="008C098A">
      <w:rPr>
        <w:rFonts w:ascii="Arial (W1)" w:hAnsi="Arial (W1)"/>
        <w:sz w:val="18"/>
        <w:szCs w:val="18"/>
      </w:rPr>
      <w:fldChar w:fldCharType="separate"/>
    </w:r>
    <w:r w:rsidR="005E172F">
      <w:rPr>
        <w:rFonts w:ascii="Arial (W1)" w:hAnsi="Arial (W1)"/>
        <w:noProof/>
        <w:sz w:val="18"/>
        <w:szCs w:val="18"/>
      </w:rPr>
      <w:t>6</w:t>
    </w:r>
    <w:r w:rsidRPr="008C098A">
      <w:rPr>
        <w:rFonts w:ascii="Arial (W1)" w:hAnsi="Arial (W1)"/>
        <w:sz w:val="18"/>
        <w:szCs w:val="18"/>
      </w:rPr>
      <w:fldChar w:fldCharType="end"/>
    </w:r>
    <w:r w:rsidRPr="008C098A">
      <w:rPr>
        <w:rFonts w:ascii="Arial (W1)" w:hAnsi="Arial (W1)"/>
        <w:sz w:val="18"/>
        <w:szCs w:val="18"/>
      </w:rPr>
      <w:t xml:space="preserve"> of </w:t>
    </w:r>
    <w:r>
      <w:rPr>
        <w:rFonts w:ascii="Arial (W1)" w:hAnsi="Arial (W1)"/>
        <w:sz w:val="18"/>
        <w:szCs w:val="18"/>
      </w:rPr>
      <w:t>6</w:t>
    </w:r>
  </w:p>
  <w:p w:rsidR="00FD2A0E" w:rsidRPr="00636413" w:rsidRDefault="00FD2A0E" w:rsidP="00636413">
    <w:pPr>
      <w:pStyle w:val="Footer"/>
      <w:pBdr>
        <w:top w:val="single" w:sz="4" w:space="1" w:color="auto"/>
      </w:pBdr>
      <w:tabs>
        <w:tab w:val="clear" w:pos="8640"/>
        <w:tab w:val="right" w:pos="10440"/>
      </w:tabs>
      <w:ind w:right="72"/>
      <w:rPr>
        <w:rFonts w:ascii="Arial (W1)" w:hAnsi="Arial (W1)"/>
        <w:sz w:val="18"/>
        <w:szCs w:val="18"/>
      </w:rPr>
    </w:pPr>
    <w:r w:rsidRPr="008C098A">
      <w:rPr>
        <w:rFonts w:ascii="Arial (W1)" w:hAnsi="Arial (W1)"/>
        <w:sz w:val="18"/>
        <w:szCs w:val="18"/>
      </w:rPr>
      <w:t>Information Security Risk Assessment Checklist</w:t>
    </w:r>
    <w:r>
      <w:rPr>
        <w:rFonts w:ascii="Arial (W1)" w:hAnsi="Arial (W1)"/>
        <w:sz w:val="18"/>
        <w:szCs w:val="18"/>
      </w:rPr>
      <w:t xml:space="preserve">                                                                                                                </w:t>
    </w:r>
    <w:r w:rsidR="00CD4D2F">
      <w:rPr>
        <w:rFonts w:ascii="Arial (W1)" w:hAnsi="Arial (W1)"/>
        <w:sz w:val="18"/>
        <w:szCs w:val="18"/>
      </w:rPr>
      <w:t>November 2009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9CA" w:rsidRDefault="00E939CA">
      <w:r>
        <w:separator/>
      </w:r>
    </w:p>
  </w:footnote>
  <w:footnote w:type="continuationSeparator" w:id="0">
    <w:p w:rsidR="00E939CA" w:rsidRDefault="00E93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D2F" w:rsidRDefault="00CD4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D2F" w:rsidRDefault="00CD4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D2F" w:rsidRDefault="00CD4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5FB"/>
    <w:multiLevelType w:val="hybridMultilevel"/>
    <w:tmpl w:val="425076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F06150"/>
    <w:multiLevelType w:val="hybridMultilevel"/>
    <w:tmpl w:val="2CBCB0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96FD8"/>
    <w:multiLevelType w:val="hybridMultilevel"/>
    <w:tmpl w:val="E29E48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0DA0A13"/>
    <w:multiLevelType w:val="hybridMultilevel"/>
    <w:tmpl w:val="37867F5A"/>
    <w:lvl w:ilvl="0" w:tplc="0409000F">
      <w:start w:val="1"/>
      <w:numFmt w:val="decimal"/>
      <w:lvlText w:val="%1."/>
      <w:lvlJc w:val="left"/>
      <w:pPr>
        <w:tabs>
          <w:tab w:val="num" w:pos="360"/>
        </w:tabs>
        <w:ind w:left="360" w:hanging="360"/>
      </w:pPr>
    </w:lvl>
    <w:lvl w:ilvl="1" w:tplc="3E06EC02">
      <w:start w:val="1"/>
      <w:numFmt w:val="bullet"/>
      <w:lvlRestart w:val="0"/>
      <w:lvlText w:val=""/>
      <w:lvlJc w:val="left"/>
      <w:pPr>
        <w:tabs>
          <w:tab w:val="num" w:pos="1008"/>
        </w:tabs>
        <w:ind w:left="936" w:hanging="216"/>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65009B7"/>
    <w:multiLevelType w:val="hybridMultilevel"/>
    <w:tmpl w:val="E5FCAC54"/>
    <w:lvl w:ilvl="0" w:tplc="3E06EC02">
      <w:start w:val="1"/>
      <w:numFmt w:val="bullet"/>
      <w:lvlRestart w:val="0"/>
      <w:lvlText w:val=""/>
      <w:lvlJc w:val="left"/>
      <w:pPr>
        <w:tabs>
          <w:tab w:val="num" w:pos="1008"/>
        </w:tabs>
        <w:ind w:left="936" w:hanging="216"/>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B5509FA"/>
    <w:multiLevelType w:val="hybridMultilevel"/>
    <w:tmpl w:val="40289ED6"/>
    <w:lvl w:ilvl="0" w:tplc="3E06EC02">
      <w:start w:val="1"/>
      <w:numFmt w:val="bullet"/>
      <w:lvlRestart w:val="0"/>
      <w:lvlText w:val=""/>
      <w:lvlJc w:val="left"/>
      <w:pPr>
        <w:tabs>
          <w:tab w:val="num" w:pos="1008"/>
        </w:tabs>
        <w:ind w:left="936" w:hanging="216"/>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C0C739D"/>
    <w:multiLevelType w:val="hybridMultilevel"/>
    <w:tmpl w:val="C040CF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2FB7545"/>
    <w:multiLevelType w:val="hybridMultilevel"/>
    <w:tmpl w:val="639CC8A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19038B3"/>
    <w:multiLevelType w:val="hybridMultilevel"/>
    <w:tmpl w:val="C42A378A"/>
    <w:lvl w:ilvl="0" w:tplc="3E06EC02">
      <w:start w:val="1"/>
      <w:numFmt w:val="bullet"/>
      <w:lvlRestart w:val="0"/>
      <w:lvlText w:val=""/>
      <w:lvlJc w:val="left"/>
      <w:pPr>
        <w:tabs>
          <w:tab w:val="num" w:pos="1008"/>
        </w:tabs>
        <w:ind w:left="936" w:hanging="216"/>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58E653E"/>
    <w:multiLevelType w:val="hybridMultilevel"/>
    <w:tmpl w:val="A66E3B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89B7F38"/>
    <w:multiLevelType w:val="hybridMultilevel"/>
    <w:tmpl w:val="B09E13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2D342B"/>
    <w:multiLevelType w:val="multilevel"/>
    <w:tmpl w:val="3D0AFB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63A90D0E"/>
    <w:multiLevelType w:val="hybridMultilevel"/>
    <w:tmpl w:val="068814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0857E54"/>
    <w:multiLevelType w:val="hybridMultilevel"/>
    <w:tmpl w:val="978C6B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0"/>
  </w:num>
  <w:num w:numId="3">
    <w:abstractNumId w:val="3"/>
  </w:num>
  <w:num w:numId="4">
    <w:abstractNumId w:val="6"/>
  </w:num>
  <w:num w:numId="5">
    <w:abstractNumId w:val="8"/>
  </w:num>
  <w:num w:numId="6">
    <w:abstractNumId w:val="4"/>
  </w:num>
  <w:num w:numId="7">
    <w:abstractNumId w:val="2"/>
  </w:num>
  <w:num w:numId="8">
    <w:abstractNumId w:val="9"/>
  </w:num>
  <w:num w:numId="9">
    <w:abstractNumId w:val="5"/>
  </w:num>
  <w:num w:numId="10">
    <w:abstractNumId w:val="13"/>
  </w:num>
  <w:num w:numId="11">
    <w:abstractNumId w:val="1"/>
  </w:num>
  <w:num w:numId="12">
    <w:abstractNumId w:val="7"/>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C1"/>
    <w:rsid w:val="00016D3A"/>
    <w:rsid w:val="00027745"/>
    <w:rsid w:val="00033923"/>
    <w:rsid w:val="00036F60"/>
    <w:rsid w:val="00042A4A"/>
    <w:rsid w:val="00045550"/>
    <w:rsid w:val="00052288"/>
    <w:rsid w:val="00062A63"/>
    <w:rsid w:val="0007261D"/>
    <w:rsid w:val="00073CBD"/>
    <w:rsid w:val="000812F4"/>
    <w:rsid w:val="00084631"/>
    <w:rsid w:val="0008755F"/>
    <w:rsid w:val="00093DDC"/>
    <w:rsid w:val="00094BCF"/>
    <w:rsid w:val="000A0C34"/>
    <w:rsid w:val="000B21F0"/>
    <w:rsid w:val="000C56B6"/>
    <w:rsid w:val="000E09B1"/>
    <w:rsid w:val="000E2E99"/>
    <w:rsid w:val="000E4E8E"/>
    <w:rsid w:val="000F005E"/>
    <w:rsid w:val="000F01E9"/>
    <w:rsid w:val="000F17FD"/>
    <w:rsid w:val="000F44FD"/>
    <w:rsid w:val="0011566A"/>
    <w:rsid w:val="00116C73"/>
    <w:rsid w:val="00116E58"/>
    <w:rsid w:val="001176C6"/>
    <w:rsid w:val="0012292B"/>
    <w:rsid w:val="00123B46"/>
    <w:rsid w:val="00131C98"/>
    <w:rsid w:val="0014273D"/>
    <w:rsid w:val="001445C9"/>
    <w:rsid w:val="00146B59"/>
    <w:rsid w:val="001508EF"/>
    <w:rsid w:val="00153530"/>
    <w:rsid w:val="0015559B"/>
    <w:rsid w:val="00162B9F"/>
    <w:rsid w:val="00163175"/>
    <w:rsid w:val="001728EA"/>
    <w:rsid w:val="00172D1C"/>
    <w:rsid w:val="00173DD9"/>
    <w:rsid w:val="00183319"/>
    <w:rsid w:val="0018386F"/>
    <w:rsid w:val="00187280"/>
    <w:rsid w:val="0019239C"/>
    <w:rsid w:val="001A33B2"/>
    <w:rsid w:val="001A6255"/>
    <w:rsid w:val="001A677C"/>
    <w:rsid w:val="001A7917"/>
    <w:rsid w:val="001B0F68"/>
    <w:rsid w:val="001B43DC"/>
    <w:rsid w:val="001C590E"/>
    <w:rsid w:val="001E3AEF"/>
    <w:rsid w:val="001F0AD2"/>
    <w:rsid w:val="002051FB"/>
    <w:rsid w:val="00222400"/>
    <w:rsid w:val="002351C5"/>
    <w:rsid w:val="00235601"/>
    <w:rsid w:val="00250EB0"/>
    <w:rsid w:val="00253BC6"/>
    <w:rsid w:val="00256BEE"/>
    <w:rsid w:val="00257909"/>
    <w:rsid w:val="00266114"/>
    <w:rsid w:val="00267B66"/>
    <w:rsid w:val="00273300"/>
    <w:rsid w:val="002738B4"/>
    <w:rsid w:val="00274ACB"/>
    <w:rsid w:val="00285CA1"/>
    <w:rsid w:val="002911A2"/>
    <w:rsid w:val="002949CD"/>
    <w:rsid w:val="002A0251"/>
    <w:rsid w:val="002A1C6A"/>
    <w:rsid w:val="002A38E2"/>
    <w:rsid w:val="002C14D6"/>
    <w:rsid w:val="002D2D20"/>
    <w:rsid w:val="002D504C"/>
    <w:rsid w:val="002D6BA1"/>
    <w:rsid w:val="002E16C6"/>
    <w:rsid w:val="002E1E0A"/>
    <w:rsid w:val="002E5911"/>
    <w:rsid w:val="002F42D8"/>
    <w:rsid w:val="00304E75"/>
    <w:rsid w:val="00316A0E"/>
    <w:rsid w:val="00320F0F"/>
    <w:rsid w:val="0032345D"/>
    <w:rsid w:val="0032505C"/>
    <w:rsid w:val="00331C7D"/>
    <w:rsid w:val="00336299"/>
    <w:rsid w:val="00352F27"/>
    <w:rsid w:val="00364857"/>
    <w:rsid w:val="003749B9"/>
    <w:rsid w:val="00376F87"/>
    <w:rsid w:val="0038317C"/>
    <w:rsid w:val="003858AF"/>
    <w:rsid w:val="0038715F"/>
    <w:rsid w:val="00391AC1"/>
    <w:rsid w:val="0039265D"/>
    <w:rsid w:val="003A4F3E"/>
    <w:rsid w:val="003B2D77"/>
    <w:rsid w:val="003C21CD"/>
    <w:rsid w:val="003C5BD2"/>
    <w:rsid w:val="003F3193"/>
    <w:rsid w:val="003F3291"/>
    <w:rsid w:val="0040187E"/>
    <w:rsid w:val="00412EE4"/>
    <w:rsid w:val="0041492C"/>
    <w:rsid w:val="00420225"/>
    <w:rsid w:val="00420805"/>
    <w:rsid w:val="00425526"/>
    <w:rsid w:val="004255C1"/>
    <w:rsid w:val="00427D26"/>
    <w:rsid w:val="00441D5E"/>
    <w:rsid w:val="00441FD6"/>
    <w:rsid w:val="00446575"/>
    <w:rsid w:val="00447BA1"/>
    <w:rsid w:val="0045297D"/>
    <w:rsid w:val="00454134"/>
    <w:rsid w:val="00455F8E"/>
    <w:rsid w:val="00465361"/>
    <w:rsid w:val="004657FD"/>
    <w:rsid w:val="00467C96"/>
    <w:rsid w:val="004966E0"/>
    <w:rsid w:val="00496AD6"/>
    <w:rsid w:val="004A2CDD"/>
    <w:rsid w:val="004B5C90"/>
    <w:rsid w:val="004B6171"/>
    <w:rsid w:val="004C0592"/>
    <w:rsid w:val="004C141C"/>
    <w:rsid w:val="004C1E6E"/>
    <w:rsid w:val="004C2963"/>
    <w:rsid w:val="004E11AC"/>
    <w:rsid w:val="004F0E26"/>
    <w:rsid w:val="00501CB2"/>
    <w:rsid w:val="00502117"/>
    <w:rsid w:val="00505BE9"/>
    <w:rsid w:val="00513B9F"/>
    <w:rsid w:val="0051689B"/>
    <w:rsid w:val="00516EE8"/>
    <w:rsid w:val="005223B8"/>
    <w:rsid w:val="00532C70"/>
    <w:rsid w:val="0053308F"/>
    <w:rsid w:val="00535B55"/>
    <w:rsid w:val="00543507"/>
    <w:rsid w:val="00545134"/>
    <w:rsid w:val="00547A92"/>
    <w:rsid w:val="005538B8"/>
    <w:rsid w:val="0055793D"/>
    <w:rsid w:val="00560403"/>
    <w:rsid w:val="0056570D"/>
    <w:rsid w:val="00566490"/>
    <w:rsid w:val="0057081B"/>
    <w:rsid w:val="00572A5D"/>
    <w:rsid w:val="00592054"/>
    <w:rsid w:val="005A4056"/>
    <w:rsid w:val="005B415F"/>
    <w:rsid w:val="005C1158"/>
    <w:rsid w:val="005C3879"/>
    <w:rsid w:val="005C3B44"/>
    <w:rsid w:val="005D0D59"/>
    <w:rsid w:val="005D2678"/>
    <w:rsid w:val="005D4FC5"/>
    <w:rsid w:val="005E172F"/>
    <w:rsid w:val="005E4754"/>
    <w:rsid w:val="005E4776"/>
    <w:rsid w:val="005F199E"/>
    <w:rsid w:val="005F4252"/>
    <w:rsid w:val="00605DF6"/>
    <w:rsid w:val="00606F78"/>
    <w:rsid w:val="00610622"/>
    <w:rsid w:val="00613254"/>
    <w:rsid w:val="00630F6B"/>
    <w:rsid w:val="00636413"/>
    <w:rsid w:val="00645DAB"/>
    <w:rsid w:val="00652DBE"/>
    <w:rsid w:val="00655B45"/>
    <w:rsid w:val="0065701C"/>
    <w:rsid w:val="006636F4"/>
    <w:rsid w:val="0066458E"/>
    <w:rsid w:val="0066503E"/>
    <w:rsid w:val="00681977"/>
    <w:rsid w:val="00686667"/>
    <w:rsid w:val="006956AB"/>
    <w:rsid w:val="006A48D7"/>
    <w:rsid w:val="006A6FBC"/>
    <w:rsid w:val="006B3AA6"/>
    <w:rsid w:val="006B3C54"/>
    <w:rsid w:val="006C299B"/>
    <w:rsid w:val="006C483F"/>
    <w:rsid w:val="006D0F07"/>
    <w:rsid w:val="006D353F"/>
    <w:rsid w:val="006D42B7"/>
    <w:rsid w:val="006F0A8F"/>
    <w:rsid w:val="00701793"/>
    <w:rsid w:val="00702930"/>
    <w:rsid w:val="0070666E"/>
    <w:rsid w:val="007069E4"/>
    <w:rsid w:val="007075B0"/>
    <w:rsid w:val="007161E3"/>
    <w:rsid w:val="00717DB3"/>
    <w:rsid w:val="007230A9"/>
    <w:rsid w:val="00726A59"/>
    <w:rsid w:val="00726B6B"/>
    <w:rsid w:val="00727626"/>
    <w:rsid w:val="007521DF"/>
    <w:rsid w:val="00764241"/>
    <w:rsid w:val="00792574"/>
    <w:rsid w:val="007A3370"/>
    <w:rsid w:val="007B494A"/>
    <w:rsid w:val="007C7C52"/>
    <w:rsid w:val="007D37B4"/>
    <w:rsid w:val="007E0804"/>
    <w:rsid w:val="007E29B1"/>
    <w:rsid w:val="007F0CC4"/>
    <w:rsid w:val="007F5403"/>
    <w:rsid w:val="00803143"/>
    <w:rsid w:val="008037E4"/>
    <w:rsid w:val="00806F13"/>
    <w:rsid w:val="008240D6"/>
    <w:rsid w:val="008412F7"/>
    <w:rsid w:val="00844570"/>
    <w:rsid w:val="00845D19"/>
    <w:rsid w:val="0085482A"/>
    <w:rsid w:val="00861682"/>
    <w:rsid w:val="00861E3C"/>
    <w:rsid w:val="0086292C"/>
    <w:rsid w:val="0086725D"/>
    <w:rsid w:val="00872002"/>
    <w:rsid w:val="008836EA"/>
    <w:rsid w:val="00884B7D"/>
    <w:rsid w:val="00894779"/>
    <w:rsid w:val="008A0482"/>
    <w:rsid w:val="008A449C"/>
    <w:rsid w:val="008A58AB"/>
    <w:rsid w:val="008A61C9"/>
    <w:rsid w:val="008B1B62"/>
    <w:rsid w:val="008B43BC"/>
    <w:rsid w:val="008D4330"/>
    <w:rsid w:val="008E0893"/>
    <w:rsid w:val="008F542D"/>
    <w:rsid w:val="008F72FA"/>
    <w:rsid w:val="00902023"/>
    <w:rsid w:val="00917325"/>
    <w:rsid w:val="00920945"/>
    <w:rsid w:val="0092122B"/>
    <w:rsid w:val="0092279C"/>
    <w:rsid w:val="00934A63"/>
    <w:rsid w:val="00956B10"/>
    <w:rsid w:val="00966173"/>
    <w:rsid w:val="00966A45"/>
    <w:rsid w:val="00971778"/>
    <w:rsid w:val="00974473"/>
    <w:rsid w:val="00977D3C"/>
    <w:rsid w:val="009A03B5"/>
    <w:rsid w:val="009A1F5E"/>
    <w:rsid w:val="009A3F81"/>
    <w:rsid w:val="009D1345"/>
    <w:rsid w:val="009D19B7"/>
    <w:rsid w:val="009D335D"/>
    <w:rsid w:val="009D6A6A"/>
    <w:rsid w:val="009E14E4"/>
    <w:rsid w:val="009E73AC"/>
    <w:rsid w:val="009E79C2"/>
    <w:rsid w:val="009F2E8C"/>
    <w:rsid w:val="00A03080"/>
    <w:rsid w:val="00A05830"/>
    <w:rsid w:val="00A13744"/>
    <w:rsid w:val="00A13BD3"/>
    <w:rsid w:val="00A220EE"/>
    <w:rsid w:val="00A273CB"/>
    <w:rsid w:val="00A42C89"/>
    <w:rsid w:val="00A44CCF"/>
    <w:rsid w:val="00A64CF4"/>
    <w:rsid w:val="00A75EFD"/>
    <w:rsid w:val="00A8090C"/>
    <w:rsid w:val="00A835A2"/>
    <w:rsid w:val="00A86233"/>
    <w:rsid w:val="00A9468C"/>
    <w:rsid w:val="00A95C12"/>
    <w:rsid w:val="00A96E40"/>
    <w:rsid w:val="00AA2C0C"/>
    <w:rsid w:val="00AA2FE6"/>
    <w:rsid w:val="00AB0566"/>
    <w:rsid w:val="00AB1A36"/>
    <w:rsid w:val="00AC26E9"/>
    <w:rsid w:val="00AD7BD5"/>
    <w:rsid w:val="00AE2DCA"/>
    <w:rsid w:val="00AE67D1"/>
    <w:rsid w:val="00AF101A"/>
    <w:rsid w:val="00B01AFF"/>
    <w:rsid w:val="00B032BB"/>
    <w:rsid w:val="00B0696D"/>
    <w:rsid w:val="00B163D4"/>
    <w:rsid w:val="00B1741E"/>
    <w:rsid w:val="00B2264D"/>
    <w:rsid w:val="00B30552"/>
    <w:rsid w:val="00B415C4"/>
    <w:rsid w:val="00B46FD4"/>
    <w:rsid w:val="00B471A2"/>
    <w:rsid w:val="00B57D58"/>
    <w:rsid w:val="00B60182"/>
    <w:rsid w:val="00B64A64"/>
    <w:rsid w:val="00B9162E"/>
    <w:rsid w:val="00B927F6"/>
    <w:rsid w:val="00BA03BF"/>
    <w:rsid w:val="00BA39DA"/>
    <w:rsid w:val="00BA5227"/>
    <w:rsid w:val="00BA729E"/>
    <w:rsid w:val="00BB2DC4"/>
    <w:rsid w:val="00BD1C48"/>
    <w:rsid w:val="00BD44C9"/>
    <w:rsid w:val="00BE6945"/>
    <w:rsid w:val="00C02D42"/>
    <w:rsid w:val="00C044A7"/>
    <w:rsid w:val="00C0702E"/>
    <w:rsid w:val="00C134C5"/>
    <w:rsid w:val="00C144AE"/>
    <w:rsid w:val="00C176EA"/>
    <w:rsid w:val="00C27BDF"/>
    <w:rsid w:val="00C40A68"/>
    <w:rsid w:val="00C4207F"/>
    <w:rsid w:val="00C57E3F"/>
    <w:rsid w:val="00C67F57"/>
    <w:rsid w:val="00C72665"/>
    <w:rsid w:val="00CA0F35"/>
    <w:rsid w:val="00CA6A40"/>
    <w:rsid w:val="00CB29ED"/>
    <w:rsid w:val="00CD4D2F"/>
    <w:rsid w:val="00CD6490"/>
    <w:rsid w:val="00CD6B41"/>
    <w:rsid w:val="00CD6F44"/>
    <w:rsid w:val="00CD7147"/>
    <w:rsid w:val="00CE0A38"/>
    <w:rsid w:val="00CE278B"/>
    <w:rsid w:val="00CE7EC5"/>
    <w:rsid w:val="00CF0F99"/>
    <w:rsid w:val="00CF19C1"/>
    <w:rsid w:val="00CF19EE"/>
    <w:rsid w:val="00CF2DD4"/>
    <w:rsid w:val="00CF6AFB"/>
    <w:rsid w:val="00D01252"/>
    <w:rsid w:val="00D026D9"/>
    <w:rsid w:val="00D073F2"/>
    <w:rsid w:val="00D07EEA"/>
    <w:rsid w:val="00D11091"/>
    <w:rsid w:val="00D123F5"/>
    <w:rsid w:val="00D14FDD"/>
    <w:rsid w:val="00D1565C"/>
    <w:rsid w:val="00D220A7"/>
    <w:rsid w:val="00D226E4"/>
    <w:rsid w:val="00D319C0"/>
    <w:rsid w:val="00D32302"/>
    <w:rsid w:val="00D55594"/>
    <w:rsid w:val="00D707C4"/>
    <w:rsid w:val="00D7313F"/>
    <w:rsid w:val="00D7324B"/>
    <w:rsid w:val="00D814AD"/>
    <w:rsid w:val="00D81A33"/>
    <w:rsid w:val="00D85FD4"/>
    <w:rsid w:val="00D92362"/>
    <w:rsid w:val="00DB68A6"/>
    <w:rsid w:val="00DC3652"/>
    <w:rsid w:val="00DE1F09"/>
    <w:rsid w:val="00DF30CB"/>
    <w:rsid w:val="00DF5689"/>
    <w:rsid w:val="00E012FC"/>
    <w:rsid w:val="00E02160"/>
    <w:rsid w:val="00E24381"/>
    <w:rsid w:val="00E3030D"/>
    <w:rsid w:val="00E3086A"/>
    <w:rsid w:val="00E37E55"/>
    <w:rsid w:val="00E4432C"/>
    <w:rsid w:val="00E523F0"/>
    <w:rsid w:val="00E62BE1"/>
    <w:rsid w:val="00E63240"/>
    <w:rsid w:val="00E71B2F"/>
    <w:rsid w:val="00E72B36"/>
    <w:rsid w:val="00E879D9"/>
    <w:rsid w:val="00E9214A"/>
    <w:rsid w:val="00E939CA"/>
    <w:rsid w:val="00E97BF0"/>
    <w:rsid w:val="00EA7A5E"/>
    <w:rsid w:val="00EA7CD7"/>
    <w:rsid w:val="00EB3574"/>
    <w:rsid w:val="00EB4B72"/>
    <w:rsid w:val="00EC4C4A"/>
    <w:rsid w:val="00ED04D0"/>
    <w:rsid w:val="00ED575D"/>
    <w:rsid w:val="00ED7942"/>
    <w:rsid w:val="00EE70CB"/>
    <w:rsid w:val="00EF3343"/>
    <w:rsid w:val="00EF3DFC"/>
    <w:rsid w:val="00EF4922"/>
    <w:rsid w:val="00F02CFA"/>
    <w:rsid w:val="00F02D82"/>
    <w:rsid w:val="00F10874"/>
    <w:rsid w:val="00F13E1A"/>
    <w:rsid w:val="00F14899"/>
    <w:rsid w:val="00F23B66"/>
    <w:rsid w:val="00F250E2"/>
    <w:rsid w:val="00F274B5"/>
    <w:rsid w:val="00F40853"/>
    <w:rsid w:val="00F44EF1"/>
    <w:rsid w:val="00F46D1C"/>
    <w:rsid w:val="00F5298B"/>
    <w:rsid w:val="00F54EDB"/>
    <w:rsid w:val="00F57FF1"/>
    <w:rsid w:val="00F600EF"/>
    <w:rsid w:val="00F6678D"/>
    <w:rsid w:val="00F76BE8"/>
    <w:rsid w:val="00F94A36"/>
    <w:rsid w:val="00F94D8B"/>
    <w:rsid w:val="00F95BAC"/>
    <w:rsid w:val="00FA7CB2"/>
    <w:rsid w:val="00FB4284"/>
    <w:rsid w:val="00FB5D7D"/>
    <w:rsid w:val="00FC3076"/>
    <w:rsid w:val="00FC7367"/>
    <w:rsid w:val="00FD2A0E"/>
    <w:rsid w:val="00FE3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40F731-42D0-4151-BC3D-E76930ED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5C1"/>
    <w:rPr>
      <w:rFonts w:ascii="Arial" w:hAnsi="Arial" w:cs="Arial"/>
      <w:sz w:val="22"/>
      <w:szCs w:val="22"/>
      <w:lang w:val="en-US" w:eastAsia="en-US"/>
    </w:rPr>
  </w:style>
  <w:style w:type="paragraph" w:styleId="Heading1">
    <w:name w:val="heading 1"/>
    <w:basedOn w:val="Normal"/>
    <w:next w:val="Normal"/>
    <w:qFormat/>
    <w:rsid w:val="000E09B1"/>
    <w:pPr>
      <w:keepNext/>
      <w:spacing w:before="240" w:after="60"/>
      <w:outlineLvl w:val="0"/>
    </w:pPr>
    <w:rPr>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858AF"/>
    <w:pPr>
      <w:tabs>
        <w:tab w:val="center" w:pos="4320"/>
        <w:tab w:val="right" w:pos="8640"/>
      </w:tabs>
    </w:pPr>
  </w:style>
  <w:style w:type="paragraph" w:styleId="Footer">
    <w:name w:val="footer"/>
    <w:basedOn w:val="Normal"/>
    <w:rsid w:val="003858AF"/>
    <w:pPr>
      <w:tabs>
        <w:tab w:val="center" w:pos="4320"/>
        <w:tab w:val="right" w:pos="8640"/>
      </w:tabs>
    </w:pPr>
  </w:style>
  <w:style w:type="paragraph" w:styleId="NormalWeb">
    <w:name w:val="Normal (Web)"/>
    <w:basedOn w:val="Normal"/>
    <w:rsid w:val="004255C1"/>
    <w:pPr>
      <w:spacing w:before="100" w:beforeAutospacing="1" w:after="100" w:afterAutospacing="1"/>
    </w:pPr>
    <w:rPr>
      <w:rFonts w:ascii="Times New Roman" w:hAnsi="Times New Roman" w:cs="Times New Roman"/>
      <w:sz w:val="24"/>
      <w:szCs w:val="24"/>
    </w:rPr>
  </w:style>
  <w:style w:type="table" w:styleId="TableGrid">
    <w:name w:val="Table Grid"/>
    <w:basedOn w:val="TableNormal"/>
    <w:rsid w:val="00425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255C1"/>
    <w:rPr>
      <w:color w:val="0000FF"/>
      <w:u w:val="single"/>
    </w:rPr>
  </w:style>
  <w:style w:type="paragraph" w:styleId="BalloonText">
    <w:name w:val="Balloon Text"/>
    <w:basedOn w:val="Normal"/>
    <w:semiHidden/>
    <w:rsid w:val="00183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8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Rosa Umbach</dc:creator>
  <cp:keywords/>
  <dc:description/>
  <cp:lastModifiedBy>J A</cp:lastModifiedBy>
  <cp:revision>2</cp:revision>
  <cp:lastPrinted>2008-11-07T00:59:00Z</cp:lastPrinted>
  <dcterms:created xsi:type="dcterms:W3CDTF">2019-10-09T11:20:00Z</dcterms:created>
  <dcterms:modified xsi:type="dcterms:W3CDTF">2019-10-09T11:20:00Z</dcterms:modified>
</cp:coreProperties>
</file>