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Calibri" w:hAnsi="Calibri"/>
          <w:b/>
          <w:color w:val="0F172A"/>
          <w:sz w:val="44"/>
        </w:rPr>
        <w:t>📘 OFFICIAL TECHNICAL REFERENCE &amp; DEPLOYMENT ARCHITECTURE</w:t>
      </w:r>
    </w:p>
    <w:p>
      <w:pPr>
        <w:spacing w:before="280" w:after="120"/>
      </w:pPr>
      <w:r>
        <w:rPr>
          <w:rFonts w:ascii="Calibri" w:hAnsi="Calibri"/>
          <w:b/>
          <w:color w:val="0284C7"/>
          <w:sz w:val="32"/>
        </w:rPr>
        <w:t>Kaksethan Livestock &amp; Herdbook Management System</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E5E7EB"/>
          <w:insideV w:val="none"/>
          <w:left w:val="none"/>
          <w:right w:val="none"/>
        </w:tblBorders>
      </w:tblPr>
      <w:tblGrid>
        <w:gridCol w:w="4968"/>
        <w:gridCol w:w="4968"/>
      </w:tblGrid>
      <w:tr>
        <w:tc>
          <w:tcPr>
            <w:tcW w:type="dxa" w:w="4968"/>
            <w:tcMar>
              <w:top w:w="100" w:type="dxa"/>
              <w:bottom w:w="100" w:type="dxa"/>
              <w:left w:w="140" w:type="dxa"/>
              <w:right w:w="140" w:type="dxa"/>
            </w:tcMar>
            <w:shd w:fill="0F172A"/>
          </w:tcPr>
          <w:p>
            <w:pPr>
              <w:spacing w:before="40" w:after="40"/>
            </w:pPr>
            <w:r>
              <w:rPr>
                <w:b/>
                <w:color w:val="FFFFFF"/>
              </w:rPr>
            </w:r>
            <w:r>
              <w:rPr>
                <w:b/>
                <w:color w:val="FFFFFF"/>
              </w:rPr>
              <w:t>Version:</w:t>
            </w:r>
            <w:r>
              <w:rPr>
                <w:b/>
                <w:color w:val="FFFFFF"/>
              </w:rPr>
              <w:t xml:space="preserve"> 1.0.0</w:t>
            </w:r>
          </w:p>
        </w:tc>
        <w:tc>
          <w:tcPr>
            <w:tcW w:type="dxa" w:w="4968"/>
            <w:tcMar>
              <w:top w:w="100" w:type="dxa"/>
              <w:bottom w:w="100" w:type="dxa"/>
              <w:left w:w="140" w:type="dxa"/>
              <w:right w:w="140" w:type="dxa"/>
            </w:tcMar>
            <w:shd w:fill="0F172A"/>
          </w:tcPr>
          <w:p>
            <w:pPr>
              <w:spacing w:before="40" w:after="40"/>
            </w:pPr>
            <w:r>
              <w:rPr>
                <w:b/>
                <w:color w:val="FFFFFF"/>
              </w:rPr>
            </w:r>
            <w:r>
              <w:rPr>
                <w:b/>
                <w:color w:val="FFFFFF"/>
              </w:rPr>
              <w:t>Last Updated:</w:t>
            </w:r>
            <w:r>
              <w:rPr>
                <w:b/>
                <w:color w:val="FFFFFF"/>
              </w:rPr>
              <w:t xml:space="preserve"> August 2026</w:t>
            </w:r>
          </w:p>
        </w:tc>
      </w:tr>
    </w:tbl>
    <w:p>
      <w:pPr>
        <w:spacing w:after="160"/>
      </w:pPr>
    </w:p>
    <w:tbl>
      <w:tblPr>
        <w:tblW w:type="auto" w:w="0"/>
        <w:jc w:val="center"/>
        <w:tblLook w:firstColumn="1" w:firstRow="1" w:lastColumn="0" w:lastRow="0" w:noHBand="0" w:noVBand="1" w:val="04A0"/>
      </w:tblPr>
      <w:tblGrid>
        <w:gridCol w:w="9936"/>
      </w:tblGrid>
      <w:tr>
        <w:tc>
          <w:tcPr>
            <w:tcW w:type="dxa" w:w="9936"/>
            <w:shd w:fill="F0F9FF"/>
            <w:tcMar>
              <w:top w:w="120" w:type="dxa"/>
              <w:bottom w:w="120" w:type="dxa"/>
              <w:left w:w="200" w:type="dxa"/>
              <w:right w:w="200" w:type="dxa"/>
            </w:tcMar>
            <w:tcBorders>
              <w:left w:val="single" w:sz="24" w:space="0" w:color="0284C7"/>
              <w:top w:val="none"/>
              <w:right w:val="none"/>
              <w:bottom w:val="none"/>
            </w:tcBorders>
          </w:tcPr>
          <w:p>
            <w:pPr>
              <w:spacing w:before="80" w:after="80"/>
            </w:pPr>
            <w:r>
              <w:rPr>
                <w:rFonts w:ascii="Calibri" w:hAnsi="Calibri"/>
                <w:sz w:val="21"/>
              </w:rPr>
              <w:t>**MANDATORY FOR ALL DEVELOPERS &amp; AI AGENTS:** This document is the single authoritative technical reference governing Frontend, Backend, API, Database Schema, Database Migrations, Environment Configurations, and Production Deployments. All human developers and AI coding agents MUST read and strictly adhere to the guidelines in this document BEFORE making any code edits, database schema updates, or production deployments.</w:t>
            </w:r>
          </w:p>
        </w:tc>
      </w:tr>
    </w:tbl>
    <w:p>
      <w:pPr>
        <w:spacing w:after="120"/>
      </w:pPr>
    </w:p>
    <w:p>
      <w:pPr>
        <w:spacing w:before="40" w:after="120"/>
      </w:pPr>
      <w:r>
        <w:t>---</w:t>
      </w:r>
    </w:p>
    <w:p>
      <w:pPr>
        <w:spacing w:before="280" w:after="120"/>
      </w:pPr>
      <w:r>
        <w:rPr>
          <w:rFonts w:ascii="Calibri" w:hAnsi="Calibri"/>
          <w:b/>
          <w:color w:val="0284C7"/>
          <w:sz w:val="32"/>
        </w:rPr>
        <w:t>1. Environment Architecture</w:t>
      </w:r>
    </w:p>
    <w:p>
      <w:pPr>
        <w:spacing w:before="40" w:after="120"/>
      </w:pPr>
      <w:r>
        <w:t xml:space="preserve">The system enforces total isolation between </w:t>
      </w:r>
      <w:r>
        <w:rPr>
          <w:b/>
        </w:rPr>
        <w:t>Development (Localhost)</w:t>
      </w:r>
      <w:r>
        <w:t xml:space="preserve"> and </w:t>
      </w:r>
      <w:r>
        <w:rPr>
          <w:b/>
        </w:rPr>
        <w:t>Production</w:t>
      </w:r>
      <w:r>
        <w:t xml:space="preserve"> environments.</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Pr>
          <w:p>
            <w:pPr>
              <w:spacing w:before="80" w:after="80"/>
            </w:pPr>
            <w:r>
              <w:rPr>
                <w:rFonts w:ascii="Consolas" w:hAnsi="Consolas"/>
                <w:color w:val="38BDF8"/>
                <w:sz w:val="19"/>
              </w:rPr>
              <w:t xml:space="preserve">                                 ┌─────────────────────────────────────────┐</w:t>
              <w:br/>
              <w:t xml:space="preserve">                                 │     KAKSETHAN SINGLE CODEBASE REPO      │</w:t>
              <w:br/>
              <w:t xml:space="preserve">                                 └────────────────────┬────────────────────┘</w:t>
              <w:br/>
              <w:t xml:space="preserve">                                                      │</w:t>
              <w:br/>
              <w:t xml:space="preserve">                       ┌──────────────────────────────┴──────────────────────────────┐</w:t>
              <w:br/>
              <w:t xml:space="preserve">                       ▼                                                             ▼</w:t>
              <w:br/>
              <w:t xml:space="preserve">         🛠️  DEVELOPMENT (Localhost)                                  🚀 PRODUCTION (livestock.kaksedthan.com)</w:t>
              <w:br/>
              <w:t xml:space="preserve">  ┌────────────────────────────────────────┐                   ┌────────────────────────────────────────┐</w:t>
              <w:br/>
              <w:t xml:space="preserve">  │ Env File:   .env.development           │                   │ Env File:   .env.production (Server) │</w:t>
              <w:br/>
              <w:t xml:space="preserve">  │ DB Host:    localhost:5433 (Docker)    │                   │ DB Host:    127.0.0.1:5432 (PostgreSQL)│</w:t>
              <w:br/>
              <w:t xml:space="preserve">  │ DB Name:    kaksedthan_herdbook        │                   │ DB Name:    livestock_db             │</w:t>
              <w:br/>
              <w:t xml:space="preserve">  │ Storage:    public/uploads/dev/        │                   │ Storage:    public/uploads/prod/     │</w:t>
              <w:br/>
              <w:t xml:space="preserve">  │ API URL:    http://localhost:5001/api/v1│                   │ API URL:    /api/v1 (Nginx Proxy)    │</w:t>
              <w:br/>
              <w:t xml:space="preserve">  │ Test Data:  Allowed (dev-seed.ts)      │                   │ Test Data:  FORBIDDEN (Real Data Only) │</w:t>
              <w:br/>
              <w:t xml:space="preserve">  └────────────────────────────────────────┘                   └────────────────────────────────────────┘</w:t>
              <w:br/>
            </w:r>
          </w:p>
        </w:tc>
      </w:tr>
    </w:tbl>
    <w:p>
      <w:pPr>
        <w:spacing w:after="120"/>
      </w:pPr>
    </w:p>
    <w:tbl>
      <w:tblPr>
        <w:tblW w:type="auto" w:w="0"/>
        <w:jc w:val="center"/>
        <w:tblLook w:firstColumn="1" w:firstRow="1" w:lastColumn="0" w:lastRow="0" w:noHBand="0" w:noVBand="1" w:val="04A0"/>
      </w:tblPr>
      <w:tblGrid>
        <w:gridCol w:w="9936"/>
      </w:tblGrid>
      <w:tr>
        <w:tc>
          <w:tcPr>
            <w:tcW w:type="dxa" w:w="9936"/>
            <w:shd w:fill="FFFBEB"/>
            <w:tcMar>
              <w:top w:w="120" w:type="dxa"/>
              <w:bottom w:w="120" w:type="dxa"/>
              <w:left w:w="200" w:type="dxa"/>
              <w:right w:w="200" w:type="dxa"/>
            </w:tcMar>
            <w:tcBorders>
              <w:left w:val="single" w:sz="24" w:space="0" w:color="D97706"/>
              <w:top w:val="none"/>
              <w:right w:val="none"/>
              <w:bottom w:val="none"/>
            </w:tcBorders>
          </w:tcPr>
          <w:p>
            <w:pPr>
              <w:spacing w:before="80" w:after="80"/>
            </w:pPr>
            <w:r>
              <w:rPr>
                <w:rFonts w:ascii="Calibri" w:hAnsi="Calibri"/>
                <w:sz w:val="21"/>
              </w:rPr>
              <w:t>**STRICT ISOLATION RULE:** Development and Production environments MUST NEVER share the same database or storage directories.</w:t>
            </w:r>
          </w:p>
        </w:tc>
      </w:tr>
    </w:tbl>
    <w:p>
      <w:pPr>
        <w:spacing w:after="120"/>
      </w:pPr>
    </w:p>
    <w:p>
      <w:pPr>
        <w:spacing w:before="40" w:after="120"/>
      </w:pPr>
      <w:r>
        <w:t>---</w:t>
      </w:r>
    </w:p>
    <w:p>
      <w:pPr>
        <w:spacing w:before="280" w:after="120"/>
      </w:pPr>
      <w:r>
        <w:rPr>
          <w:rFonts w:ascii="Calibri" w:hAnsi="Calibri"/>
          <w:b/>
          <w:color w:val="0284C7"/>
          <w:sz w:val="32"/>
        </w:rPr>
        <w:t>2. Source of Truth Matrix</w:t>
      </w:r>
    </w:p>
    <w:p>
      <w:pPr>
        <w:spacing w:before="40" w:after="120"/>
      </w:pPr>
      <w:r>
        <w:t>To prevent data drift and architectural conflicts, every technical domain has one single designated Source of Truth:</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E5E7EB"/>
          <w:insideV w:val="none"/>
          <w:left w:val="none"/>
          <w:right w:val="none"/>
        </w:tblBorders>
      </w:tblPr>
      <w:tblGrid>
        <w:gridCol w:w="3312"/>
        <w:gridCol w:w="3312"/>
        <w:gridCol w:w="3312"/>
      </w:tblGrid>
      <w:tr>
        <w:tc>
          <w:tcPr>
            <w:tcW w:type="dxa" w:w="3312"/>
            <w:tcMar>
              <w:top w:w="100" w:type="dxa"/>
              <w:bottom w:w="100" w:type="dxa"/>
              <w:left w:w="140" w:type="dxa"/>
              <w:right w:w="140" w:type="dxa"/>
            </w:tcMar>
            <w:shd w:fill="0F172A"/>
          </w:tcPr>
          <w:p>
            <w:pPr>
              <w:spacing w:before="40" w:after="40"/>
            </w:pPr>
            <w:r>
              <w:rPr>
                <w:b/>
                <w:color w:val="FFFFFF"/>
              </w:rPr>
              <w:t>Technical Domain</w:t>
            </w:r>
          </w:p>
        </w:tc>
        <w:tc>
          <w:tcPr>
            <w:tcW w:type="dxa" w:w="3312"/>
            <w:tcMar>
              <w:top w:w="100" w:type="dxa"/>
              <w:bottom w:w="100" w:type="dxa"/>
              <w:left w:w="140" w:type="dxa"/>
              <w:right w:w="140" w:type="dxa"/>
            </w:tcMar>
            <w:shd w:fill="0F172A"/>
          </w:tcPr>
          <w:p>
            <w:pPr>
              <w:spacing w:before="40" w:after="40"/>
            </w:pPr>
            <w:r>
              <w:rPr>
                <w:b/>
                <w:color w:val="FFFFFF"/>
              </w:rPr>
              <w:t>Single Source of Truth</w:t>
            </w:r>
          </w:p>
        </w:tc>
        <w:tc>
          <w:tcPr>
            <w:tcW w:type="dxa" w:w="3312"/>
            <w:tcMar>
              <w:top w:w="100" w:type="dxa"/>
              <w:bottom w:w="100" w:type="dxa"/>
              <w:left w:w="140" w:type="dxa"/>
              <w:right w:w="140" w:type="dxa"/>
            </w:tcMar>
            <w:shd w:fill="0F172A"/>
          </w:tcPr>
          <w:p>
            <w:pPr>
              <w:spacing w:before="40" w:after="40"/>
            </w:pPr>
            <w:r>
              <w:rPr>
                <w:b/>
                <w:color w:val="FFFFFF"/>
              </w:rPr>
              <w:t>Location / Reference</w:t>
            </w:r>
          </w:p>
        </w:tc>
      </w:tr>
      <w:tr>
        <w:tc>
          <w:tcPr>
            <w:tcW w:type="dxa" w:w="3312"/>
            <w:tcMar>
              <w:top w:w="100" w:type="dxa"/>
              <w:bottom w:w="100" w:type="dxa"/>
              <w:left w:w="140" w:type="dxa"/>
              <w:right w:w="140" w:type="dxa"/>
            </w:tcMar>
            <w:shd w:fill="F8FAFC"/>
          </w:tcPr>
          <w:p>
            <w:pPr>
              <w:spacing w:before="40" w:after="40"/>
            </w:pPr>
            <w:r>
              <w:rPr>
                <w:color w:val="334155"/>
              </w:rPr>
            </w:r>
            <w:r>
              <w:rPr>
                <w:b/>
                <w:color w:val="0F172A"/>
              </w:rPr>
              <w:t>UI Components &amp; Layout</w:t>
            </w:r>
            <w:r>
              <w:rPr>
                <w:color w:val="334155"/>
              </w:rPr>
            </w:r>
          </w:p>
        </w:tc>
        <w:tc>
          <w:tcPr>
            <w:tcW w:type="dxa" w:w="3312"/>
            <w:tcMar>
              <w:top w:w="100" w:type="dxa"/>
              <w:bottom w:w="100" w:type="dxa"/>
              <w:left w:w="140" w:type="dxa"/>
              <w:right w:w="140" w:type="dxa"/>
            </w:tcMar>
            <w:shd w:fill="F8FAFC"/>
          </w:tcPr>
          <w:p>
            <w:pPr>
              <w:spacing w:before="40" w:after="40"/>
            </w:pPr>
            <w:r>
              <w:rPr>
                <w:color w:val="334155"/>
              </w:rPr>
              <w:t>Frontend Codebase</w:t>
            </w:r>
          </w:p>
        </w:tc>
        <w:tc>
          <w:tcPr>
            <w:tcW w:type="dxa" w:w="3312"/>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src/app/</w:t>
            </w:r>
            <w:r>
              <w:rPr>
                <w:color w:val="334155"/>
              </w:rPr>
              <w:t xml:space="preserve">, </w:t>
            </w:r>
            <w:r>
              <w:rPr>
                <w:rFonts w:ascii="Consolas" w:hAnsi="Consolas"/>
                <w:color w:val="0284C7"/>
                <w:sz w:val="19"/>
              </w:rPr>
              <w:t>src/components/</w:t>
            </w:r>
            <w:r>
              <w:rPr>
                <w:color w:val="334155"/>
              </w:rPr>
            </w:r>
          </w:p>
        </w:tc>
      </w:tr>
      <w:tr>
        <w:tc>
          <w:tcPr>
            <w:tcW w:type="dxa" w:w="3312"/>
            <w:tcMar>
              <w:top w:w="100" w:type="dxa"/>
              <w:bottom w:w="100" w:type="dxa"/>
              <w:left w:w="140" w:type="dxa"/>
              <w:right w:w="140" w:type="dxa"/>
            </w:tcMar>
            <w:shd w:fill="FFFFFF"/>
          </w:tcPr>
          <w:p>
            <w:pPr>
              <w:spacing w:before="40" w:after="40"/>
            </w:pPr>
            <w:r>
              <w:rPr>
                <w:color w:val="334155"/>
              </w:rPr>
            </w:r>
            <w:r>
              <w:rPr>
                <w:b/>
                <w:color w:val="0F172A"/>
              </w:rPr>
              <w:t>Business Logic &amp; Rules</w:t>
            </w:r>
            <w:r>
              <w:rPr>
                <w:color w:val="334155"/>
              </w:rPr>
            </w:r>
          </w:p>
        </w:tc>
        <w:tc>
          <w:tcPr>
            <w:tcW w:type="dxa" w:w="3312"/>
            <w:tcMar>
              <w:top w:w="100" w:type="dxa"/>
              <w:bottom w:w="100" w:type="dxa"/>
              <w:left w:w="140" w:type="dxa"/>
              <w:right w:w="140" w:type="dxa"/>
            </w:tcMar>
            <w:shd w:fill="FFFFFF"/>
          </w:tcPr>
          <w:p>
            <w:pPr>
              <w:spacing w:before="40" w:after="40"/>
            </w:pPr>
            <w:r>
              <w:rPr>
                <w:color w:val="334155"/>
              </w:rPr>
              <w:t>Backend / Service Layer</w:t>
            </w:r>
          </w:p>
        </w:tc>
        <w:tc>
          <w:tcPr>
            <w:tcW w:type="dxa" w:w="3312"/>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src/server/</w:t>
            </w:r>
            <w:r>
              <w:rPr>
                <w:color w:val="334155"/>
              </w:rPr>
              <w:t xml:space="preserve">, </w:t>
            </w:r>
            <w:r>
              <w:rPr>
                <w:rFonts w:ascii="Consolas" w:hAnsi="Consolas"/>
                <w:color w:val="0284C7"/>
                <w:sz w:val="19"/>
              </w:rPr>
              <w:t>src/repositories/</w:t>
            </w:r>
            <w:r>
              <w:rPr>
                <w:color w:val="334155"/>
              </w:rPr>
            </w:r>
          </w:p>
        </w:tc>
      </w:tr>
      <w:tr>
        <w:tc>
          <w:tcPr>
            <w:tcW w:type="dxa" w:w="3312"/>
            <w:tcMar>
              <w:top w:w="100" w:type="dxa"/>
              <w:bottom w:w="100" w:type="dxa"/>
              <w:left w:w="140" w:type="dxa"/>
              <w:right w:w="140" w:type="dxa"/>
            </w:tcMar>
            <w:shd w:fill="F8FAFC"/>
          </w:tcPr>
          <w:p>
            <w:pPr>
              <w:spacing w:before="40" w:after="40"/>
            </w:pPr>
            <w:r>
              <w:rPr>
                <w:color w:val="334155"/>
              </w:rPr>
            </w:r>
            <w:r>
              <w:rPr>
                <w:b/>
                <w:color w:val="0F172A"/>
              </w:rPr>
              <w:t>Dynamic Business Data</w:t>
            </w:r>
            <w:r>
              <w:rPr>
                <w:color w:val="334155"/>
              </w:rPr>
            </w:r>
          </w:p>
        </w:tc>
        <w:tc>
          <w:tcPr>
            <w:tcW w:type="dxa" w:w="3312"/>
            <w:tcMar>
              <w:top w:w="100" w:type="dxa"/>
              <w:bottom w:w="100" w:type="dxa"/>
              <w:left w:w="140" w:type="dxa"/>
              <w:right w:w="140" w:type="dxa"/>
            </w:tcMar>
            <w:shd w:fill="F8FAFC"/>
          </w:tcPr>
          <w:p>
            <w:pPr>
              <w:spacing w:before="40" w:after="40"/>
            </w:pPr>
            <w:r>
              <w:rPr>
                <w:color w:val="334155"/>
              </w:rPr>
              <w:t>Environment Database</w:t>
            </w:r>
          </w:p>
        </w:tc>
        <w:tc>
          <w:tcPr>
            <w:tcW w:type="dxa" w:w="3312"/>
            <w:tcMar>
              <w:top w:w="100" w:type="dxa"/>
              <w:bottom w:w="100" w:type="dxa"/>
              <w:left w:w="140" w:type="dxa"/>
              <w:right w:w="140" w:type="dxa"/>
            </w:tcMar>
            <w:shd w:fill="F8FAFC"/>
          </w:tcPr>
          <w:p>
            <w:pPr>
              <w:spacing w:before="40" w:after="40"/>
            </w:pPr>
            <w:r>
              <w:rPr>
                <w:color w:val="334155"/>
              </w:rPr>
              <w:t>Localhost DB vs Production DB</w:t>
            </w:r>
          </w:p>
        </w:tc>
      </w:tr>
      <w:tr>
        <w:tc>
          <w:tcPr>
            <w:tcW w:type="dxa" w:w="3312"/>
            <w:tcMar>
              <w:top w:w="100" w:type="dxa"/>
              <w:bottom w:w="100" w:type="dxa"/>
              <w:left w:w="140" w:type="dxa"/>
              <w:right w:w="140" w:type="dxa"/>
            </w:tcMar>
            <w:shd w:fill="FFFFFF"/>
          </w:tcPr>
          <w:p>
            <w:pPr>
              <w:spacing w:before="40" w:after="40"/>
            </w:pPr>
            <w:r>
              <w:rPr>
                <w:color w:val="334155"/>
              </w:rPr>
            </w:r>
            <w:r>
              <w:rPr>
                <w:b/>
                <w:color w:val="0F172A"/>
              </w:rPr>
              <w:t>Data Access &amp; Protocols</w:t>
            </w:r>
            <w:r>
              <w:rPr>
                <w:color w:val="334155"/>
              </w:rPr>
            </w:r>
          </w:p>
        </w:tc>
        <w:tc>
          <w:tcPr>
            <w:tcW w:type="dxa" w:w="3312"/>
            <w:tcMar>
              <w:top w:w="100" w:type="dxa"/>
              <w:bottom w:w="100" w:type="dxa"/>
              <w:left w:w="140" w:type="dxa"/>
              <w:right w:w="140" w:type="dxa"/>
            </w:tcMar>
            <w:shd w:fill="FFFFFF"/>
          </w:tcPr>
          <w:p>
            <w:pPr>
              <w:spacing w:before="40" w:after="40"/>
            </w:pPr>
            <w:r>
              <w:rPr>
                <w:color w:val="334155"/>
              </w:rPr>
              <w:t>REST API Layer</w:t>
            </w:r>
          </w:p>
        </w:tc>
        <w:tc>
          <w:tcPr>
            <w:tcW w:type="dxa" w:w="3312"/>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src/lib/api/</w:t>
            </w:r>
            <w:r>
              <w:rPr>
                <w:color w:val="334155"/>
              </w:rPr>
              <w:t xml:space="preserve">, </w:t>
            </w:r>
            <w:r>
              <w:rPr>
                <w:rFonts w:ascii="Consolas" w:hAnsi="Consolas"/>
                <w:color w:val="0284C7"/>
                <w:sz w:val="19"/>
              </w:rPr>
              <w:t>/api/v1/</w:t>
            </w:r>
            <w:r>
              <w:rPr>
                <w:color w:val="334155"/>
              </w:rPr>
              <w:t xml:space="preserve"> Endpoints</w:t>
            </w:r>
          </w:p>
        </w:tc>
      </w:tr>
      <w:tr>
        <w:tc>
          <w:tcPr>
            <w:tcW w:type="dxa" w:w="3312"/>
            <w:tcMar>
              <w:top w:w="100" w:type="dxa"/>
              <w:bottom w:w="100" w:type="dxa"/>
              <w:left w:w="140" w:type="dxa"/>
              <w:right w:w="140" w:type="dxa"/>
            </w:tcMar>
            <w:shd w:fill="F8FAFC"/>
          </w:tcPr>
          <w:p>
            <w:pPr>
              <w:spacing w:before="40" w:after="40"/>
            </w:pPr>
            <w:r>
              <w:rPr>
                <w:color w:val="334155"/>
              </w:rPr>
            </w:r>
            <w:r>
              <w:rPr>
                <w:b/>
                <w:color w:val="0F172A"/>
              </w:rPr>
              <w:t>Database Schema Structure</w:t>
            </w:r>
            <w:r>
              <w:rPr>
                <w:color w:val="334155"/>
              </w:rPr>
            </w:r>
          </w:p>
        </w:tc>
        <w:tc>
          <w:tcPr>
            <w:tcW w:type="dxa" w:w="3312"/>
            <w:tcMar>
              <w:top w:w="100" w:type="dxa"/>
              <w:bottom w:w="100" w:type="dxa"/>
              <w:left w:w="140" w:type="dxa"/>
              <w:right w:w="140" w:type="dxa"/>
            </w:tcMar>
            <w:shd w:fill="F8FAFC"/>
          </w:tcPr>
          <w:p>
            <w:pPr>
              <w:spacing w:before="40" w:after="40"/>
            </w:pPr>
            <w:r>
              <w:rPr>
                <w:color w:val="334155"/>
              </w:rPr>
              <w:t>Migration DDL Files</w:t>
            </w:r>
          </w:p>
        </w:tc>
        <w:tc>
          <w:tcPr>
            <w:tcW w:type="dxa" w:w="3312"/>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src/db/migrations/</w:t>
            </w:r>
            <w:r>
              <w:rPr>
                <w:color w:val="334155"/>
              </w:rPr>
            </w:r>
          </w:p>
        </w:tc>
      </w:tr>
      <w:tr>
        <w:tc>
          <w:tcPr>
            <w:tcW w:type="dxa" w:w="3312"/>
            <w:tcMar>
              <w:top w:w="100" w:type="dxa"/>
              <w:bottom w:w="100" w:type="dxa"/>
              <w:left w:w="140" w:type="dxa"/>
              <w:right w:w="140" w:type="dxa"/>
            </w:tcMar>
            <w:shd w:fill="FFFFFF"/>
          </w:tcPr>
          <w:p>
            <w:pPr>
              <w:spacing w:before="40" w:after="40"/>
            </w:pPr>
            <w:r>
              <w:rPr>
                <w:color w:val="334155"/>
              </w:rPr>
            </w:r>
            <w:r>
              <w:rPr>
                <w:b/>
                <w:color w:val="0F172A"/>
              </w:rPr>
              <w:t>Environment Configuration</w:t>
            </w:r>
            <w:r>
              <w:rPr>
                <w:color w:val="334155"/>
              </w:rPr>
            </w:r>
          </w:p>
        </w:tc>
        <w:tc>
          <w:tcPr>
            <w:tcW w:type="dxa" w:w="3312"/>
            <w:tcMar>
              <w:top w:w="100" w:type="dxa"/>
              <w:bottom w:w="100" w:type="dxa"/>
              <w:left w:w="140" w:type="dxa"/>
              <w:right w:w="140" w:type="dxa"/>
            </w:tcMar>
            <w:shd w:fill="FFFFFF"/>
          </w:tcPr>
          <w:p>
            <w:pPr>
              <w:spacing w:before="40" w:after="40"/>
            </w:pPr>
            <w:r>
              <w:rPr>
                <w:color w:val="334155"/>
              </w:rPr>
              <w:t>Environment Variables</w:t>
            </w:r>
          </w:p>
        </w:tc>
        <w:tc>
          <w:tcPr>
            <w:tcW w:type="dxa" w:w="3312"/>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.env.development</w:t>
            </w:r>
            <w:r>
              <w:rPr>
                <w:color w:val="334155"/>
              </w:rPr>
              <w:t xml:space="preserve"> vs </w:t>
            </w:r>
            <w:r>
              <w:rPr>
                <w:rFonts w:ascii="Consolas" w:hAnsi="Consolas"/>
                <w:color w:val="0284C7"/>
                <w:sz w:val="19"/>
              </w:rPr>
              <w:t>.env.production</w:t>
            </w:r>
            <w:r>
              <w:rPr>
                <w:color w:val="334155"/>
              </w:rPr>
            </w:r>
          </w:p>
        </w:tc>
      </w:tr>
      <w:tr>
        <w:tc>
          <w:tcPr>
            <w:tcW w:type="dxa" w:w="3312"/>
            <w:tcMar>
              <w:top w:w="100" w:type="dxa"/>
              <w:bottom w:w="100" w:type="dxa"/>
              <w:left w:w="140" w:type="dxa"/>
              <w:right w:w="140" w:type="dxa"/>
            </w:tcMar>
            <w:shd w:fill="F8FAFC"/>
          </w:tcPr>
          <w:p>
            <w:pPr>
              <w:spacing w:before="40" w:after="40"/>
            </w:pPr>
            <w:r>
              <w:rPr>
                <w:color w:val="334155"/>
              </w:rPr>
            </w:r>
            <w:r>
              <w:rPr>
                <w:b/>
                <w:color w:val="0F172A"/>
              </w:rPr>
              <w:t>Production Business Data</w:t>
            </w:r>
            <w:r>
              <w:rPr>
                <w:color w:val="334155"/>
              </w:rPr>
            </w:r>
          </w:p>
        </w:tc>
        <w:tc>
          <w:tcPr>
            <w:tcW w:type="dxa" w:w="3312"/>
            <w:tcMar>
              <w:top w:w="100" w:type="dxa"/>
              <w:bottom w:w="100" w:type="dxa"/>
              <w:left w:w="140" w:type="dxa"/>
              <w:right w:w="140" w:type="dxa"/>
            </w:tcMar>
            <w:shd w:fill="F8FAFC"/>
          </w:tcPr>
          <w:p>
            <w:pPr>
              <w:spacing w:before="40" w:after="40"/>
            </w:pPr>
            <w:r>
              <w:rPr>
                <w:color w:val="334155"/>
              </w:rPr>
              <w:t>Production PostgreSQL</w:t>
            </w:r>
          </w:p>
        </w:tc>
        <w:tc>
          <w:tcPr>
            <w:tcW w:type="dxa" w:w="3312"/>
            <w:tcMar>
              <w:top w:w="100" w:type="dxa"/>
              <w:bottom w:w="100" w:type="dxa"/>
              <w:left w:w="140" w:type="dxa"/>
              <w:right w:w="140" w:type="dxa"/>
            </w:tcMar>
            <w:shd w:fill="F8FAFC"/>
          </w:tcPr>
          <w:p>
            <w:pPr>
              <w:spacing w:before="40" w:after="40"/>
            </w:pPr>
            <w:r>
              <w:rPr>
                <w:color w:val="334155"/>
              </w:rPr>
              <w:t xml:space="preserve">Server </w:t>
            </w:r>
            <w:r>
              <w:rPr>
                <w:rFonts w:ascii="Consolas" w:hAnsi="Consolas"/>
                <w:color w:val="0284C7"/>
                <w:sz w:val="19"/>
              </w:rPr>
              <w:t>livestock_db</w:t>
            </w:r>
            <w:r>
              <w:rPr>
                <w:color w:val="334155"/>
              </w:rPr>
              <w:t xml:space="preserve"> Database</w:t>
            </w:r>
          </w:p>
        </w:tc>
      </w:tr>
      <w:tr>
        <w:tc>
          <w:tcPr>
            <w:tcW w:type="dxa" w:w="3312"/>
            <w:tcMar>
              <w:top w:w="100" w:type="dxa"/>
              <w:bottom w:w="100" w:type="dxa"/>
              <w:left w:w="140" w:type="dxa"/>
              <w:right w:w="140" w:type="dxa"/>
            </w:tcMar>
            <w:shd w:fill="FFFFFF"/>
          </w:tcPr>
          <w:p>
            <w:pPr>
              <w:spacing w:before="40" w:after="40"/>
            </w:pPr>
            <w:r>
              <w:rPr>
                <w:color w:val="334155"/>
              </w:rPr>
            </w:r>
            <w:r>
              <w:rPr>
                <w:b/>
                <w:color w:val="0F172A"/>
              </w:rPr>
              <w:t>Uploaded Media &amp; Images</w:t>
            </w:r>
            <w:r>
              <w:rPr>
                <w:color w:val="334155"/>
              </w:rPr>
            </w:r>
          </w:p>
        </w:tc>
        <w:tc>
          <w:tcPr>
            <w:tcW w:type="dxa" w:w="3312"/>
            <w:tcMar>
              <w:top w:w="100" w:type="dxa"/>
              <w:bottom w:w="100" w:type="dxa"/>
              <w:left w:w="140" w:type="dxa"/>
              <w:right w:w="140" w:type="dxa"/>
            </w:tcMar>
            <w:shd w:fill="FFFFFF"/>
          </w:tcPr>
          <w:p>
            <w:pPr>
              <w:spacing w:before="40" w:after="40"/>
            </w:pPr>
            <w:r>
              <w:rPr>
                <w:color w:val="334155"/>
              </w:rPr>
              <w:t>Storage Directories</w:t>
            </w:r>
          </w:p>
        </w:tc>
        <w:tc>
          <w:tcPr>
            <w:tcW w:type="dxa" w:w="3312"/>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public/uploads/dev/</w:t>
            </w:r>
            <w:r>
              <w:rPr>
                <w:color w:val="334155"/>
              </w:rPr>
              <w:t xml:space="preserve"> vs </w:t>
            </w:r>
            <w:r>
              <w:rPr>
                <w:rFonts w:ascii="Consolas" w:hAnsi="Consolas"/>
                <w:color w:val="0284C7"/>
                <w:sz w:val="19"/>
              </w:rPr>
              <w:t>public/uploads/prod/</w:t>
            </w:r>
            <w:r>
              <w:rPr>
                <w:color w:val="334155"/>
              </w:rPr>
            </w:r>
          </w:p>
        </w:tc>
      </w:tr>
    </w:tbl>
    <w:p>
      <w:pPr>
        <w:spacing w:after="160"/>
      </w:pPr>
    </w:p>
    <w:p>
      <w:pPr>
        <w:spacing w:before="40" w:after="120"/>
      </w:pPr>
      <w:r>
        <w:t>---</w:t>
      </w:r>
    </w:p>
    <w:p>
      <w:pPr>
        <w:spacing w:before="280" w:after="120"/>
      </w:pPr>
      <w:r>
        <w:rPr>
          <w:rFonts w:ascii="Calibri" w:hAnsi="Calibri"/>
          <w:b/>
          <w:color w:val="0284C7"/>
          <w:sz w:val="32"/>
        </w:rPr>
        <w:t>3. Database Change Rules</w:t>
      </w:r>
    </w:p>
    <w:p>
      <w:pPr>
        <w:spacing w:before="40" w:after="120"/>
      </w:pPr>
      <w:r>
        <w:t xml:space="preserve">All database schema structural modifications </w:t>
      </w:r>
      <w:r>
        <w:rPr>
          <w:b/>
        </w:rPr>
        <w:t>MUST</w:t>
      </w:r>
      <w:r>
        <w:t xml:space="preserve"> be executed through controlled migration scripts in </w:t>
      </w:r>
      <w:r>
        <w:rPr>
          <w:rFonts w:ascii="Consolas" w:hAnsi="Consolas"/>
          <w:color w:val="0284C7"/>
          <w:sz w:val="20"/>
        </w:rPr>
        <w:t>src/db/migrations/</w:t>
      </w:r>
      <w:r>
        <w:t>.</w:t>
      </w:r>
    </w:p>
    <w:p>
      <w:pPr>
        <w:spacing w:before="200" w:after="80"/>
      </w:pPr>
      <w:r>
        <w:rPr>
          <w:rFonts w:ascii="Calibri" w:hAnsi="Calibri"/>
          <w:b/>
          <w:color w:val="334155"/>
          <w:sz w:val="26"/>
        </w:rPr>
        <w:t>🚫 STRICTLY FORBIDDEN ACTIONS:</w:t>
      </w:r>
    </w:p>
    <w:p>
      <w:pPr>
        <w:pStyle w:val="ListBullet"/>
        <w:spacing w:before="20" w:after="60"/>
      </w:pPr>
      <w:r/>
      <w:r>
        <w:rPr>
          <w:b/>
        </w:rPr>
        <w:t>NO Manual DB Modifications</w:t>
      </w:r>
      <w:r>
        <w:t>: Never alter production database tables manually via psql without a reviewed migration file.</w:t>
      </w:r>
    </w:p>
    <w:p>
      <w:pPr>
        <w:pStyle w:val="ListBullet"/>
        <w:spacing w:before="20" w:after="60"/>
      </w:pPr>
      <w:r/>
      <w:r>
        <w:rPr>
          <w:b/>
        </w:rPr>
        <w:t>NO Production Data Resets</w:t>
      </w:r>
      <w:r>
        <w:t>: Never drop, truncate, or reset production tables during normal deployment.</w:t>
      </w:r>
    </w:p>
    <w:p>
      <w:pPr>
        <w:pStyle w:val="ListBullet"/>
        <w:spacing w:before="20" w:after="60"/>
      </w:pPr>
      <w:r/>
      <w:r>
        <w:rPr>
          <w:b/>
        </w:rPr>
        <w:t>NO Unsafe Column Deletions</w:t>
      </w:r>
      <w:r>
        <w:t>: Never delete existing production columns or tables without prior impact analysis and data migration.</w:t>
      </w:r>
    </w:p>
    <w:p>
      <w:pPr>
        <w:pStyle w:val="ListBullet"/>
        <w:spacing w:before="20" w:after="60"/>
      </w:pPr>
      <w:r/>
      <w:r>
        <w:rPr>
          <w:b/>
        </w:rPr>
        <w:t>NO Destructive Type Changes</w:t>
      </w:r>
      <w:r>
        <w:t>: Never alter column data types without checking existing production records.</w:t>
      </w:r>
    </w:p>
    <w:p>
      <w:pPr>
        <w:pStyle w:val="ListBullet"/>
        <w:spacing w:before="20" w:after="60"/>
      </w:pPr>
      <w:r/>
      <w:r>
        <w:rPr>
          <w:b/>
        </w:rPr>
        <w:t>NO Duplicate Entity Tables</w:t>
      </w:r>
      <w:r>
        <w:t xml:space="preserve">: Never create a duplicate table (e.g. </w:t>
      </w:r>
      <w:r>
        <w:rPr>
          <w:rFonts w:ascii="Consolas" w:hAnsi="Consolas"/>
          <w:color w:val="0284C7"/>
          <w:sz w:val="20"/>
        </w:rPr>
        <w:t>cows_new</w:t>
      </w:r>
      <w:r>
        <w:t>) simply because an existing table is difficult to modify.</w:t>
      </w:r>
    </w:p>
    <w:p>
      <w:pPr>
        <w:spacing w:before="40" w:after="120"/>
      </w:pPr>
      <w:r>
        <w:t>---</w:t>
      </w:r>
    </w:p>
    <w:p>
      <w:pPr>
        <w:spacing w:before="280" w:after="120"/>
      </w:pPr>
      <w:r>
        <w:rPr>
          <w:rFonts w:ascii="Calibri" w:hAnsi="Calibri"/>
          <w:b/>
          <w:color w:val="0284C7"/>
          <w:sz w:val="32"/>
        </w:rPr>
        <w:t>4. Code &amp; Database Compatibility Flow</w:t>
      </w:r>
    </w:p>
    <w:p>
      <w:pPr>
        <w:spacing w:before="40" w:after="120"/>
      </w:pPr>
      <w:r>
        <w:t>Before creating or altering any database table or field, developers must trace the full request pipeline:</w:t>
      </w:r>
    </w:p>
    <w:p>
      <w:pPr>
        <w:spacing w:before="40" w:after="120"/>
      </w:pPr>
      <w:r/>
      <w:r>
        <w:rPr>
          <w:rFonts w:ascii="Cambria Math" w:hAnsi="Cambria Math"/>
          <w:i/>
        </w:rPr>
        <w:t>\text{Frontend UI} \longrightarrow \text{API Contract} \longrightarrow \text{Backend Repository} \longrightarrow \text{Database Schema}</w:t>
      </w:r>
      <w:r/>
    </w:p>
    <w:p>
      <w:pPr>
        <w:spacing w:before="200" w:after="80"/>
      </w:pPr>
      <w:r>
        <w:rPr>
          <w:rFonts w:ascii="Calibri" w:hAnsi="Calibri"/>
          <w:b/>
          <w:color w:val="334155"/>
          <w:sz w:val="26"/>
        </w:rPr>
        <w:t>Verification Checklist before Schema Modifications:</w:t>
      </w:r>
    </w:p>
    <w:p>
      <w:pPr>
        <w:spacing w:before="40" w:after="120"/>
      </w:pPr>
      <w:r>
        <w:t xml:space="preserve">1. Identify all affected API endpoints in </w:t>
      </w:r>
      <w:r>
        <w:rPr>
          <w:rFonts w:ascii="Consolas" w:hAnsi="Consolas"/>
          <w:color w:val="0284C7"/>
          <w:sz w:val="20"/>
        </w:rPr>
        <w:t>src/lib/api/</w:t>
      </w:r>
      <w:r>
        <w:t xml:space="preserve"> and </w:t>
      </w:r>
      <w:r>
        <w:rPr>
          <w:rFonts w:ascii="Consolas" w:hAnsi="Consolas"/>
          <w:color w:val="0284C7"/>
          <w:sz w:val="20"/>
        </w:rPr>
        <w:t>src/server/routes/</w:t>
      </w:r>
      <w:r>
        <w:t>.</w:t>
      </w:r>
    </w:p>
    <w:p>
      <w:pPr>
        <w:spacing w:before="40" w:after="120"/>
      </w:pPr>
      <w:r>
        <w:t>2. Inspect request/response payloads in TypeScript interfaces (</w:t>
      </w:r>
      <w:r>
        <w:rPr>
          <w:rFonts w:ascii="Consolas" w:hAnsi="Consolas"/>
          <w:color w:val="0284C7"/>
          <w:sz w:val="20"/>
        </w:rPr>
        <w:t>src/types/</w:t>
      </w:r>
      <w:r>
        <w:t>).</w:t>
      </w:r>
    </w:p>
    <w:p>
      <w:pPr>
        <w:spacing w:before="40" w:after="120"/>
      </w:pPr>
      <w:r>
        <w:t>3. Audit frontend form components, detail views, and reports consuming the fields.</w:t>
      </w:r>
    </w:p>
    <w:p>
      <w:pPr>
        <w:spacing w:before="40" w:after="120"/>
      </w:pPr>
      <w:r>
        <w:t>4. Verify foreign key constraints and cascade rules across related tables.</w:t>
      </w:r>
    </w:p>
    <w:p>
      <w:pPr>
        <w:spacing w:before="40" w:after="120"/>
      </w:pPr>
      <w:r>
        <w:t>5. Check existing production records for non-null requirements or default values.</w:t>
      </w:r>
    </w:p>
    <w:p>
      <w:pPr>
        <w:spacing w:before="40" w:after="120"/>
      </w:pPr>
      <w:r>
        <w:t>---</w:t>
      </w:r>
    </w:p>
    <w:p>
      <w:pPr>
        <w:spacing w:before="280" w:after="120"/>
      </w:pPr>
      <w:r>
        <w:rPr>
          <w:rFonts w:ascii="Calibri" w:hAnsi="Calibri"/>
          <w:b/>
          <w:color w:val="0284C7"/>
          <w:sz w:val="32"/>
        </w:rPr>
        <w:t>5. API Contract Guidelines</w:t>
      </w:r>
    </w:p>
    <w:p>
      <w:pPr>
        <w:spacing w:before="40" w:after="120"/>
      </w:pPr>
      <w:r>
        <w:t>API endpoints are strict contracts between client and server.</w:t>
      </w:r>
    </w:p>
    <w:p>
      <w:pPr>
        <w:spacing w:before="200" w:after="80"/>
      </w:pPr>
      <w:r>
        <w:rPr>
          <w:rFonts w:ascii="Calibri" w:hAnsi="Calibri"/>
          <w:b/>
          <w:color w:val="334155"/>
          <w:sz w:val="26"/>
        </w:rPr>
        <w:t>API Modification Lifecycle:</w:t>
      </w:r>
    </w:p>
    <w:p>
      <w:pPr>
        <w:spacing w:before="40" w:after="120"/>
      </w:pPr>
      <w:r>
        <w:t xml:space="preserve">1. </w:t>
      </w:r>
      <w:r>
        <w:rPr>
          <w:b/>
        </w:rPr>
        <w:t>Consumer Audit</w:t>
      </w:r>
      <w:r>
        <w:t>: Identify all frontend components consuming the endpoint.</w:t>
      </w:r>
    </w:p>
    <w:p>
      <w:pPr>
        <w:spacing w:before="40" w:after="120"/>
      </w:pPr>
      <w:r>
        <w:t xml:space="preserve">2. </w:t>
      </w:r>
      <w:r>
        <w:rPr>
          <w:b/>
        </w:rPr>
        <w:t>Backward Compatibility</w:t>
      </w:r>
      <w:r>
        <w:t>: Ensure non-breaking changes (e.g. add optional response properties; never delete required fields without a deprecation phase).</w:t>
      </w:r>
    </w:p>
    <w:p>
      <w:pPr>
        <w:spacing w:before="40" w:after="120"/>
      </w:pPr>
      <w:r>
        <w:t xml:space="preserve">3. </w:t>
      </w:r>
      <w:r>
        <w:rPr>
          <w:b/>
        </w:rPr>
        <w:t>Backend Update</w:t>
      </w:r>
      <w:r>
        <w:t>: Implement logic in server route handler and repository.</w:t>
      </w:r>
    </w:p>
    <w:p>
      <w:pPr>
        <w:spacing w:before="40" w:after="120"/>
      </w:pPr>
      <w:r>
        <w:t xml:space="preserve">4. </w:t>
      </w:r>
      <w:r>
        <w:rPr>
          <w:b/>
        </w:rPr>
        <w:t>Frontend Update</w:t>
      </w:r>
      <w:r>
        <w:t>: Update UI components and API client services (</w:t>
      </w:r>
      <w:r>
        <w:rPr>
          <w:rFonts w:ascii="Consolas" w:hAnsi="Consolas"/>
          <w:color w:val="0284C7"/>
          <w:sz w:val="20"/>
        </w:rPr>
        <w:t>src/lib/api/</w:t>
      </w:r>
      <w:r>
        <w:t>).</w:t>
      </w:r>
    </w:p>
    <w:p>
      <w:pPr>
        <w:spacing w:before="40" w:after="120"/>
      </w:pPr>
      <w:r>
        <w:t xml:space="preserve">5. </w:t>
      </w:r>
      <w:r>
        <w:rPr>
          <w:b/>
        </w:rPr>
        <w:t>Local Validation</w:t>
      </w:r>
      <w:r>
        <w:t>: Verify end-to-end flow on local development environment.</w:t>
      </w:r>
    </w:p>
    <w:p>
      <w:pPr>
        <w:spacing w:before="40" w:after="120"/>
      </w:pPr>
      <w:r>
        <w:t xml:space="preserve">6. </w:t>
      </w:r>
      <w:r>
        <w:rPr>
          <w:b/>
        </w:rPr>
        <w:t>Production Deploy</w:t>
      </w:r>
      <w:r>
        <w:t>: Deploy backward-compatible changes to production.</w:t>
      </w:r>
    </w:p>
    <w:p>
      <w:pPr>
        <w:spacing w:before="40" w:after="120"/>
      </w:pPr>
      <w:r>
        <w:t>---</w:t>
      </w:r>
    </w:p>
    <w:p>
      <w:pPr>
        <w:spacing w:before="280" w:after="120"/>
      </w:pPr>
      <w:r>
        <w:rPr>
          <w:rFonts w:ascii="Calibri" w:hAnsi="Calibri"/>
          <w:b/>
          <w:color w:val="0284C7"/>
          <w:sz w:val="32"/>
        </w:rPr>
        <w:t>6. Migration Execution Rules</w:t>
      </w:r>
    </w:p>
    <w:p>
      <w:pPr>
        <w:pStyle w:val="ListBullet"/>
        <w:spacing w:before="20" w:after="60"/>
      </w:pPr>
      <w:r/>
      <w:r>
        <w:rPr>
          <w:b/>
        </w:rPr>
        <w:t>Deterministic Ordering</w:t>
      </w:r>
      <w:r>
        <w:t>: Every migration script must have a clear version timestamp or numerical sequence.</w:t>
      </w:r>
    </w:p>
    <w:p>
      <w:pPr>
        <w:pStyle w:val="ListBullet"/>
        <w:spacing w:before="20" w:after="60"/>
      </w:pPr>
      <w:r/>
      <w:r>
        <w:rPr>
          <w:b/>
        </w:rPr>
        <w:t>Source Control</w:t>
      </w:r>
      <w:r>
        <w:t>: All migration scripts MUST be committed to Git.</w:t>
      </w:r>
    </w:p>
    <w:p>
      <w:pPr>
        <w:pStyle w:val="ListBullet"/>
        <w:spacing w:before="20" w:after="60"/>
      </w:pPr>
      <w:r/>
      <w:r>
        <w:rPr>
          <w:b/>
        </w:rPr>
        <w:t>Local Test Execution</w:t>
      </w:r>
      <w:r>
        <w:t xml:space="preserve">: Migrations must be run and verified against </w:t>
      </w:r>
      <w:r>
        <w:rPr>
          <w:rFonts w:ascii="Consolas" w:hAnsi="Consolas"/>
          <w:color w:val="0284C7"/>
          <w:sz w:val="20"/>
        </w:rPr>
        <w:t>kaksedthan_herdbook</w:t>
      </w:r>
      <w:r>
        <w:t xml:space="preserve"> before pushing.</w:t>
      </w:r>
    </w:p>
    <w:p>
      <w:pPr>
        <w:pStyle w:val="ListBullet"/>
        <w:spacing w:before="20" w:after="60"/>
      </w:pPr>
      <w:r/>
      <w:r>
        <w:rPr>
          <w:b/>
        </w:rPr>
        <w:t>Non-Destructive DDL</w:t>
      </w:r>
      <w:r>
        <w:t xml:space="preserve">: Use </w:t>
      </w:r>
      <w:r>
        <w:rPr>
          <w:rFonts w:ascii="Consolas" w:hAnsi="Consolas"/>
          <w:color w:val="0284C7"/>
          <w:sz w:val="20"/>
        </w:rPr>
        <w:t>CREATE TABLE IF NOT EXISTS</w:t>
      </w:r>
      <w:r>
        <w:t xml:space="preserve">, </w:t>
      </w:r>
      <w:r>
        <w:rPr>
          <w:rFonts w:ascii="Consolas" w:hAnsi="Consolas"/>
          <w:color w:val="0284C7"/>
          <w:sz w:val="20"/>
        </w:rPr>
        <w:t>ALTER TABLE ... ADD COLUMN IF NOT EXISTS</w:t>
      </w:r>
      <w:r>
        <w:t>, and explicit guards.</w:t>
      </w:r>
    </w:p>
    <w:p>
      <w:pPr>
        <w:pStyle w:val="ListBullet"/>
        <w:spacing w:before="20" w:after="60"/>
      </w:pPr>
      <w:r/>
      <w:r>
        <w:rPr>
          <w:b/>
        </w:rPr>
        <w:t>No Database Dumps</w:t>
      </w:r>
      <w:r>
        <w:t>: Never use database dumps as a substitute for migration files.</w:t>
      </w:r>
    </w:p>
    <w:p>
      <w:pPr>
        <w:spacing w:before="40" w:after="120"/>
      </w:pPr>
      <w:r>
        <w:t>---</w:t>
      </w:r>
    </w:p>
    <w:p>
      <w:pPr>
        <w:spacing w:before="280" w:after="120"/>
      </w:pPr>
      <w:r>
        <w:rPr>
          <w:rFonts w:ascii="Calibri" w:hAnsi="Calibri"/>
          <w:b/>
          <w:color w:val="0284C7"/>
          <w:sz w:val="32"/>
        </w:rPr>
        <w:t>7. Production Data Protection &amp; Mandatory Backup</w:t>
      </w:r>
    </w:p>
    <w:p>
      <w:pPr>
        <w:spacing w:before="40" w:after="120"/>
      </w:pPr>
      <w:r>
        <w:t>Production data represents real business operations and must be protected against corruption or accidental loss.</w:t>
      </w:r>
    </w:p>
    <w:p>
      <w:pPr>
        <w:spacing w:before="200" w:after="80"/>
      </w:pPr>
      <w:r>
        <w:rPr>
          <w:rFonts w:ascii="Calibri" w:hAnsi="Calibri"/>
          <w:b/>
          <w:color w:val="334155"/>
          <w:sz w:val="26"/>
        </w:rPr>
        <w:t>🛡️ Pre-Deployment Execution Chain:</w:t>
      </w:r>
    </w:p>
    <w:p>
      <w:pPr>
        <w:spacing w:before="40" w:after="120"/>
      </w:pPr>
      <w:r/>
      <w:r>
        <w:rPr>
          <w:rFonts w:ascii="Cambria Math" w:hAnsi="Cambria Math"/>
          <w:i/>
        </w:rPr>
        <w:t>\text{Production Backup} \longrightarrow \text{Verify Backup File} \longrightarrow \text{Schema Migration} \longrightarrow \text{Verify DB Health} \longrightarrow \text{Deploy App} \longrightarrow \text{Smoke Test}</w:t>
      </w:r>
      <w:r/>
    </w:p>
    <w:tbl>
      <w:tblPr>
        <w:tblW w:type="auto" w:w="0"/>
        <w:jc w:val="center"/>
        <w:tblLook w:firstColumn="1" w:firstRow="1" w:lastColumn="0" w:lastRow="0" w:noHBand="0" w:noVBand="1" w:val="04A0"/>
      </w:tblPr>
      <w:tblGrid>
        <w:gridCol w:w="9936"/>
      </w:tblGrid>
      <w:tr>
        <w:tc>
          <w:tcPr>
            <w:tcW w:type="dxa" w:w="9936"/>
            <w:shd w:fill="FFFBEB"/>
            <w:tcMar>
              <w:top w:w="120" w:type="dxa"/>
              <w:bottom w:w="120" w:type="dxa"/>
              <w:left w:w="200" w:type="dxa"/>
              <w:right w:w="200" w:type="dxa"/>
            </w:tcMar>
            <w:tcBorders>
              <w:left w:val="single" w:sz="24" w:space="0" w:color="D97706"/>
              <w:top w:val="none"/>
              <w:right w:val="none"/>
              <w:bottom w:val="none"/>
            </w:tcBorders>
          </w:tcPr>
          <w:p>
            <w:pPr>
              <w:spacing w:before="80" w:after="80"/>
            </w:pPr>
            <w:r>
              <w:rPr>
                <w:rFonts w:ascii="Calibri" w:hAnsi="Calibri"/>
                <w:sz w:val="21"/>
              </w:rPr>
              <w:t>If any step in the pipeline fails (e.g., backup failure or migration error), **THE DEPLOYMENT PIPELINE ABORTS IMMEDIATELY**.</w:t>
            </w:r>
          </w:p>
        </w:tc>
      </w:tr>
    </w:tbl>
    <w:p>
      <w:pPr>
        <w:spacing w:after="120"/>
      </w:pPr>
    </w:p>
    <w:p>
      <w:pPr>
        <w:spacing w:before="40" w:after="120"/>
      </w:pPr>
      <w:r>
        <w:t>---</w:t>
      </w:r>
    </w:p>
    <w:p>
      <w:pPr>
        <w:spacing w:before="280" w:after="120"/>
      </w:pPr>
      <w:r>
        <w:rPr>
          <w:rFonts w:ascii="Calibri" w:hAnsi="Calibri"/>
          <w:b/>
          <w:color w:val="0284C7"/>
          <w:sz w:val="32"/>
        </w:rPr>
        <w:t>8. Test Data, Seeds &amp; Master Reference Data</w:t>
      </w:r>
    </w:p>
    <w:p>
      <w:pPr>
        <w:pStyle w:val="ListBullet"/>
        <w:spacing w:before="20" w:after="60"/>
      </w:pPr>
      <w:r/>
      <w:r>
        <w:rPr>
          <w:b/>
        </w:rPr>
        <w:t>Development Test Data (`src/db/seeds/dev-seed.ts`)</w:t>
      </w:r>
      <w:r>
        <w:t xml:space="preserve">: Sample cattle, mock transactions, and dev accounts. </w:t>
      </w:r>
      <w:r>
        <w:rPr>
          <w:b/>
        </w:rPr>
        <w:t>ONLY ALLOWED ON LOCALHOST.</w:t>
      </w:r>
      <w:r>
        <w:t xml:space="preserve"> Aborts automatically if </w:t>
      </w:r>
      <w:r>
        <w:rPr>
          <w:rFonts w:ascii="Consolas" w:hAnsi="Consolas"/>
          <w:color w:val="0284C7"/>
          <w:sz w:val="20"/>
        </w:rPr>
        <w:t>NODE_ENV=production</w:t>
      </w:r>
      <w:r>
        <w:t>.</w:t>
      </w:r>
    </w:p>
    <w:p>
      <w:pPr>
        <w:pStyle w:val="ListBullet"/>
        <w:spacing w:before="20" w:after="60"/>
      </w:pPr>
      <w:r/>
      <w:r>
        <w:rPr>
          <w:b/>
        </w:rPr>
        <w:t>Master System Data (`seed-breed-configs.ts`, `seed-system-data.ts`)</w:t>
      </w:r>
      <w:r>
        <w:t>: Reference breed standards, default user level definitions, and permission matrices required for application operation.</w:t>
      </w:r>
    </w:p>
    <w:p>
      <w:pPr>
        <w:pStyle w:val="ListBullet"/>
        <w:spacing w:before="20" w:after="60"/>
      </w:pPr>
      <w:r/>
      <w:r>
        <w:rPr>
          <w:b/>
        </w:rPr>
        <w:t>Production Data</w:t>
      </w:r>
      <w:r>
        <w:t>: Real customer, farm, cattle, and transaction records created by actual system users.</w:t>
      </w:r>
    </w:p>
    <w:p>
      <w:pPr>
        <w:spacing w:before="40" w:after="120"/>
      </w:pPr>
      <w:r>
        <w:t>---</w:t>
      </w:r>
    </w:p>
    <w:p>
      <w:pPr>
        <w:spacing w:before="280" w:after="120"/>
      </w:pPr>
      <w:r>
        <w:rPr>
          <w:rFonts w:ascii="Calibri" w:hAnsi="Calibri"/>
          <w:b/>
          <w:color w:val="0284C7"/>
          <w:sz w:val="32"/>
        </w:rPr>
        <w:t>9. Environment Variables Reference</w:t>
      </w:r>
    </w:p>
    <w:p>
      <w:pPr>
        <w:spacing w:before="40" w:after="120"/>
      </w:pPr>
      <w:r>
        <w:t>All application secrets and environment configurations are managed via environment variables.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E5E7EB"/>
          <w:insideV w:val="none"/>
          <w:left w:val="none"/>
          <w:right w:val="none"/>
        </w:tblBorders>
      </w:tblPr>
      <w:tblGrid>
        <w:gridCol w:w="2484"/>
        <w:gridCol w:w="2484"/>
        <w:gridCol w:w="2484"/>
        <w:gridCol w:w="2484"/>
      </w:tblGrid>
      <w:tr>
        <w:tc>
          <w:tcPr>
            <w:tcW w:type="dxa" w:w="2484"/>
            <w:tcMar>
              <w:top w:w="100" w:type="dxa"/>
              <w:bottom w:w="100" w:type="dxa"/>
              <w:left w:w="140" w:type="dxa"/>
              <w:right w:w="140" w:type="dxa"/>
            </w:tcMar>
            <w:shd w:fill="0F172A"/>
          </w:tcPr>
          <w:p>
            <w:pPr>
              <w:spacing w:before="40" w:after="40"/>
            </w:pPr>
            <w:r>
              <w:rPr>
                <w:b/>
                <w:color w:val="FFFFFF"/>
              </w:rPr>
              <w:t>Variable Name</w:t>
            </w:r>
          </w:p>
        </w:tc>
        <w:tc>
          <w:tcPr>
            <w:tcW w:type="dxa" w:w="2484"/>
            <w:tcMar>
              <w:top w:w="100" w:type="dxa"/>
              <w:bottom w:w="100" w:type="dxa"/>
              <w:left w:w="140" w:type="dxa"/>
              <w:right w:w="140" w:type="dxa"/>
            </w:tcMar>
            <w:shd w:fill="0F172A"/>
          </w:tcPr>
          <w:p>
            <w:pPr>
              <w:spacing w:before="40" w:after="40"/>
            </w:pPr>
            <w:r>
              <w:rPr>
                <w:b/>
                <w:color w:val="FFFFFF"/>
              </w:rPr>
              <w:t>Description</w:t>
            </w:r>
          </w:p>
        </w:tc>
        <w:tc>
          <w:tcPr>
            <w:tcW w:type="dxa" w:w="2484"/>
            <w:tcMar>
              <w:top w:w="100" w:type="dxa"/>
              <w:bottom w:w="100" w:type="dxa"/>
              <w:left w:w="140" w:type="dxa"/>
              <w:right w:w="140" w:type="dxa"/>
            </w:tcMar>
            <w:shd w:fill="0F172A"/>
          </w:tcPr>
          <w:p>
            <w:pPr>
              <w:spacing w:before="40" w:after="40"/>
            </w:pPr>
            <w:r>
              <w:rPr>
                <w:b/>
                <w:color w:val="FFFFFF"/>
              </w:rPr>
              <w:t>Development Example</w:t>
            </w:r>
          </w:p>
        </w:tc>
        <w:tc>
          <w:tcPr>
            <w:tcW w:type="dxa" w:w="2484"/>
            <w:tcMar>
              <w:top w:w="100" w:type="dxa"/>
              <w:bottom w:w="100" w:type="dxa"/>
              <w:left w:w="140" w:type="dxa"/>
              <w:right w:w="140" w:type="dxa"/>
            </w:tcMar>
            <w:shd w:fill="0F172A"/>
          </w:tcPr>
          <w:p>
            <w:pPr>
              <w:spacing w:before="40" w:after="40"/>
            </w:pPr>
            <w:r>
              <w:rPr>
                <w:b/>
                <w:color w:val="FFFFFF"/>
              </w:rPr>
              <w:t>Production Example</w:t>
            </w:r>
          </w:p>
        </w:tc>
      </w:tr>
      <w:tr>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NODE_ENV</w:t>
            </w:r>
            <w:r>
              <w:rPr>
                <w:color w:val="334155"/>
              </w:rPr>
            </w:r>
          </w:p>
        </w:tc>
        <w:tc>
          <w:tcPr>
            <w:tcW w:type="dxa" w:w="2484"/>
            <w:tcMar>
              <w:top w:w="100" w:type="dxa"/>
              <w:bottom w:w="100" w:type="dxa"/>
              <w:left w:w="140" w:type="dxa"/>
              <w:right w:w="140" w:type="dxa"/>
            </w:tcMar>
            <w:shd w:fill="F8FAFC"/>
          </w:tcPr>
          <w:p>
            <w:pPr>
              <w:spacing w:before="40" w:after="40"/>
            </w:pPr>
            <w:r>
              <w:rPr>
                <w:color w:val="334155"/>
              </w:rPr>
              <w:t>Application Mode</w:t>
            </w:r>
          </w:p>
        </w:tc>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development</w:t>
            </w:r>
            <w:r>
              <w:rPr>
                <w:color w:val="334155"/>
              </w:rPr>
            </w:r>
          </w:p>
        </w:tc>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production</w:t>
            </w:r>
            <w:r>
              <w:rPr>
                <w:color w:val="334155"/>
              </w:rPr>
            </w:r>
          </w:p>
        </w:tc>
      </w:tr>
      <w:tr>
        <w:tc>
          <w:tcPr>
            <w:tcW w:type="dxa" w:w="2484"/>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PORT</w:t>
            </w:r>
            <w:r>
              <w:rPr>
                <w:color w:val="334155"/>
              </w:rPr>
            </w:r>
          </w:p>
        </w:tc>
        <w:tc>
          <w:tcPr>
            <w:tcW w:type="dxa" w:w="2484"/>
            <w:tcMar>
              <w:top w:w="100" w:type="dxa"/>
              <w:bottom w:w="100" w:type="dxa"/>
              <w:left w:w="140" w:type="dxa"/>
              <w:right w:w="140" w:type="dxa"/>
            </w:tcMar>
            <w:shd w:fill="FFFFFF"/>
          </w:tcPr>
          <w:p>
            <w:pPr>
              <w:spacing w:before="40" w:after="40"/>
            </w:pPr>
            <w:r>
              <w:rPr>
                <w:color w:val="334155"/>
              </w:rPr>
              <w:t>Next.js Frontend Port</w:t>
            </w:r>
          </w:p>
        </w:tc>
        <w:tc>
          <w:tcPr>
            <w:tcW w:type="dxa" w:w="2484"/>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3000</w:t>
            </w:r>
            <w:r>
              <w:rPr>
                <w:color w:val="334155"/>
              </w:rPr>
            </w:r>
          </w:p>
        </w:tc>
        <w:tc>
          <w:tcPr>
            <w:tcW w:type="dxa" w:w="2484"/>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3000</w:t>
            </w:r>
            <w:r>
              <w:rPr>
                <w:color w:val="334155"/>
              </w:rPr>
            </w:r>
          </w:p>
        </w:tc>
      </w:tr>
      <w:tr>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API_PORT</w:t>
            </w:r>
            <w:r>
              <w:rPr>
                <w:color w:val="334155"/>
              </w:rPr>
            </w:r>
          </w:p>
        </w:tc>
        <w:tc>
          <w:tcPr>
            <w:tcW w:type="dxa" w:w="2484"/>
            <w:tcMar>
              <w:top w:w="100" w:type="dxa"/>
              <w:bottom w:w="100" w:type="dxa"/>
              <w:left w:w="140" w:type="dxa"/>
              <w:right w:w="140" w:type="dxa"/>
            </w:tcMar>
            <w:shd w:fill="F8FAFC"/>
          </w:tcPr>
          <w:p>
            <w:pPr>
              <w:spacing w:before="40" w:after="40"/>
            </w:pPr>
            <w:r>
              <w:rPr>
                <w:color w:val="334155"/>
              </w:rPr>
              <w:t>Express Backend Port</w:t>
            </w:r>
          </w:p>
        </w:tc>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5001</w:t>
            </w:r>
            <w:r>
              <w:rPr>
                <w:color w:val="334155"/>
              </w:rPr>
            </w:r>
          </w:p>
        </w:tc>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3002</w:t>
            </w:r>
            <w:r>
              <w:rPr>
                <w:color w:val="334155"/>
              </w:rPr>
            </w:r>
          </w:p>
        </w:tc>
      </w:tr>
      <w:tr>
        <w:tc>
          <w:tcPr>
            <w:tcW w:type="dxa" w:w="2484"/>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NEXT_PUBLIC_API_URL</w:t>
            </w:r>
            <w:r>
              <w:rPr>
                <w:color w:val="334155"/>
              </w:rPr>
            </w:r>
          </w:p>
        </w:tc>
        <w:tc>
          <w:tcPr>
            <w:tcW w:type="dxa" w:w="2484"/>
            <w:tcMar>
              <w:top w:w="100" w:type="dxa"/>
              <w:bottom w:w="100" w:type="dxa"/>
              <w:left w:w="140" w:type="dxa"/>
              <w:right w:w="140" w:type="dxa"/>
            </w:tcMar>
            <w:shd w:fill="FFFFFF"/>
          </w:tcPr>
          <w:p>
            <w:pPr>
              <w:spacing w:before="40" w:after="40"/>
            </w:pPr>
            <w:r>
              <w:rPr>
                <w:color w:val="334155"/>
              </w:rPr>
              <w:t>Client API Base Endpoint</w:t>
            </w:r>
          </w:p>
        </w:tc>
        <w:tc>
          <w:tcPr>
            <w:tcW w:type="dxa" w:w="2484"/>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http://localhost:5001/api/v1</w:t>
            </w:r>
            <w:r>
              <w:rPr>
                <w:color w:val="334155"/>
              </w:rPr>
            </w:r>
          </w:p>
        </w:tc>
        <w:tc>
          <w:tcPr>
            <w:tcW w:type="dxa" w:w="2484"/>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/api/v1</w:t>
            </w:r>
            <w:r>
              <w:rPr>
                <w:color w:val="334155"/>
              </w:rPr>
            </w:r>
          </w:p>
        </w:tc>
      </w:tr>
      <w:tr>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DB_HOST</w:t>
            </w:r>
            <w:r>
              <w:rPr>
                <w:color w:val="334155"/>
              </w:rPr>
            </w:r>
          </w:p>
        </w:tc>
        <w:tc>
          <w:tcPr>
            <w:tcW w:type="dxa" w:w="2484"/>
            <w:tcMar>
              <w:top w:w="100" w:type="dxa"/>
              <w:bottom w:w="100" w:type="dxa"/>
              <w:left w:w="140" w:type="dxa"/>
              <w:right w:w="140" w:type="dxa"/>
            </w:tcMar>
            <w:shd w:fill="F8FAFC"/>
          </w:tcPr>
          <w:p>
            <w:pPr>
              <w:spacing w:before="40" w:after="40"/>
            </w:pPr>
            <w:r>
              <w:rPr>
                <w:color w:val="334155"/>
              </w:rPr>
              <w:t>PostgreSQL Host</w:t>
            </w:r>
          </w:p>
        </w:tc>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localhost</w:t>
            </w:r>
            <w:r>
              <w:rPr>
                <w:color w:val="334155"/>
              </w:rPr>
            </w:r>
          </w:p>
        </w:tc>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127.0.0.1</w:t>
            </w:r>
            <w:r>
              <w:rPr>
                <w:color w:val="334155"/>
              </w:rPr>
            </w:r>
          </w:p>
        </w:tc>
      </w:tr>
      <w:tr>
        <w:tc>
          <w:tcPr>
            <w:tcW w:type="dxa" w:w="2484"/>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DB_PORT</w:t>
            </w:r>
            <w:r>
              <w:rPr>
                <w:color w:val="334155"/>
              </w:rPr>
            </w:r>
          </w:p>
        </w:tc>
        <w:tc>
          <w:tcPr>
            <w:tcW w:type="dxa" w:w="2484"/>
            <w:tcMar>
              <w:top w:w="100" w:type="dxa"/>
              <w:bottom w:w="100" w:type="dxa"/>
              <w:left w:w="140" w:type="dxa"/>
              <w:right w:w="140" w:type="dxa"/>
            </w:tcMar>
            <w:shd w:fill="FFFFFF"/>
          </w:tcPr>
          <w:p>
            <w:pPr>
              <w:spacing w:before="40" w:after="40"/>
            </w:pPr>
            <w:r>
              <w:rPr>
                <w:color w:val="334155"/>
              </w:rPr>
              <w:t>PostgreSQL Port</w:t>
            </w:r>
          </w:p>
        </w:tc>
        <w:tc>
          <w:tcPr>
            <w:tcW w:type="dxa" w:w="2484"/>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5433</w:t>
            </w:r>
            <w:r>
              <w:rPr>
                <w:color w:val="334155"/>
              </w:rPr>
              <w:t xml:space="preserve"> (Docker)</w:t>
            </w:r>
          </w:p>
        </w:tc>
        <w:tc>
          <w:tcPr>
            <w:tcW w:type="dxa" w:w="2484"/>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5432</w:t>
            </w:r>
            <w:r>
              <w:rPr>
                <w:color w:val="334155"/>
              </w:rPr>
              <w:t xml:space="preserve"> (System Service)</w:t>
            </w:r>
          </w:p>
        </w:tc>
      </w:tr>
      <w:tr>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DB_USER</w:t>
            </w:r>
            <w:r>
              <w:rPr>
                <w:color w:val="334155"/>
              </w:rPr>
            </w:r>
          </w:p>
        </w:tc>
        <w:tc>
          <w:tcPr>
            <w:tcW w:type="dxa" w:w="2484"/>
            <w:tcMar>
              <w:top w:w="100" w:type="dxa"/>
              <w:bottom w:w="100" w:type="dxa"/>
              <w:left w:w="140" w:type="dxa"/>
              <w:right w:w="140" w:type="dxa"/>
            </w:tcMar>
            <w:shd w:fill="F8FAFC"/>
          </w:tcPr>
          <w:p>
            <w:pPr>
              <w:spacing w:before="40" w:after="40"/>
            </w:pPr>
            <w:r>
              <w:rPr>
                <w:color w:val="334155"/>
              </w:rPr>
              <w:t>PostgreSQL User</w:t>
            </w:r>
          </w:p>
        </w:tc>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postgres</w:t>
            </w:r>
            <w:r>
              <w:rPr>
                <w:color w:val="334155"/>
              </w:rPr>
            </w:r>
          </w:p>
        </w:tc>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postgres</w:t>
            </w:r>
            <w:r>
              <w:rPr>
                <w:color w:val="334155"/>
              </w:rPr>
            </w:r>
          </w:p>
        </w:tc>
      </w:tr>
      <w:tr>
        <w:tc>
          <w:tcPr>
            <w:tcW w:type="dxa" w:w="2484"/>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DB_PASSWORD</w:t>
            </w:r>
            <w:r>
              <w:rPr>
                <w:color w:val="334155"/>
              </w:rPr>
            </w:r>
          </w:p>
        </w:tc>
        <w:tc>
          <w:tcPr>
            <w:tcW w:type="dxa" w:w="2484"/>
            <w:tcMar>
              <w:top w:w="100" w:type="dxa"/>
              <w:bottom w:w="100" w:type="dxa"/>
              <w:left w:w="140" w:type="dxa"/>
              <w:right w:w="140" w:type="dxa"/>
            </w:tcMar>
            <w:shd w:fill="FFFFFF"/>
          </w:tcPr>
          <w:p>
            <w:pPr>
              <w:spacing w:before="40" w:after="40"/>
            </w:pPr>
            <w:r>
              <w:rPr>
                <w:color w:val="334155"/>
              </w:rPr>
              <w:t>PostgreSQL Password</w:t>
            </w:r>
          </w:p>
        </w:tc>
        <w:tc>
          <w:tcPr>
            <w:tcW w:type="dxa" w:w="2484"/>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postgres123</w:t>
            </w:r>
            <w:r>
              <w:rPr>
                <w:color w:val="334155"/>
              </w:rPr>
            </w:r>
          </w:p>
        </w:tc>
        <w:tc>
          <w:tcPr>
            <w:tcW w:type="dxa" w:w="2484"/>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[SECURE_SERVER_SECRET]</w:t>
            </w:r>
            <w:r>
              <w:rPr>
                <w:color w:val="334155"/>
              </w:rPr>
            </w:r>
          </w:p>
        </w:tc>
      </w:tr>
      <w:tr>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DB_NAME</w:t>
            </w:r>
            <w:r>
              <w:rPr>
                <w:color w:val="334155"/>
              </w:rPr>
            </w:r>
          </w:p>
        </w:tc>
        <w:tc>
          <w:tcPr>
            <w:tcW w:type="dxa" w:w="2484"/>
            <w:tcMar>
              <w:top w:w="100" w:type="dxa"/>
              <w:bottom w:w="100" w:type="dxa"/>
              <w:left w:w="140" w:type="dxa"/>
              <w:right w:w="140" w:type="dxa"/>
            </w:tcMar>
            <w:shd w:fill="F8FAFC"/>
          </w:tcPr>
          <w:p>
            <w:pPr>
              <w:spacing w:before="40" w:after="40"/>
            </w:pPr>
            <w:r>
              <w:rPr>
                <w:color w:val="334155"/>
              </w:rPr>
              <w:t>Database Name</w:t>
            </w:r>
          </w:p>
        </w:tc>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kaksedthan_herdbook</w:t>
            </w:r>
            <w:r>
              <w:rPr>
                <w:color w:val="334155"/>
              </w:rPr>
            </w:r>
          </w:p>
        </w:tc>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livestock_db</w:t>
            </w:r>
            <w:r>
              <w:rPr>
                <w:color w:val="334155"/>
              </w:rPr>
            </w:r>
          </w:p>
        </w:tc>
      </w:tr>
      <w:tr>
        <w:tc>
          <w:tcPr>
            <w:tcW w:type="dxa" w:w="2484"/>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UPLOAD_DIR</w:t>
            </w:r>
            <w:r>
              <w:rPr>
                <w:color w:val="334155"/>
              </w:rPr>
            </w:r>
          </w:p>
        </w:tc>
        <w:tc>
          <w:tcPr>
            <w:tcW w:type="dxa" w:w="2484"/>
            <w:tcMar>
              <w:top w:w="100" w:type="dxa"/>
              <w:bottom w:w="100" w:type="dxa"/>
              <w:left w:w="140" w:type="dxa"/>
              <w:right w:w="140" w:type="dxa"/>
            </w:tcMar>
            <w:shd w:fill="FFFFFF"/>
          </w:tcPr>
          <w:p>
            <w:pPr>
              <w:spacing w:before="40" w:after="40"/>
            </w:pPr>
            <w:r>
              <w:rPr>
                <w:color w:val="334155"/>
              </w:rPr>
              <w:t>Storage Subdirectory</w:t>
            </w:r>
          </w:p>
        </w:tc>
        <w:tc>
          <w:tcPr>
            <w:tcW w:type="dxa" w:w="2484"/>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uploads/dev</w:t>
            </w:r>
            <w:r>
              <w:rPr>
                <w:color w:val="334155"/>
              </w:rPr>
            </w:r>
          </w:p>
        </w:tc>
        <w:tc>
          <w:tcPr>
            <w:tcW w:type="dxa" w:w="2484"/>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uploads/prod</w:t>
            </w:r>
            <w:r>
              <w:rPr>
                <w:color w:val="334155"/>
              </w:rPr>
            </w:r>
          </w:p>
        </w:tc>
      </w:tr>
      <w:tr>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JWT_SECRET</w:t>
            </w:r>
            <w:r>
              <w:rPr>
                <w:color w:val="334155"/>
              </w:rPr>
            </w:r>
          </w:p>
        </w:tc>
        <w:tc>
          <w:tcPr>
            <w:tcW w:type="dxa" w:w="2484"/>
            <w:tcMar>
              <w:top w:w="100" w:type="dxa"/>
              <w:bottom w:w="100" w:type="dxa"/>
              <w:left w:w="140" w:type="dxa"/>
              <w:right w:w="140" w:type="dxa"/>
            </w:tcMar>
            <w:shd w:fill="F8FAFC"/>
          </w:tcPr>
          <w:p>
            <w:pPr>
              <w:spacing w:before="40" w:after="40"/>
            </w:pPr>
            <w:r>
              <w:rPr>
                <w:color w:val="334155"/>
              </w:rPr>
              <w:t>JWT Signing Key</w:t>
            </w:r>
          </w:p>
        </w:tc>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dev-jwt-secret</w:t>
            </w:r>
            <w:r>
              <w:rPr>
                <w:color w:val="334155"/>
              </w:rPr>
            </w:r>
          </w:p>
        </w:tc>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[SECURE_RANDOM_KEY]</w:t>
            </w:r>
            <w:r>
              <w:rPr>
                <w:color w:val="334155"/>
              </w:rPr>
            </w:r>
          </w:p>
        </w:tc>
      </w:tr>
      <w:tr>
        <w:tc>
          <w:tcPr>
            <w:tcW w:type="dxa" w:w="2484"/>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SESSION_SECRET</w:t>
            </w:r>
            <w:r>
              <w:rPr>
                <w:color w:val="334155"/>
              </w:rPr>
            </w:r>
          </w:p>
        </w:tc>
        <w:tc>
          <w:tcPr>
            <w:tcW w:type="dxa" w:w="2484"/>
            <w:tcMar>
              <w:top w:w="100" w:type="dxa"/>
              <w:bottom w:w="100" w:type="dxa"/>
              <w:left w:w="140" w:type="dxa"/>
              <w:right w:w="140" w:type="dxa"/>
            </w:tcMar>
            <w:shd w:fill="FFFFFF"/>
          </w:tcPr>
          <w:p>
            <w:pPr>
              <w:spacing w:before="40" w:after="40"/>
            </w:pPr>
            <w:r>
              <w:rPr>
                <w:color w:val="334155"/>
              </w:rPr>
              <w:t>Cookie Session Secret</w:t>
            </w:r>
          </w:p>
        </w:tc>
        <w:tc>
          <w:tcPr>
            <w:tcW w:type="dxa" w:w="2484"/>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dev-session-secret</w:t>
            </w:r>
            <w:r>
              <w:rPr>
                <w:color w:val="334155"/>
              </w:rPr>
            </w:r>
          </w:p>
        </w:tc>
        <w:tc>
          <w:tcPr>
            <w:tcW w:type="dxa" w:w="2484"/>
            <w:tcMar>
              <w:top w:w="100" w:type="dxa"/>
              <w:bottom w:w="100" w:type="dxa"/>
              <w:left w:w="140" w:type="dxa"/>
              <w:right w:w="140" w:type="dxa"/>
            </w:tcMar>
            <w:shd w:fill="FFFFFF"/>
          </w:tcPr>
          <w:p>
            <w:pPr>
              <w:spacing w:before="40" w:after="40"/>
            </w:pPr>
            <w:r>
              <w:rPr>
                <w:color w:val="334155"/>
              </w:rPr>
            </w:r>
            <w:r>
              <w:rPr>
                <w:rFonts w:ascii="Consolas" w:hAnsi="Consolas"/>
                <w:color w:val="0284C7"/>
                <w:sz w:val="19"/>
              </w:rPr>
              <w:t>[SECURE_RANDOM_KEY]</w:t>
            </w:r>
            <w:r>
              <w:rPr>
                <w:color w:val="334155"/>
              </w:rPr>
            </w:r>
          </w:p>
        </w:tc>
      </w:tr>
    </w:tbl>
    <w:p>
      <w:pPr>
        <w:spacing w:after="160"/>
      </w:pPr>
    </w:p>
    <w:p>
      <w:pPr>
        <w:spacing w:before="40" w:after="120"/>
      </w:pPr>
      <w:r>
        <w:t>---</w:t>
      </w:r>
    </w:p>
    <w:p>
      <w:pPr>
        <w:spacing w:before="280" w:after="120"/>
      </w:pPr>
      <w:r>
        <w:rPr>
          <w:rFonts w:ascii="Calibri" w:hAnsi="Calibri"/>
          <w:b/>
          <w:color w:val="0284C7"/>
          <w:sz w:val="32"/>
        </w:rPr>
        <w:t>10. Official 9-Step Deployment Pipeline</w:t>
      </w:r>
    </w:p>
    <w:p>
      <w:pPr>
        <w:spacing w:before="40" w:after="120"/>
      </w:pPr>
      <w:r>
        <w:t xml:space="preserve">Production deployment is executed via </w:t>
      </w:r>
      <w:r>
        <w:rPr>
          <w:rFonts w:ascii="Consolas" w:hAnsi="Consolas"/>
          <w:color w:val="0284C7"/>
          <w:sz w:val="20"/>
        </w:rPr>
        <w:t>npm run deploy:prod</w:t>
      </w:r>
      <w:r>
        <w:t xml:space="preserve"> (</w:t>
      </w:r>
      <w:r>
        <w:rPr>
          <w:rFonts w:ascii="Consolas" w:hAnsi="Consolas"/>
          <w:color w:val="0284C7"/>
          <w:sz w:val="20"/>
        </w:rPr>
        <w:t>deployment/production/deploy.sh</w:t>
      </w:r>
      <w:r>
        <w:t>):</w:t>
      </w:r>
    </w:p>
    <w:p>
      <w:pPr>
        <w:spacing w:before="40" w:after="120"/>
      </w:pPr>
      <w:r>
        <w:t xml:space="preserve">1. </w:t>
      </w:r>
      <w:r>
        <w:rPr>
          <w:b/>
        </w:rPr>
        <w:t>Step 1: Environment &amp; Secrets Verification</w:t>
      </w:r>
      <w:r>
        <w:t>: Validates production env vars (</w:t>
      </w:r>
      <w:r>
        <w:rPr>
          <w:rFonts w:ascii="Consolas" w:hAnsi="Consolas"/>
          <w:color w:val="0284C7"/>
          <w:sz w:val="20"/>
        </w:rPr>
        <w:t>DB_HOST</w:t>
      </w:r>
      <w:r>
        <w:t xml:space="preserve">, </w:t>
      </w:r>
      <w:r>
        <w:rPr>
          <w:rFonts w:ascii="Consolas" w:hAnsi="Consolas"/>
          <w:color w:val="0284C7"/>
          <w:sz w:val="20"/>
        </w:rPr>
        <w:t>DB_NAME</w:t>
      </w:r>
      <w:r>
        <w:t xml:space="preserve">, </w:t>
      </w:r>
      <w:r>
        <w:rPr>
          <w:rFonts w:ascii="Consolas" w:hAnsi="Consolas"/>
          <w:color w:val="0284C7"/>
          <w:sz w:val="20"/>
        </w:rPr>
        <w:t>DB_USER</w:t>
      </w:r>
      <w:r>
        <w:t xml:space="preserve">, </w:t>
      </w:r>
      <w:r>
        <w:rPr>
          <w:rFonts w:ascii="Consolas" w:hAnsi="Consolas"/>
          <w:color w:val="0284C7"/>
          <w:sz w:val="20"/>
        </w:rPr>
        <w:t>DB_PASSWORD</w:t>
      </w:r>
      <w:r>
        <w:t>).</w:t>
      </w:r>
    </w:p>
    <w:p>
      <w:pPr>
        <w:spacing w:before="40" w:after="120"/>
      </w:pPr>
      <w:r>
        <w:t xml:space="preserve">2. </w:t>
      </w:r>
      <w:r>
        <w:rPr>
          <w:b/>
        </w:rPr>
        <w:t>Step 2: Database Connectivity Check</w:t>
      </w:r>
      <w:r>
        <w:t xml:space="preserve">: Tests connection to </w:t>
      </w:r>
      <w:r>
        <w:rPr>
          <w:rFonts w:ascii="Consolas" w:hAnsi="Consolas"/>
          <w:color w:val="0284C7"/>
          <w:sz w:val="20"/>
        </w:rPr>
        <w:t>livestock_db</w:t>
      </w:r>
      <w:r>
        <w:t>.</w:t>
      </w:r>
    </w:p>
    <w:p>
      <w:pPr>
        <w:spacing w:before="40" w:after="120"/>
      </w:pPr>
      <w:r>
        <w:t xml:space="preserve">3. </w:t>
      </w:r>
      <w:r>
        <w:rPr>
          <w:b/>
        </w:rPr>
        <w:t>Step 3: Automated Database Backup</w:t>
      </w:r>
      <w:r>
        <w:t xml:space="preserve">: Creates compressed dump in </w:t>
      </w:r>
      <w:r>
        <w:rPr>
          <w:rFonts w:ascii="Consolas" w:hAnsi="Consolas"/>
          <w:color w:val="0284C7"/>
          <w:sz w:val="20"/>
        </w:rPr>
        <w:t>backups/prod_backup_YYYYMMDD_HHMMSS.sql.gz</w:t>
      </w:r>
      <w:r>
        <w:t>. Verifies file exists and is non-empty.</w:t>
      </w:r>
    </w:p>
    <w:p>
      <w:pPr>
        <w:spacing w:before="40" w:after="120"/>
      </w:pPr>
      <w:r>
        <w:t xml:space="preserve">4. </w:t>
      </w:r>
      <w:r>
        <w:rPr>
          <w:b/>
        </w:rPr>
        <w:t>Step 4: Schema Migrations</w:t>
      </w:r>
      <w:r>
        <w:t>: Runs schema DDL migrations (</w:t>
      </w:r>
      <w:r>
        <w:rPr>
          <w:rFonts w:ascii="Consolas" w:hAnsi="Consolas"/>
          <w:color w:val="0284C7"/>
          <w:sz w:val="20"/>
        </w:rPr>
        <w:t>safe-migrate.ts</w:t>
      </w:r>
      <w:r>
        <w:t>).</w:t>
      </w:r>
    </w:p>
    <w:p>
      <w:pPr>
        <w:spacing w:before="40" w:after="120"/>
      </w:pPr>
      <w:r>
        <w:t xml:space="preserve">5. </w:t>
      </w:r>
      <w:r>
        <w:rPr>
          <w:b/>
        </w:rPr>
        <w:t>Step 5: Production Build Compilation</w:t>
      </w:r>
      <w:r>
        <w:t>: Compiles Next.js bundle (</w:t>
      </w:r>
      <w:r>
        <w:rPr>
          <w:rFonts w:ascii="Consolas" w:hAnsi="Consolas"/>
          <w:color w:val="0284C7"/>
          <w:sz w:val="20"/>
        </w:rPr>
        <w:t>NODE_OPTIONS="--max-old-space-size=2048" npm run build</w:t>
      </w:r>
      <w:r>
        <w:t>).</w:t>
      </w:r>
    </w:p>
    <w:p>
      <w:pPr>
        <w:spacing w:before="40" w:after="120"/>
      </w:pPr>
      <w:r>
        <w:t xml:space="preserve">6. </w:t>
      </w:r>
      <w:r>
        <w:rPr>
          <w:b/>
        </w:rPr>
        <w:t>Step 6: PM2 Service Reload</w:t>
      </w:r>
      <w:r>
        <w:t>: Reloads PM2 processes (</w:t>
      </w:r>
      <w:r>
        <w:rPr>
          <w:rFonts w:ascii="Consolas" w:hAnsi="Consolas"/>
          <w:color w:val="0284C7"/>
          <w:sz w:val="20"/>
        </w:rPr>
        <w:t>pm2 reload all</w:t>
      </w:r>
      <w:r>
        <w:t>).</w:t>
      </w:r>
    </w:p>
    <w:p>
      <w:pPr>
        <w:spacing w:before="40" w:after="120"/>
      </w:pPr>
      <w:r>
        <w:t xml:space="preserve">7. </w:t>
      </w:r>
      <w:r>
        <w:rPr>
          <w:b/>
        </w:rPr>
        <w:t>Step 7: Endpoint Verification</w:t>
      </w:r>
      <w:r>
        <w:t xml:space="preserve">: Checks </w:t>
      </w:r>
      <w:r>
        <w:rPr>
          <w:rFonts w:ascii="Consolas" w:hAnsi="Consolas"/>
          <w:color w:val="0284C7"/>
          <w:sz w:val="20"/>
        </w:rPr>
        <w:t>HTTP 200 OK</w:t>
      </w:r>
      <w:r>
        <w:t xml:space="preserve"> on UI (</w:t>
      </w:r>
      <w:r>
        <w:rPr>
          <w:rFonts w:ascii="Consolas" w:hAnsi="Consolas"/>
          <w:color w:val="0284C7"/>
          <w:sz w:val="20"/>
        </w:rPr>
        <w:t>:3000</w:t>
      </w:r>
      <w:r>
        <w:t>) and API (</w:t>
      </w:r>
      <w:r>
        <w:rPr>
          <w:rFonts w:ascii="Consolas" w:hAnsi="Consolas"/>
          <w:color w:val="0284C7"/>
          <w:sz w:val="20"/>
        </w:rPr>
        <w:t>:3002</w:t>
      </w:r>
      <w:r>
        <w:t>).</w:t>
      </w:r>
    </w:p>
    <w:p>
      <w:pPr>
        <w:spacing w:before="40" w:after="120"/>
      </w:pPr>
      <w:r>
        <w:t xml:space="preserve">8. </w:t>
      </w:r>
      <w:r>
        <w:rPr>
          <w:b/>
        </w:rPr>
        <w:t>Step 8: Log Monitoring</w:t>
      </w:r>
      <w:r>
        <w:t>: Inspects error logs for runtime issues.</w:t>
      </w:r>
    </w:p>
    <w:p>
      <w:pPr>
        <w:spacing w:before="40" w:after="120"/>
      </w:pPr>
      <w:r>
        <w:t xml:space="preserve">9. </w:t>
      </w:r>
      <w:r>
        <w:rPr>
          <w:b/>
        </w:rPr>
        <w:t>Step 9: Release Tagging</w:t>
      </w:r>
      <w:r>
        <w:t>: Records release version in git log.</w:t>
      </w:r>
    </w:p>
    <w:p>
      <w:pPr>
        <w:spacing w:before="40" w:after="120"/>
      </w:pPr>
      <w:r>
        <w:t>---</w:t>
      </w:r>
    </w:p>
    <w:p>
      <w:pPr>
        <w:spacing w:before="280" w:after="120"/>
      </w:pPr>
      <w:r>
        <w:rPr>
          <w:rFonts w:ascii="Calibri" w:hAnsi="Calibri"/>
          <w:b/>
          <w:color w:val="0284C7"/>
          <w:sz w:val="32"/>
        </w:rPr>
        <w:t>11. Application &amp; Database Compatibility Matrix</w:t>
      </w:r>
    </w:p>
    <w:p>
      <w:pPr>
        <w:spacing w:before="40" w:after="120"/>
      </w:pPr>
      <w:r>
        <w:t>Application code and database schema versions must remain aligned:</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E5E7EB"/>
          <w:insideV w:val="none"/>
          <w:left w:val="none"/>
          <w:right w:val="none"/>
        </w:tblBorders>
      </w:tblPr>
      <w:tblGrid>
        <w:gridCol w:w="2484"/>
        <w:gridCol w:w="2484"/>
        <w:gridCol w:w="2484"/>
        <w:gridCol w:w="2484"/>
      </w:tblGrid>
      <w:tr>
        <w:tc>
          <w:tcPr>
            <w:tcW w:type="dxa" w:w="2484"/>
            <w:tcMar>
              <w:top w:w="100" w:type="dxa"/>
              <w:bottom w:w="100" w:type="dxa"/>
              <w:left w:w="140" w:type="dxa"/>
              <w:right w:w="140" w:type="dxa"/>
            </w:tcMar>
            <w:shd w:fill="0F172A"/>
          </w:tcPr>
          <w:p>
            <w:pPr>
              <w:spacing w:before="40" w:after="40"/>
            </w:pPr>
            <w:r>
              <w:rPr>
                <w:b/>
                <w:color w:val="FFFFFF"/>
              </w:rPr>
              <w:t>App Version</w:t>
            </w:r>
          </w:p>
        </w:tc>
        <w:tc>
          <w:tcPr>
            <w:tcW w:type="dxa" w:w="2484"/>
            <w:tcMar>
              <w:top w:w="100" w:type="dxa"/>
              <w:bottom w:w="100" w:type="dxa"/>
              <w:left w:w="140" w:type="dxa"/>
              <w:right w:w="140" w:type="dxa"/>
            </w:tcMar>
            <w:shd w:fill="0F172A"/>
          </w:tcPr>
          <w:p>
            <w:pPr>
              <w:spacing w:before="40" w:after="40"/>
            </w:pPr>
            <w:r>
              <w:rPr>
                <w:b/>
                <w:color w:val="FFFFFF"/>
              </w:rPr>
              <w:t>Database Schema Version</w:t>
            </w:r>
          </w:p>
        </w:tc>
        <w:tc>
          <w:tcPr>
            <w:tcW w:type="dxa" w:w="2484"/>
            <w:tcMar>
              <w:top w:w="100" w:type="dxa"/>
              <w:bottom w:w="100" w:type="dxa"/>
              <w:left w:w="140" w:type="dxa"/>
              <w:right w:w="140" w:type="dxa"/>
            </w:tcMar>
            <w:shd w:fill="0F172A"/>
          </w:tcPr>
          <w:p>
            <w:pPr>
              <w:spacing w:before="40" w:after="40"/>
            </w:pPr>
            <w:r>
              <w:rPr>
                <w:b/>
                <w:color w:val="FFFFFF"/>
              </w:rPr>
              <w:t>Compatible Migrations</w:t>
            </w:r>
          </w:p>
        </w:tc>
        <w:tc>
          <w:tcPr>
            <w:tcW w:type="dxa" w:w="2484"/>
            <w:tcMar>
              <w:top w:w="100" w:type="dxa"/>
              <w:bottom w:w="100" w:type="dxa"/>
              <w:left w:w="140" w:type="dxa"/>
              <w:right w:w="140" w:type="dxa"/>
            </w:tcMar>
            <w:shd w:fill="0F172A"/>
          </w:tcPr>
          <w:p>
            <w:pPr>
              <w:spacing w:before="40" w:after="40"/>
            </w:pPr>
            <w:r>
              <w:rPr>
                <w:b/>
                <w:color w:val="FFFFFF"/>
              </w:rPr>
              <w:t>Notes</w:t>
            </w:r>
          </w:p>
        </w:tc>
      </w:tr>
      <w:tr>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v0.1.0</w:t>
            </w:r>
            <w:r>
              <w:rPr>
                <w:color w:val="334155"/>
              </w:rPr>
            </w:r>
          </w:p>
        </w:tc>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schema_v1</w:t>
            </w:r>
            <w:r>
              <w:rPr>
                <w:color w:val="334155"/>
              </w:rPr>
            </w:r>
          </w:p>
        </w:tc>
        <w:tc>
          <w:tcPr>
            <w:tcW w:type="dxa" w:w="2484"/>
            <w:tcMar>
              <w:top w:w="100" w:type="dxa"/>
              <w:bottom w:w="100" w:type="dxa"/>
              <w:left w:w="140" w:type="dxa"/>
              <w:right w:w="140" w:type="dxa"/>
            </w:tcMar>
            <w:shd w:fill="F8FAFC"/>
          </w:tcPr>
          <w:p>
            <w:pPr>
              <w:spacing w:before="40" w:after="40"/>
            </w:pPr>
            <w:r>
              <w:rPr>
                <w:color w:val="334155"/>
              </w:rPr>
            </w:r>
            <w:r>
              <w:rPr>
                <w:rFonts w:ascii="Consolas" w:hAnsi="Consolas"/>
                <w:color w:val="0284C7"/>
                <w:sz w:val="19"/>
              </w:rPr>
              <w:t>safe-migrate.ts</w:t>
            </w:r>
            <w:r>
              <w:rPr>
                <w:color w:val="334155"/>
              </w:rPr>
              <w:t xml:space="preserve">, </w:t>
            </w:r>
            <w:r>
              <w:rPr>
                <w:rFonts w:ascii="Consolas" w:hAnsi="Consolas"/>
                <w:color w:val="0284C7"/>
                <w:sz w:val="19"/>
              </w:rPr>
              <w:t>add-level-type-to-user-levels.ts</w:t>
            </w:r>
            <w:r>
              <w:rPr>
                <w:color w:val="334155"/>
              </w:rPr>
            </w:r>
          </w:p>
        </w:tc>
        <w:tc>
          <w:tcPr>
            <w:tcW w:type="dxa" w:w="2484"/>
            <w:tcMar>
              <w:top w:w="100" w:type="dxa"/>
              <w:bottom w:w="100" w:type="dxa"/>
              <w:left w:w="140" w:type="dxa"/>
              <w:right w:w="140" w:type="dxa"/>
            </w:tcMar>
            <w:shd w:fill="F8FAFC"/>
          </w:tcPr>
          <w:p>
            <w:pPr>
              <w:spacing w:before="40" w:after="40"/>
            </w:pPr>
            <w:r>
              <w:rPr>
                <w:color w:val="334155"/>
              </w:rPr>
              <w:t>Initial Livestock &amp; Access Control V2 release</w:t>
            </w:r>
          </w:p>
        </w:tc>
      </w:tr>
    </w:tbl>
    <w:p>
      <w:pPr>
        <w:spacing w:after="160"/>
      </w:pPr>
    </w:p>
    <w:p>
      <w:pPr>
        <w:spacing w:before="40" w:after="120"/>
      </w:pPr>
      <w:r>
        <w:t>---</w:t>
      </w:r>
    </w:p>
    <w:p>
      <w:pPr>
        <w:spacing w:before="280" w:after="120"/>
      </w:pPr>
      <w:r>
        <w:rPr>
          <w:rFonts w:ascii="Calibri" w:hAnsi="Calibri"/>
          <w:b/>
          <w:color w:val="0284C7"/>
          <w:sz w:val="32"/>
        </w:rPr>
        <w:t>12. Breaking Changes Migration Strategy</w:t>
      </w:r>
    </w:p>
    <w:p>
      <w:pPr>
        <w:spacing w:before="40" w:after="120"/>
      </w:pPr>
      <w:r>
        <w:t xml:space="preserve">When modifying high-impact production fields, follow the </w:t>
      </w:r>
      <w:r>
        <w:rPr>
          <w:b/>
        </w:rPr>
        <w:t>5-Stage Safe Migration Pattern</w:t>
      </w:r>
      <w:r>
        <w:t>:</w:t>
      </w:r>
    </w:p>
    <w:p>
      <w:pPr>
        <w:spacing w:before="40" w:after="120"/>
      </w:pPr>
      <w:r/>
      <w:r>
        <w:rPr>
          <w:rFonts w:ascii="Cambria Math" w:hAnsi="Cambria Math"/>
          <w:i/>
        </w:rPr>
        <w:t>\text{1. Add New Field} \longrightarrow \text{2. Support Dual Writing} \longrightarrow \text{3. Migrate Data} \longrightarrow \text{4. Switch Readers} \longrightarrow \text{5. Deprecate Old Field}</w:t>
      </w:r>
      <w:r/>
    </w:p>
    <w:p>
      <w:pPr>
        <w:spacing w:before="200" w:after="80"/>
      </w:pPr>
      <w:r>
        <w:rPr>
          <w:rFonts w:ascii="Calibri" w:hAnsi="Calibri"/>
          <w:b/>
          <w:color w:val="334155"/>
          <w:sz w:val="26"/>
        </w:rPr>
        <w:t>Example: Renaming `owner_name` $\rightarrow$ `customer_id`</w:t>
      </w:r>
    </w:p>
    <w:p>
      <w:pPr>
        <w:spacing w:before="40" w:after="120"/>
      </w:pPr>
      <w:r>
        <w:t xml:space="preserve">1. </w:t>
      </w:r>
      <w:r>
        <w:rPr>
          <w:b/>
        </w:rPr>
        <w:t>Add</w:t>
      </w:r>
      <w:r>
        <w:t xml:space="preserve">: Add </w:t>
      </w:r>
      <w:r>
        <w:rPr>
          <w:rFonts w:ascii="Consolas" w:hAnsi="Consolas"/>
          <w:color w:val="0284C7"/>
          <w:sz w:val="20"/>
        </w:rPr>
        <w:t>customer_id VARCHAR(50)</w:t>
      </w:r>
      <w:r>
        <w:t xml:space="preserve"> column to </w:t>
      </w:r>
      <w:r>
        <w:rPr>
          <w:rFonts w:ascii="Consolas" w:hAnsi="Consolas"/>
          <w:color w:val="0284C7"/>
          <w:sz w:val="20"/>
        </w:rPr>
        <w:t>stock</w:t>
      </w:r>
      <w:r>
        <w:t xml:space="preserve"> table (keep </w:t>
      </w:r>
      <w:r>
        <w:rPr>
          <w:rFonts w:ascii="Consolas" w:hAnsi="Consolas"/>
          <w:color w:val="0284C7"/>
          <w:sz w:val="20"/>
        </w:rPr>
        <w:t>owner_name</w:t>
      </w:r>
      <w:r>
        <w:t>).</w:t>
      </w:r>
    </w:p>
    <w:p>
      <w:pPr>
        <w:spacing w:before="40" w:after="120"/>
      </w:pPr>
      <w:r>
        <w:t xml:space="preserve">2. </w:t>
      </w:r>
      <w:r>
        <w:rPr>
          <w:b/>
        </w:rPr>
        <w:t>Support</w:t>
      </w:r>
      <w:r>
        <w:t xml:space="preserve">: Update API repository to populate both </w:t>
      </w:r>
      <w:r>
        <w:rPr>
          <w:rFonts w:ascii="Consolas" w:hAnsi="Consolas"/>
          <w:color w:val="0284C7"/>
          <w:sz w:val="20"/>
        </w:rPr>
        <w:t>owner_name</w:t>
      </w:r>
      <w:r>
        <w:t xml:space="preserve"> and </w:t>
      </w:r>
      <w:r>
        <w:rPr>
          <w:rFonts w:ascii="Consolas" w:hAnsi="Consolas"/>
          <w:color w:val="0284C7"/>
          <w:sz w:val="20"/>
        </w:rPr>
        <w:t>customer_id</w:t>
      </w:r>
      <w:r>
        <w:t>.</w:t>
      </w:r>
    </w:p>
    <w:p>
      <w:pPr>
        <w:spacing w:before="40" w:after="120"/>
      </w:pPr>
      <w:r>
        <w:t xml:space="preserve">3. </w:t>
      </w:r>
      <w:r>
        <w:rPr>
          <w:b/>
        </w:rPr>
        <w:t>Migrate</w:t>
      </w:r>
      <w:r>
        <w:t xml:space="preserve">: Run data backfill script linking existing </w:t>
      </w:r>
      <w:r>
        <w:rPr>
          <w:rFonts w:ascii="Consolas" w:hAnsi="Consolas"/>
          <w:color w:val="0284C7"/>
          <w:sz w:val="20"/>
        </w:rPr>
        <w:t>owner_name</w:t>
      </w:r>
      <w:r>
        <w:t xml:space="preserve"> values to customer IDs.</w:t>
      </w:r>
    </w:p>
    <w:p>
      <w:pPr>
        <w:spacing w:before="40" w:after="120"/>
      </w:pPr>
      <w:r>
        <w:t xml:space="preserve">4. </w:t>
      </w:r>
      <w:r>
        <w:rPr>
          <w:b/>
        </w:rPr>
        <w:t>Switch</w:t>
      </w:r>
      <w:r>
        <w:t xml:space="preserve">: Update frontend UI to display customer details via </w:t>
      </w:r>
      <w:r>
        <w:rPr>
          <w:rFonts w:ascii="Consolas" w:hAnsi="Consolas"/>
          <w:color w:val="0284C7"/>
          <w:sz w:val="20"/>
        </w:rPr>
        <w:t>customer_id</w:t>
      </w:r>
      <w:r>
        <w:t>.</w:t>
      </w:r>
    </w:p>
    <w:p>
      <w:pPr>
        <w:spacing w:before="40" w:after="120"/>
      </w:pPr>
      <w:r>
        <w:t xml:space="preserve">5. </w:t>
      </w:r>
      <w:r>
        <w:rPr>
          <w:b/>
        </w:rPr>
        <w:t>Deprecate</w:t>
      </w:r>
      <w:r>
        <w:t xml:space="preserve">: Drop </w:t>
      </w:r>
      <w:r>
        <w:rPr>
          <w:rFonts w:ascii="Consolas" w:hAnsi="Consolas"/>
          <w:color w:val="0284C7"/>
          <w:sz w:val="20"/>
        </w:rPr>
        <w:t>owner_name</w:t>
      </w:r>
      <w:r>
        <w:t xml:space="preserve"> column only after zero application code relies on it.</w:t>
      </w:r>
    </w:p>
    <w:p>
      <w:pPr>
        <w:spacing w:before="40" w:after="120"/>
      </w:pPr>
      <w:r>
        <w:t>---</w:t>
      </w:r>
    </w:p>
    <w:p>
      <w:pPr>
        <w:spacing w:before="280" w:after="120"/>
      </w:pPr>
      <w:r>
        <w:rPr>
          <w:rFonts w:ascii="Calibri" w:hAnsi="Calibri"/>
          <w:b/>
          <w:color w:val="0284C7"/>
          <w:sz w:val="32"/>
        </w:rPr>
        <w:t>13. Feature Development Checklist</w:t>
      </w:r>
    </w:p>
    <w:p>
      <w:pPr>
        <w:spacing w:before="40" w:after="120"/>
      </w:pPr>
      <w:r>
        <w:t>For every new feature request, developers MUST complete the following:</w:t>
      </w:r>
    </w:p>
    <w:p>
      <w:pPr>
        <w:pStyle w:val="ListBullet"/>
        <w:spacing w:before="20" w:after="60"/>
      </w:pPr>
      <w:r>
        <w:t xml:space="preserve">☐ </w:t>
      </w:r>
      <w:r>
        <w:rPr>
          <w:b/>
        </w:rPr>
        <w:t>UI Components</w:t>
      </w:r>
      <w:r>
        <w:t xml:space="preserve">: Build responsive, fluid UI in </w:t>
      </w:r>
      <w:r>
        <w:rPr>
          <w:rFonts w:ascii="Consolas" w:hAnsi="Consolas"/>
          <w:color w:val="0284C7"/>
          <w:sz w:val="20"/>
        </w:rPr>
        <w:t>src/app/</w:t>
      </w:r>
      <w:r>
        <w:t xml:space="preserve"> or </w:t>
      </w:r>
      <w:r>
        <w:rPr>
          <w:rFonts w:ascii="Consolas" w:hAnsi="Consolas"/>
          <w:color w:val="0284C7"/>
          <w:sz w:val="20"/>
        </w:rPr>
        <w:t>src/components/</w:t>
      </w:r>
      <w:r>
        <w:t>.</w:t>
      </w:r>
    </w:p>
    <w:p>
      <w:pPr>
        <w:pStyle w:val="ListBullet"/>
        <w:spacing w:before="20" w:after="60"/>
      </w:pPr>
      <w:r>
        <w:t xml:space="preserve">☐ </w:t>
      </w:r>
      <w:r>
        <w:rPr>
          <w:b/>
        </w:rPr>
        <w:t>API Endpoint</w:t>
      </w:r>
      <w:r>
        <w:t xml:space="preserve">: Define REST handler in </w:t>
      </w:r>
      <w:r>
        <w:rPr>
          <w:rFonts w:ascii="Consolas" w:hAnsi="Consolas"/>
          <w:color w:val="0284C7"/>
          <w:sz w:val="20"/>
        </w:rPr>
        <w:t>src/server/routes/</w:t>
      </w:r>
      <w:r>
        <w:t xml:space="preserve"> or server action in </w:t>
      </w:r>
      <w:r>
        <w:rPr>
          <w:rFonts w:ascii="Consolas" w:hAnsi="Consolas"/>
          <w:color w:val="0284C7"/>
          <w:sz w:val="20"/>
        </w:rPr>
        <w:t>src/app/actions.ts</w:t>
      </w:r>
      <w:r>
        <w:t>.</w:t>
      </w:r>
    </w:p>
    <w:p>
      <w:pPr>
        <w:pStyle w:val="ListBullet"/>
        <w:spacing w:before="20" w:after="60"/>
      </w:pPr>
      <w:r>
        <w:t xml:space="preserve">☐ </w:t>
      </w:r>
      <w:r>
        <w:rPr>
          <w:b/>
        </w:rPr>
        <w:t>Business Logic</w:t>
      </w:r>
      <w:r>
        <w:t>: Enforce authorization and validation rules in backend service layer.</w:t>
      </w:r>
    </w:p>
    <w:p>
      <w:pPr>
        <w:pStyle w:val="ListBullet"/>
        <w:spacing w:before="20" w:after="60"/>
      </w:pPr>
      <w:r>
        <w:t xml:space="preserve">☐ </w:t>
      </w:r>
      <w:r>
        <w:rPr>
          <w:b/>
        </w:rPr>
        <w:t>Database Schema</w:t>
      </w:r>
      <w:r>
        <w:t xml:space="preserve">: Write non-destructive DDL migration script in </w:t>
      </w:r>
      <w:r>
        <w:rPr>
          <w:rFonts w:ascii="Consolas" w:hAnsi="Consolas"/>
          <w:color w:val="0284C7"/>
          <w:sz w:val="20"/>
        </w:rPr>
        <w:t>src/db/migrations/</w:t>
      </w:r>
      <w:r>
        <w:t>.</w:t>
      </w:r>
    </w:p>
    <w:p>
      <w:pPr>
        <w:pStyle w:val="ListBullet"/>
        <w:spacing w:before="20" w:after="60"/>
      </w:pPr>
      <w:r>
        <w:t xml:space="preserve">☐ </w:t>
      </w:r>
      <w:r>
        <w:rPr>
          <w:b/>
        </w:rPr>
        <w:t>Access Control</w:t>
      </w:r>
      <w:r>
        <w:t>: Update user levels and permission matrices (</w:t>
      </w:r>
      <w:r>
        <w:rPr>
          <w:rFonts w:ascii="Consolas" w:hAnsi="Consolas"/>
          <w:color w:val="0284C7"/>
          <w:sz w:val="20"/>
        </w:rPr>
        <w:t>src/lib/auth/accessControl.ts</w:t>
      </w:r>
      <w:r>
        <w:t>).</w:t>
      </w:r>
    </w:p>
    <w:p>
      <w:pPr>
        <w:pStyle w:val="ListBullet"/>
        <w:spacing w:before="20" w:after="60"/>
      </w:pPr>
      <w:r>
        <w:t xml:space="preserve">☐ </w:t>
      </w:r>
      <w:r>
        <w:rPr>
          <w:b/>
        </w:rPr>
        <w:t>Empty States</w:t>
      </w:r>
      <w:r>
        <w:t>: Display user-friendly empty placeholders ("Information not available") when no data exists.</w:t>
      </w:r>
    </w:p>
    <w:p>
      <w:pPr>
        <w:pStyle w:val="ListBullet"/>
        <w:spacing w:before="20" w:after="60"/>
      </w:pPr>
      <w:r>
        <w:t xml:space="preserve">☐ </w:t>
      </w:r>
      <w:r>
        <w:rPr>
          <w:b/>
        </w:rPr>
        <w:t>Local Testing</w:t>
      </w:r>
      <w:r>
        <w:t>: Verify full flow against localhost DB (</w:t>
      </w:r>
      <w:r>
        <w:rPr>
          <w:rFonts w:ascii="Consolas" w:hAnsi="Consolas"/>
          <w:color w:val="0284C7"/>
          <w:sz w:val="20"/>
        </w:rPr>
        <w:t>kaksedthan_herdbook</w:t>
      </w:r>
      <w:r>
        <w:t>).</w:t>
      </w:r>
    </w:p>
    <w:p>
      <w:pPr>
        <w:spacing w:before="40" w:after="120"/>
      </w:pPr>
      <w:r>
        <w:t>---</w:t>
      </w:r>
    </w:p>
    <w:p>
      <w:pPr>
        <w:spacing w:before="280" w:after="120"/>
      </w:pPr>
      <w:r>
        <w:rPr>
          <w:rFonts w:ascii="Calibri" w:hAnsi="Calibri"/>
          <w:b/>
          <w:color w:val="0284C7"/>
          <w:sz w:val="32"/>
        </w:rPr>
        <w:t>14. Prohibition of Hardcoded Business Data</w:t>
      </w:r>
    </w:p>
    <w:tbl>
      <w:tblPr>
        <w:tblW w:type="auto" w:w="0"/>
        <w:jc w:val="center"/>
        <w:tblLook w:firstColumn="1" w:firstRow="1" w:lastColumn="0" w:lastRow="0" w:noHBand="0" w:noVBand="1" w:val="04A0"/>
      </w:tblPr>
      <w:tblGrid>
        <w:gridCol w:w="9936"/>
      </w:tblGrid>
      <w:tr>
        <w:tc>
          <w:tcPr>
            <w:tcW w:type="dxa" w:w="9936"/>
            <w:shd w:fill="FFFBEB"/>
            <w:tcMar>
              <w:top w:w="120" w:type="dxa"/>
              <w:bottom w:w="120" w:type="dxa"/>
              <w:left w:w="200" w:type="dxa"/>
              <w:right w:w="200" w:type="dxa"/>
            </w:tcMar>
            <w:tcBorders>
              <w:left w:val="single" w:sz="24" w:space="0" w:color="D97706"/>
              <w:top w:val="none"/>
              <w:right w:val="none"/>
              <w:bottom w:val="none"/>
            </w:tcBorders>
          </w:tcPr>
          <w:p>
            <w:pPr>
              <w:spacing w:before="80" w:after="80"/>
            </w:pPr>
            <w:r>
              <w:rPr>
                <w:rFonts w:ascii="Calibri" w:hAnsi="Calibri"/>
                <w:sz w:val="21"/>
              </w:rPr>
              <w:t>**NO HARDCODED MOCK RECORDS IN PRODUCTION CODE:** Source code must NEVER contain hardcoded business data arrays (cows, farms, customers, certificates, sales transactions). All business data MUST flow through **Database $\rightarrow$ API $\rightarrow$ Frontend UI**. If no records exist in the database, the UI MUST render an appropriate empty state.</w:t>
            </w:r>
          </w:p>
        </w:tc>
      </w:tr>
    </w:tbl>
    <w:p>
      <w:pPr>
        <w:spacing w:after="120"/>
      </w:pPr>
    </w:p>
    <w:p>
      <w:pPr>
        <w:spacing w:before="40" w:after="120"/>
      </w:pPr>
      <w:r>
        <w:t>---</w:t>
      </w:r>
    </w:p>
    <w:p>
      <w:pPr>
        <w:spacing w:before="280" w:after="120"/>
      </w:pPr>
      <w:r>
        <w:rPr>
          <w:rFonts w:ascii="Calibri" w:hAnsi="Calibri"/>
          <w:b/>
          <w:color w:val="0284C7"/>
          <w:sz w:val="32"/>
        </w:rPr>
        <w:t>15. Existing Production Data Impact Assessment</w:t>
      </w:r>
    </w:p>
    <w:p>
      <w:pPr>
        <w:spacing w:before="40" w:after="120"/>
      </w:pPr>
      <w:r>
        <w:t xml:space="preserve">Before executing any schema update on production, perform an </w:t>
      </w:r>
      <w:r>
        <w:rPr>
          <w:b/>
        </w:rPr>
        <w:t>Impact Assessment</w:t>
      </w:r>
      <w:r>
        <w:t>:</w:t>
      </w:r>
    </w:p>
    <w:p>
      <w:pPr>
        <w:spacing w:before="40" w:after="120"/>
      </w:pPr>
      <w:r>
        <w:t xml:space="preserve">1. </w:t>
      </w:r>
      <w:r>
        <w:rPr>
          <w:b/>
        </w:rPr>
        <w:t>Record Count</w:t>
      </w:r>
      <w:r>
        <w:t>: Query total rows affected (</w:t>
      </w:r>
      <w:r>
        <w:rPr>
          <w:rFonts w:ascii="Consolas" w:hAnsi="Consolas"/>
          <w:color w:val="0284C7"/>
          <w:sz w:val="20"/>
        </w:rPr>
        <w:t>SELECT COUNT(*) FROM target_table</w:t>
      </w:r>
      <w:r>
        <w:t>).</w:t>
      </w:r>
    </w:p>
    <w:p>
      <w:pPr>
        <w:spacing w:before="40" w:after="120"/>
      </w:pPr>
      <w:r>
        <w:t xml:space="preserve">2. </w:t>
      </w:r>
      <w:r>
        <w:rPr>
          <w:b/>
        </w:rPr>
        <w:t>Dependent Tables</w:t>
      </w:r>
      <w:r>
        <w:t>: Search for foreign keys pointing to the table.</w:t>
      </w:r>
    </w:p>
    <w:p>
      <w:pPr>
        <w:spacing w:before="40" w:after="120"/>
      </w:pPr>
      <w:r>
        <w:t xml:space="preserve">3. </w:t>
      </w:r>
      <w:r>
        <w:rPr>
          <w:b/>
        </w:rPr>
        <w:t>API Dependency</w:t>
      </w:r>
      <w:r>
        <w:t>: Search codebase for queries selecting from the table.</w:t>
      </w:r>
    </w:p>
    <w:p>
      <w:pPr>
        <w:spacing w:before="40" w:after="120"/>
      </w:pPr>
      <w:r>
        <w:t xml:space="preserve">4. </w:t>
      </w:r>
      <w:r>
        <w:rPr>
          <w:b/>
        </w:rPr>
        <w:t>Data Backfill Plan</w:t>
      </w:r>
      <w:r>
        <w:t>: Ensure existing null values are populated with valid defaults.</w:t>
      </w:r>
    </w:p>
    <w:p>
      <w:pPr>
        <w:spacing w:before="40" w:after="120"/>
      </w:pPr>
      <w:r>
        <w:t xml:space="preserve">5. </w:t>
      </w:r>
      <w:r>
        <w:rPr>
          <w:b/>
        </w:rPr>
        <w:t>Rollback Plan</w:t>
      </w:r>
      <w:r>
        <w:t>: Verify that a database backup exists and rollback commands are ready.</w:t>
      </w:r>
    </w:p>
    <w:p>
      <w:pPr>
        <w:spacing w:before="40" w:after="120"/>
      </w:pPr>
      <w:r>
        <w:t>---</w:t>
      </w:r>
    </w:p>
    <w:p>
      <w:pPr>
        <w:spacing w:before="280" w:after="120"/>
      </w:pPr>
      <w:r>
        <w:rPr>
          <w:rFonts w:ascii="Calibri" w:hAnsi="Calibri"/>
          <w:b/>
          <w:color w:val="0284C7"/>
          <w:sz w:val="32"/>
        </w:rPr>
        <w:t>16. Automated Backup &amp; Rollback Recovery Procedure</w:t>
      </w:r>
    </w:p>
    <w:p>
      <w:pPr>
        <w:spacing w:before="40" w:after="120"/>
      </w:pPr>
      <w:r>
        <w:t>If a production deployment encounters a critical failure after database migration:</w:t>
      </w:r>
    </w:p>
    <w:p>
      <w:pPr>
        <w:spacing w:before="200" w:after="80"/>
      </w:pPr>
      <w:r>
        <w:rPr>
          <w:rFonts w:ascii="Calibri" w:hAnsi="Calibri"/>
          <w:b/>
          <w:color w:val="334155"/>
          <w:sz w:val="26"/>
        </w:rPr>
        <w:t>⏪ Emergency Rollback Steps:</w:t>
      </w:r>
    </w:p>
    <w:p>
      <w:pPr>
        <w:spacing w:before="40" w:after="120"/>
      </w:pPr>
      <w:r>
        <w:t xml:space="preserve">1. </w:t>
      </w:r>
      <w:r>
        <w:rPr>
          <w:b/>
        </w:rPr>
        <w:t>Stop Application Services</w:t>
      </w:r>
      <w:r>
        <w:t>:</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Pr>
          <w:p>
            <w:pPr>
              <w:spacing w:before="80" w:after="80"/>
            </w:pPr>
            <w:r>
              <w:rPr>
                <w:rFonts w:ascii="Consolas" w:hAnsi="Consolas"/>
                <w:color w:val="38BDF8"/>
                <w:sz w:val="19"/>
              </w:rPr>
              <w:t xml:space="preserve">   pm2 stop all</w:t>
              <w:br/>
            </w:r>
          </w:p>
        </w:tc>
      </w:tr>
    </w:tbl>
    <w:p>
      <w:pPr>
        <w:spacing w:after="120"/>
      </w:pPr>
    </w:p>
    <w:p>
      <w:pPr>
        <w:spacing w:before="40" w:after="120"/>
      </w:pPr>
      <w:r>
        <w:t xml:space="preserve">2. </w:t>
      </w:r>
      <w:r>
        <w:rPr>
          <w:b/>
        </w:rPr>
        <w:t>Locate Latest Verified Backup File</w:t>
      </w:r>
      <w:r>
        <w:t>:</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Pr>
          <w:p>
            <w:pPr>
              <w:spacing w:before="80" w:after="80"/>
            </w:pPr>
            <w:r>
              <w:rPr>
                <w:rFonts w:ascii="Consolas" w:hAnsi="Consolas"/>
                <w:color w:val="38BDF8"/>
                <w:sz w:val="19"/>
              </w:rPr>
              <w:t xml:space="preserve">   ls -la /root/LiveStock/backups/prod_backup_*.sql.gz | tail -n 1</w:t>
              <w:br/>
            </w:r>
          </w:p>
        </w:tc>
      </w:tr>
    </w:tbl>
    <w:p>
      <w:pPr>
        <w:spacing w:after="120"/>
      </w:pPr>
    </w:p>
    <w:p>
      <w:pPr>
        <w:spacing w:before="40" w:after="120"/>
      </w:pPr>
      <w:r>
        <w:t xml:space="preserve">3. </w:t>
      </w:r>
      <w:r>
        <w:rPr>
          <w:b/>
        </w:rPr>
        <w:t>Restore Production Database</w:t>
      </w:r>
      <w:r>
        <w:t>:</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Pr>
          <w:p>
            <w:pPr>
              <w:spacing w:before="80" w:after="80"/>
            </w:pPr>
            <w:r>
              <w:rPr>
                <w:rFonts w:ascii="Consolas" w:hAnsi="Consolas"/>
                <w:color w:val="38BDF8"/>
                <w:sz w:val="19"/>
              </w:rPr>
              <w:t xml:space="preserve">   gunzip -c /root/LiveStock/backups/prod_backup_YYYYMMDD_HHMMSS.sql.gz | psql -h 127.0.0.1 -U postgres -d livestock_db</w:t>
              <w:br/>
            </w:r>
          </w:p>
        </w:tc>
      </w:tr>
    </w:tbl>
    <w:p>
      <w:pPr>
        <w:spacing w:after="120"/>
      </w:pPr>
    </w:p>
    <w:p>
      <w:pPr>
        <w:spacing w:before="40" w:after="120"/>
      </w:pPr>
      <w:r>
        <w:t xml:space="preserve">4. </w:t>
      </w:r>
      <w:r>
        <w:rPr>
          <w:b/>
        </w:rPr>
        <w:t>Revert Application Code to Previous Stable Commit</w:t>
      </w:r>
      <w:r>
        <w:t>:</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Pr>
          <w:p>
            <w:pPr>
              <w:spacing w:before="80" w:after="80"/>
            </w:pPr>
            <w:r>
              <w:rPr>
                <w:rFonts w:ascii="Consolas" w:hAnsi="Consolas"/>
                <w:color w:val="38BDF8"/>
                <w:sz w:val="19"/>
              </w:rPr>
              <w:t xml:space="preserve">   git reset --hard HEAD~1</w:t>
              <w:br/>
            </w:r>
          </w:p>
        </w:tc>
      </w:tr>
    </w:tbl>
    <w:p>
      <w:pPr>
        <w:spacing w:after="120"/>
      </w:pPr>
    </w:p>
    <w:p>
      <w:pPr>
        <w:spacing w:before="40" w:after="120"/>
      </w:pPr>
      <w:r>
        <w:t xml:space="preserve">5. </w:t>
      </w:r>
      <w:r>
        <w:rPr>
          <w:b/>
        </w:rPr>
        <w:t>Rebuild &amp; Restart Services</w:t>
      </w:r>
      <w:r>
        <w:t>:</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Pr>
          <w:p>
            <w:pPr>
              <w:spacing w:before="80" w:after="80"/>
            </w:pPr>
            <w:r>
              <w:rPr>
                <w:rFonts w:ascii="Consolas" w:hAnsi="Consolas"/>
                <w:color w:val="38BDF8"/>
                <w:sz w:val="19"/>
              </w:rPr>
              <w:t xml:space="preserve">   NODE_OPTIONS="--max-old-space-size=2048" npm run build</w:t>
              <w:br/>
              <w:t xml:space="preserve">   pm2 start ecosystem.config.js --update-env</w:t>
              <w:br/>
            </w:r>
          </w:p>
        </w:tc>
      </w:tr>
    </w:tbl>
    <w:p>
      <w:pPr>
        <w:spacing w:after="120"/>
      </w:pPr>
    </w:p>
    <w:p>
      <w:pPr>
        <w:spacing w:before="40" w:after="120"/>
      </w:pPr>
      <w:r>
        <w:t>---</w:t>
      </w:r>
    </w:p>
    <w:p>
      <w:pPr>
        <w:spacing w:before="280" w:after="120"/>
      </w:pPr>
      <w:r>
        <w:rPr>
          <w:rFonts w:ascii="Calibri" w:hAnsi="Calibri"/>
          <w:b/>
          <w:color w:val="0284C7"/>
          <w:sz w:val="32"/>
        </w:rPr>
        <w:t>17. Documentation Maintenance Protocol</w:t>
      </w:r>
    </w:p>
    <w:p>
      <w:pPr>
        <w:spacing w:before="40" w:after="120"/>
      </w:pPr>
      <w:r>
        <w:t>This document must be updated whenever any of the following events occur:</w:t>
      </w:r>
    </w:p>
    <w:p>
      <w:pPr>
        <w:pStyle w:val="ListBullet"/>
        <w:spacing w:before="20" w:after="60"/>
      </w:pPr>
      <w:r>
        <w:t>Addition of new database tables or relationships.</w:t>
      </w:r>
    </w:p>
    <w:p>
      <w:pPr>
        <w:pStyle w:val="ListBullet"/>
        <w:spacing w:before="20" w:after="60"/>
      </w:pPr>
      <w:r>
        <w:t>Modifications to environment variable structures.</w:t>
      </w:r>
    </w:p>
    <w:p>
      <w:pPr>
        <w:pStyle w:val="ListBullet"/>
        <w:spacing w:before="20" w:after="60"/>
      </w:pPr>
      <w:r>
        <w:t>Architectural changes to Next.js or Express server APIs.</w:t>
      </w:r>
    </w:p>
    <w:p>
      <w:pPr>
        <w:pStyle w:val="ListBullet"/>
        <w:spacing w:before="20" w:after="60"/>
      </w:pPr>
      <w:r>
        <w:t>Updates to deployment pipelines or server infrastructure.</w:t>
      </w:r>
    </w:p>
    <w:p>
      <w:pPr>
        <w:spacing w:before="40" w:after="120"/>
      </w:pPr>
      <w:r>
        <w:t>---</w:t>
      </w:r>
    </w:p>
    <w:p>
      <w:pPr>
        <w:spacing w:before="280" w:after="120"/>
      </w:pPr>
      <w:r>
        <w:rPr>
          <w:rFonts w:ascii="Calibri" w:hAnsi="Calibri"/>
          <w:b/>
          <w:color w:val="0284C7"/>
          <w:sz w:val="32"/>
        </w:rPr>
        <w:t>18. Standard Change Record Template</w:t>
      </w:r>
    </w:p>
    <w:p>
      <w:pPr>
        <w:spacing w:before="40" w:after="120"/>
      </w:pPr>
      <w:r>
        <w:t>For all major production releases or schema migrations, record details in the format below:</w:t>
      </w:r>
    </w:p>
    <w:tbl>
      <w:tblPr>
        <w:tblW w:type="auto" w:w="0"/>
        <w:jc w:val="center"/>
        <w:tblLook w:firstColumn="1" w:firstRow="1" w:lastColumn="0" w:lastRow="0" w:noHBand="0" w:noVBand="1" w:val="04A0"/>
      </w:tblPr>
      <w:tblGrid>
        <w:gridCol w:w="9936"/>
      </w:tblGrid>
      <w:tr>
        <w:tc>
          <w:tcPr>
            <w:tcW w:type="dxa" w:w="9936"/>
            <w:shd w:fill="0F172A"/>
            <w:tcMar>
              <w:top w:w="100" w:type="dxa"/>
              <w:bottom w:w="100" w:type="dxa"/>
              <w:left w:w="150" w:type="dxa"/>
              <w:right w:w="150" w:type="dxa"/>
            </w:tcMar>
          </w:tcPr>
          <w:p>
            <w:pPr>
              <w:spacing w:before="80" w:after="80"/>
            </w:pPr>
            <w:r>
              <w:rPr>
                <w:rFonts w:ascii="Consolas" w:hAnsi="Consolas"/>
                <w:color w:val="38BDF8"/>
                <w:sz w:val="19"/>
              </w:rPr>
              <w:t>Change ID:            CR-20260815-01</w:t>
              <w:br/>
              <w:t>Feature / Description: Implement Access Control V2 and Environment Separation</w:t>
              <w:br/>
              <w:t>Developer / Author:    Lead Architect / Antigravity Agent</w:t>
              <w:br/>
              <w:t>Date:                 2026-08-15</w:t>
              <w:br/>
              <w:t>Application Version:  v0.1.0</w:t>
              <w:br/>
              <w:t>Database Migration:   safe-migrate.ts, add-level-type-to-user-levels.ts</w:t>
              <w:br/>
              <w:t>API Endpoints:        /api/v1/user-levels, /api/v1/permissions, /api/v1/roles</w:t>
              <w:br/>
              <w:t>Affected Modules:     User Management, Access Control, Stock Management</w:t>
              <w:br/>
              <w:t>Production Data:      70 cattle stock, 100 weight logs, 106 expenses preserved 100%</w:t>
              <w:br/>
              <w:t>Testing Status:       PASSED (Localhost &amp; Production Smoke Tests)</w:t>
              <w:br/>
              <w:t>Deployment Status:    SUCCESS (PM2 Services Active)</w:t>
              <w:br/>
              <w:t>Rollback Plan:        /root/LiveStock/backups/prod_backup_20260815_041858.sql.gz</w:t>
              <w:br/>
            </w:r>
          </w:p>
        </w:tc>
      </w:tr>
    </w:tbl>
    <w:p>
      <w:pPr>
        <w:spacing w:after="120"/>
      </w:pPr>
    </w:p>
    <w:p>
      <w:pPr>
        <w:spacing w:before="40" w:after="120"/>
      </w:pPr>
      <w:r>
        <w:t>---</w:t>
      </w:r>
    </w:p>
    <w:p>
      <w:pPr>
        <w:spacing w:before="280" w:after="120"/>
      </w:pPr>
      <w:r>
        <w:rPr>
          <w:rFonts w:ascii="Calibri" w:hAnsi="Calibri"/>
          <w:b/>
          <w:color w:val="0284C7"/>
          <w:sz w:val="32"/>
        </w:rPr>
        <w:t>19. Final Pre-Deployment Verification Checklist</w:t>
      </w:r>
    </w:p>
    <w:p>
      <w:pPr>
        <w:spacing w:before="40" w:after="120"/>
      </w:pPr>
      <w:r>
        <w:t>Before initiating production deployment, verify all 15 checklist items:</w:t>
      </w:r>
    </w:p>
    <w:p>
      <w:pPr>
        <w:pStyle w:val="ListBullet"/>
        <w:spacing w:before="20" w:after="60"/>
      </w:pPr>
      <w:r>
        <w:t xml:space="preserve">☒ </w:t>
      </w:r>
      <w:r>
        <w:rPr>
          <w:b/>
        </w:rPr>
        <w:t>1. DB Isolation</w:t>
      </w:r>
      <w:r>
        <w:t>: Development (</w:t>
      </w:r>
      <w:r>
        <w:rPr>
          <w:rFonts w:ascii="Consolas" w:hAnsi="Consolas"/>
          <w:color w:val="0284C7"/>
          <w:sz w:val="20"/>
        </w:rPr>
        <w:t>kaksedthan_herdbook</w:t>
      </w:r>
      <w:r>
        <w:t>) and Production (</w:t>
      </w:r>
      <w:r>
        <w:rPr>
          <w:rFonts w:ascii="Consolas" w:hAnsi="Consolas"/>
          <w:color w:val="0284C7"/>
          <w:sz w:val="20"/>
        </w:rPr>
        <w:t>livestock_db</w:t>
      </w:r>
      <w:r>
        <w:t>) are separate.</w:t>
      </w:r>
    </w:p>
    <w:p>
      <w:pPr>
        <w:pStyle w:val="ListBullet"/>
        <w:spacing w:before="20" w:after="60"/>
      </w:pPr>
      <w:r>
        <w:t xml:space="preserve">☒ </w:t>
      </w:r>
      <w:r>
        <w:rPr>
          <w:b/>
        </w:rPr>
        <w:t>2. Env Isolation</w:t>
      </w:r>
      <w:r>
        <w:t xml:space="preserve">: Localhost uses </w:t>
      </w:r>
      <w:r>
        <w:rPr>
          <w:rFonts w:ascii="Consolas" w:hAnsi="Consolas"/>
          <w:color w:val="0284C7"/>
          <w:sz w:val="20"/>
        </w:rPr>
        <w:t>.env.development</w:t>
      </w:r>
      <w:r>
        <w:t xml:space="preserve">; Production uses </w:t>
      </w:r>
      <w:r>
        <w:rPr>
          <w:rFonts w:ascii="Consolas" w:hAnsi="Consolas"/>
          <w:color w:val="0284C7"/>
          <w:sz w:val="20"/>
        </w:rPr>
        <w:t>.env.production</w:t>
      </w:r>
      <w:r>
        <w:t>.</w:t>
      </w:r>
    </w:p>
    <w:p>
      <w:pPr>
        <w:pStyle w:val="ListBullet"/>
        <w:spacing w:before="20" w:after="60"/>
      </w:pPr>
      <w:r>
        <w:t xml:space="preserve">☒ </w:t>
      </w:r>
      <w:r>
        <w:rPr>
          <w:b/>
        </w:rPr>
        <w:t>3. URL Verification</w:t>
      </w:r>
      <w:r>
        <w:t xml:space="preserve">: No </w:t>
      </w:r>
      <w:r>
        <w:rPr>
          <w:rFonts w:ascii="Consolas" w:hAnsi="Consolas"/>
          <w:color w:val="0284C7"/>
          <w:sz w:val="20"/>
        </w:rPr>
        <w:t>localhost:5001</w:t>
      </w:r>
      <w:r>
        <w:t xml:space="preserve"> or </w:t>
      </w:r>
      <w:r>
        <w:rPr>
          <w:rFonts w:ascii="Consolas" w:hAnsi="Consolas"/>
          <w:color w:val="0284C7"/>
          <w:sz w:val="20"/>
        </w:rPr>
        <w:t>127.0.0.1</w:t>
      </w:r>
      <w:r>
        <w:t xml:space="preserve"> hardcoded in production frontend builds.</w:t>
      </w:r>
    </w:p>
    <w:p>
      <w:pPr>
        <w:pStyle w:val="ListBullet"/>
        <w:spacing w:before="20" w:after="60"/>
      </w:pPr>
      <w:r>
        <w:t xml:space="preserve">☒ </w:t>
      </w:r>
      <w:r>
        <w:rPr>
          <w:b/>
        </w:rPr>
        <w:t>4. Secret Security</w:t>
      </w:r>
      <w:r>
        <w:t>: No production passwords or tokens committed to Git repository.</w:t>
      </w:r>
    </w:p>
    <w:p>
      <w:pPr>
        <w:pStyle w:val="ListBullet"/>
        <w:spacing w:before="20" w:after="60"/>
      </w:pPr>
      <w:r>
        <w:t xml:space="preserve">☒ </w:t>
      </w:r>
      <w:r>
        <w:rPr>
          <w:b/>
        </w:rPr>
        <w:t>5. No Data Leakage</w:t>
      </w:r>
      <w:r>
        <w:t>: Development mock/sample records excluded from production build.</w:t>
      </w:r>
    </w:p>
    <w:p>
      <w:pPr>
        <w:pStyle w:val="ListBullet"/>
        <w:spacing w:before="20" w:after="60"/>
      </w:pPr>
      <w:r>
        <w:t xml:space="preserve">☒ </w:t>
      </w:r>
      <w:r>
        <w:rPr>
          <w:b/>
        </w:rPr>
        <w:t>6. DDL Migrations</w:t>
      </w:r>
      <w:r>
        <w:t xml:space="preserve">: Database structural changes have dedicated migration files in </w:t>
      </w:r>
      <w:r>
        <w:rPr>
          <w:rFonts w:ascii="Consolas" w:hAnsi="Consolas"/>
          <w:color w:val="0284C7"/>
          <w:sz w:val="20"/>
        </w:rPr>
        <w:t>src/db/migrations/</w:t>
      </w:r>
      <w:r>
        <w:t>.</w:t>
      </w:r>
    </w:p>
    <w:p>
      <w:pPr>
        <w:pStyle w:val="ListBullet"/>
        <w:spacing w:before="20" w:after="60"/>
      </w:pPr>
      <w:r>
        <w:t xml:space="preserve">☒ </w:t>
      </w:r>
      <w:r>
        <w:rPr>
          <w:b/>
        </w:rPr>
        <w:t>7. Migration Testing</w:t>
      </w:r>
      <w:r>
        <w:t>: Migration scripts tested and verified against local database.</w:t>
      </w:r>
    </w:p>
    <w:p>
      <w:pPr>
        <w:pStyle w:val="ListBullet"/>
        <w:spacing w:before="20" w:after="60"/>
      </w:pPr>
      <w:r>
        <w:t xml:space="preserve">☒ </w:t>
      </w:r>
      <w:r>
        <w:rPr>
          <w:b/>
        </w:rPr>
        <w:t>8. Impact Assessment</w:t>
      </w:r>
      <w:r>
        <w:t>: Production data impact reviewed for affected tables.</w:t>
      </w:r>
    </w:p>
    <w:p>
      <w:pPr>
        <w:pStyle w:val="ListBullet"/>
        <w:spacing w:before="20" w:after="60"/>
      </w:pPr>
      <w:r>
        <w:t xml:space="preserve">☒ </w:t>
      </w:r>
      <w:r>
        <w:rPr>
          <w:b/>
        </w:rPr>
        <w:t>9. Automated Backup</w:t>
      </w:r>
      <w:r>
        <w:t xml:space="preserve">: Pre-deployment backup script configured in </w:t>
      </w:r>
      <w:r>
        <w:rPr>
          <w:rFonts w:ascii="Consolas" w:hAnsi="Consolas"/>
          <w:color w:val="0284C7"/>
          <w:sz w:val="20"/>
        </w:rPr>
        <w:t>deployment/production/backup.sh</w:t>
      </w:r>
      <w:r>
        <w:t>.</w:t>
      </w:r>
    </w:p>
    <w:p>
      <w:pPr>
        <w:pStyle w:val="ListBullet"/>
        <w:spacing w:before="20" w:after="60"/>
      </w:pPr>
      <w:r>
        <w:t xml:space="preserve">☒ </w:t>
      </w:r>
      <w:r>
        <w:rPr>
          <w:b/>
        </w:rPr>
        <w:t>10. Backup Verification</w:t>
      </w:r>
      <w:r>
        <w:t>: Backup script verifies output file size before allowing migrations.</w:t>
      </w:r>
    </w:p>
    <w:p>
      <w:pPr>
        <w:pStyle w:val="ListBullet"/>
        <w:spacing w:before="20" w:after="60"/>
      </w:pPr>
      <w:r>
        <w:t xml:space="preserve">☒ </w:t>
      </w:r>
      <w:r>
        <w:rPr>
          <w:b/>
        </w:rPr>
        <w:t>11. Schema Compatibility</w:t>
      </w:r>
      <w:r>
        <w:t>: Application code and database schema versions verified for compatibility.</w:t>
      </w:r>
    </w:p>
    <w:p>
      <w:pPr>
        <w:pStyle w:val="ListBullet"/>
        <w:spacing w:before="20" w:after="60"/>
      </w:pPr>
      <w:r>
        <w:t xml:space="preserve">☒ </w:t>
      </w:r>
      <w:r>
        <w:rPr>
          <w:b/>
        </w:rPr>
        <w:t>12. API Testing</w:t>
      </w:r>
      <w:r>
        <w:t>: All REST endpoints and server actions tested.</w:t>
      </w:r>
    </w:p>
    <w:p>
      <w:pPr>
        <w:pStyle w:val="ListBullet"/>
        <w:spacing w:before="20" w:after="60"/>
      </w:pPr>
      <w:r>
        <w:t xml:space="preserve">☒ </w:t>
      </w:r>
      <w:r>
        <w:rPr>
          <w:b/>
        </w:rPr>
        <w:t>13. UI Testing</w:t>
      </w:r>
      <w:r>
        <w:t>: Frontend forms, tables, detail views, and empty states tested.</w:t>
      </w:r>
    </w:p>
    <w:p>
      <w:pPr>
        <w:pStyle w:val="ListBullet"/>
        <w:spacing w:before="20" w:after="60"/>
      </w:pPr>
      <w:r>
        <w:t xml:space="preserve">☒ </w:t>
      </w:r>
      <w:r>
        <w:rPr>
          <w:b/>
        </w:rPr>
        <w:t>14. Rollback Recovery</w:t>
      </w:r>
      <w:r>
        <w:t>: Automated rollback procedure documented and verified.</w:t>
      </w:r>
    </w:p>
    <w:p>
      <w:pPr>
        <w:pStyle w:val="ListBullet"/>
        <w:spacing w:before="20" w:after="60"/>
      </w:pPr>
      <w:r>
        <w:t xml:space="preserve">☒ </w:t>
      </w:r>
      <w:r>
        <w:rPr>
          <w:b/>
        </w:rPr>
        <w:t>15. Smoke Test</w:t>
      </w:r>
      <w:r>
        <w:t>: HTTP 200 OK verified on live application URL (</w:t>
      </w:r>
      <w:r>
        <w:rPr>
          <w:rFonts w:ascii="Consolas" w:hAnsi="Consolas"/>
          <w:color w:val="0284C7"/>
          <w:sz w:val="20"/>
        </w:rPr>
        <w:t>https://livestock.kaksedthan.com</w:t>
      </w:r>
      <w:r>
        <w:t>).</w:t>
      </w:r>
    </w:p>
    <w:p>
      <w:pPr>
        <w:spacing w:before="40" w:after="120"/>
      </w:pPr>
      <w:r>
        <w:t>---</w:t>
      </w:r>
    </w:p>
    <w:p>
      <w:pPr>
        <w:spacing w:before="280" w:after="120"/>
      </w:pPr>
      <w:r>
        <w:rPr>
          <w:rFonts w:ascii="Calibri" w:hAnsi="Calibri"/>
          <w:b/>
          <w:color w:val="0284C7"/>
          <w:sz w:val="32"/>
        </w:rPr>
        <w:t>20. Mandatory Instructions for Future AI Coding Agents</w:t>
      </w:r>
    </w:p>
    <w:tbl>
      <w:tblPr>
        <w:tblW w:type="auto" w:w="0"/>
        <w:jc w:val="center"/>
        <w:tblLook w:firstColumn="1" w:firstRow="1" w:lastColumn="0" w:lastRow="0" w:noHBand="0" w:noVBand="1" w:val="04A0"/>
      </w:tblPr>
      <w:tblGrid>
        <w:gridCol w:w="9936"/>
      </w:tblGrid>
      <w:tr>
        <w:tc>
          <w:tcPr>
            <w:tcW w:type="dxa" w:w="9936"/>
            <w:shd w:fill="F0F9FF"/>
            <w:tcMar>
              <w:top w:w="120" w:type="dxa"/>
              <w:bottom w:w="120" w:type="dxa"/>
              <w:left w:w="200" w:type="dxa"/>
              <w:right w:w="200" w:type="dxa"/>
            </w:tcMar>
            <w:tcBorders>
              <w:left w:val="single" w:sz="24" w:space="0" w:color="0284C7"/>
              <w:top w:val="none"/>
              <w:right w:val="none"/>
              <w:bottom w:val="none"/>
            </w:tcBorders>
          </w:tcPr>
          <w:p>
            <w:pPr>
              <w:spacing w:before="80" w:after="80"/>
            </w:pPr>
            <w:r>
              <w:rPr>
                <w:rFonts w:ascii="Calibri" w:hAnsi="Calibri"/>
                <w:sz w:val="21"/>
              </w:rPr>
              <w:t>**READ BEFORE GENERATING OR MODIFYING CODE:** Any AI agent working on this codebase MUST read this document (`OFFICIAL_DEVELOPMENT_AND_DEPLOYMENT_GUIDE.md`) before creating files or altering code.</w:t>
            </w:r>
          </w:p>
        </w:tc>
      </w:tr>
    </w:tbl>
    <w:p>
      <w:pPr>
        <w:spacing w:after="120"/>
      </w:pPr>
    </w:p>
    <w:p>
      <w:pPr>
        <w:spacing w:before="200" w:after="80"/>
      </w:pPr>
      <w:r>
        <w:rPr>
          <w:rFonts w:ascii="Calibri" w:hAnsi="Calibri"/>
          <w:b/>
          <w:color w:val="334155"/>
          <w:sz w:val="26"/>
        </w:rPr>
        <w:t>Rules for AI Agents:</w:t>
      </w:r>
    </w:p>
    <w:p>
      <w:pPr>
        <w:spacing w:before="40" w:after="120"/>
      </w:pPr>
      <w:r>
        <w:t xml:space="preserve">1. </w:t>
      </w:r>
      <w:r>
        <w:rPr>
          <w:b/>
        </w:rPr>
        <w:t>Analyze Existing Architecture First</w:t>
      </w:r>
      <w:r>
        <w:t xml:space="preserve">: Never invent duplicate tables, duplicate APIs, or conflicting data structures. Inspect </w:t>
      </w:r>
      <w:r>
        <w:rPr>
          <w:rFonts w:ascii="Consolas" w:hAnsi="Consolas"/>
          <w:color w:val="0284C7"/>
          <w:sz w:val="20"/>
        </w:rPr>
        <w:t>src/db/migrations/</w:t>
      </w:r>
      <w:r>
        <w:t xml:space="preserve"> and </w:t>
      </w:r>
      <w:r>
        <w:rPr>
          <w:rFonts w:ascii="Consolas" w:hAnsi="Consolas"/>
          <w:color w:val="0284C7"/>
          <w:sz w:val="20"/>
        </w:rPr>
        <w:t>src/repositories/</w:t>
      </w:r>
      <w:r>
        <w:t xml:space="preserve"> first.</w:t>
      </w:r>
    </w:p>
    <w:p>
      <w:pPr>
        <w:spacing w:before="40" w:after="120"/>
      </w:pPr>
      <w:r>
        <w:t xml:space="preserve">2. </w:t>
      </w:r>
      <w:r>
        <w:rPr>
          <w:b/>
        </w:rPr>
        <w:t>Never Hardcode Mock Business Data</w:t>
      </w:r>
      <w:r>
        <w:t>: Never return hardcoded arrays of cattle, farms, or customers in production code paths. Always query the database through the API layer.</w:t>
      </w:r>
    </w:p>
    <w:p>
      <w:pPr>
        <w:spacing w:before="40" w:after="120"/>
      </w:pPr>
      <w:r>
        <w:t xml:space="preserve">3. </w:t>
      </w:r>
      <w:r>
        <w:rPr>
          <w:b/>
        </w:rPr>
        <w:t>Never Bypass Migrations</w:t>
      </w:r>
      <w:r>
        <w:t xml:space="preserve">: Never modify database schema directly or create ad-hoc SQL files outside </w:t>
      </w:r>
      <w:r>
        <w:rPr>
          <w:rFonts w:ascii="Consolas" w:hAnsi="Consolas"/>
          <w:color w:val="0284C7"/>
          <w:sz w:val="20"/>
        </w:rPr>
        <w:t>src/db/migrations/</w:t>
      </w:r>
      <w:r>
        <w:t>.</w:t>
      </w:r>
    </w:p>
    <w:p>
      <w:pPr>
        <w:spacing w:before="40" w:after="120"/>
      </w:pPr>
      <w:r>
        <w:t xml:space="preserve">4. </w:t>
      </w:r>
      <w:r>
        <w:rPr>
          <w:b/>
        </w:rPr>
        <w:t>Never Overwrite Production Records</w:t>
      </w:r>
      <w:r>
        <w:t>: Always use safe non-destructive queries (</w:t>
      </w:r>
      <w:r>
        <w:rPr>
          <w:rFonts w:ascii="Consolas" w:hAnsi="Consolas"/>
          <w:color w:val="0284C7"/>
          <w:sz w:val="20"/>
        </w:rPr>
        <w:t>IF NOT EXISTS</w:t>
      </w:r>
      <w:r>
        <w:t xml:space="preserve">, </w:t>
      </w:r>
      <w:r>
        <w:rPr>
          <w:rFonts w:ascii="Consolas" w:hAnsi="Consolas"/>
          <w:color w:val="0284C7"/>
          <w:sz w:val="20"/>
        </w:rPr>
        <w:t>ON CONFLICT DO UPDATE</w:t>
      </w:r>
      <w:r>
        <w:t>).</w:t>
      </w:r>
    </w:p>
    <w:p>
      <w:pPr>
        <w:spacing w:before="40" w:after="120"/>
      </w:pPr>
      <w:r>
        <w:t xml:space="preserve">5. </w:t>
      </w:r>
      <w:r>
        <w:rPr>
          <w:b/>
        </w:rPr>
        <w:t>Never Assume DB is Empty</w:t>
      </w:r>
      <w:r>
        <w:t>: Always design migrations to support existing production records.</w:t>
      </w:r>
    </w:p>
    <w:p>
      <w:pPr>
        <w:spacing w:before="40" w:after="120"/>
      </w:pPr>
      <w:r>
        <w:t xml:space="preserve">6. </w:t>
      </w:r>
      <w:r>
        <w:rPr>
          <w:b/>
        </w:rPr>
        <w:t>Follow 7-Step AI Workflow</w:t>
      </w:r>
      <w:r>
        <w:t>:</w:t>
      </w:r>
    </w:p>
    <w:p>
      <w:pPr>
        <w:spacing w:before="40" w:after="120"/>
      </w:pPr>
      <w:r/>
      <w:r>
        <w:rPr>
          <w:rFonts w:ascii="Cambria Math" w:hAnsi="Cambria Math"/>
          <w:i/>
        </w:rPr>
        <w:t>\text{Architecture Inspection} \rightarrow \text{Impact Analysis} \rightarrow \text{Code Implementation} \rightarrow \text{DDL Migration} \rightarrow \text{Local Testing} \rightarrow \text{Documentation Update} \rightarrow \text{Deployment}</w:t>
      </w: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4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