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Plan de Marketing Digital con Google 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Portada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**Plan de Marketing Digital para Optimización de Ventas**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Estrategia de Marketing Digital utilizando Google 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 elaboración: Diciembre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[Nombre de la Empresa]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Índice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Análisis de Situación Actual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Objetivos de Marketing Digital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Estrategia de Embudo de Ventas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Implementación de Google Ads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Métricas y KPIs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Presupuesto y Inversión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Cronograma de Implementación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Bibliografía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1. Introducción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presente plan de marketing digital tiene como objetivo principal desarrollar una estrategia integral de captación y conversión de clientes utilizando la plataforma Google Ads, aprovechando sus herramientas de segmentación y análisis para maximizar el retorno de inversión publicitaria.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2. Análisis de Situación Actual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2.1 Análisis del Mercado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Identificación del público objetivo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Estudio de competidores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Tendencias del sector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2.2 Diagnóstico Inicial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Canales digitales actuales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Nivel de presencia online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Oportunidades de mejora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3. Objetivos de Marketing Digital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Objetivos Generales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Incrementar visibilidad de marca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Aumentar tráfico web cualificado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Mejorar tasa de conversión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Objetivos Específicos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Reducir costo por adquisición de cliente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Aumentar reconocimiento de marca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Generar leads de alta calidad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4. Estrategia de Embudo de Ventas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4.1 Etapa de Atracción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Campañas de search ads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Anuncios display para generación de awareness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Contenido de valor en landing pages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4.2 Etapa de Consideración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Remarketing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Anuncios segmentados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Campañas de contenido educativo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Uso de extensiones de anuncios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4.3 Etapa de Conversión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Anuncios de búsqueda de alta intención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Optimización de landing pages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Oferta de valor diferencial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Llamados a la acción claros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4.4 Etapa de Retención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Campañas de fidelización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Ofertas exclusivas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Seguimiento personalizado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5. Implementación de Google Ads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Configuración de Campañas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Definición de palabras clave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Configuración de segmentación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Estructuración de grupos de anuncios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Diseño de creatividades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Tipos de Campañas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Búsqueda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Display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Remarketing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Shopping (si aplica)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Video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6. Métricas y KPIs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Tabla de Métricas Principales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Métrica | Objetivo | Valor Esperado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|---------|----------|----------------|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CTR (Click Through Rate) | &gt; 2% | 2.5%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Tasa de Conversión | &gt; 3% | 4%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Costo por Clic (CPC) | Reducir | $1.50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Retorno de Inversión (ROAS) | Incrementar | 400%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Calidad de Leads | Mejorar | 70%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 7. Presupuesto y Inversión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Presupuesto mensual para Google Ads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Distribución por tipo de campaña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Proyección de inversión vs retorno esperado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8. Cronograma de Implementación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Mes | Actividad Principal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|-----|---------------------|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Mes 1 | Configuración inicial y investigación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Mes 2 | Lanzamiento de campañas principales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Mes 3 | Optimización y ajuste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Mes 4-6 | Escalamiento y refinamiento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9. Bibliografía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Google Ads Official Guide (2024)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Avinash Kaushik, "Digital Marketing Analytics" (2023)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Brad Geddes, "Advanced Google AdWords" (2022)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WordStream Digital Marketing Resources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Search Engine Journal - Google Ads Estrategias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**Nota Final:** Este plan requiere monitoreo constante y ajustes según rendimiento.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