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95" w:rsidRPr="002F55FD" w:rsidRDefault="007837E0" w:rsidP="00244A9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Flu shots have / have no side effects</w:t>
      </w:r>
    </w:p>
    <w:p w:rsidR="007837E0" w:rsidRPr="007837E0" w:rsidRDefault="007837E0" w:rsidP="007837E0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7837E0">
        <w:rPr>
          <w:color w:val="212121"/>
          <w:sz w:val="28"/>
          <w:lang w:val="en-US"/>
        </w:rPr>
        <w:t xml:space="preserve">Safety, </w:t>
      </w:r>
      <w:proofErr w:type="spellStart"/>
      <w:r w:rsidRPr="007837E0">
        <w:rPr>
          <w:color w:val="212121"/>
          <w:sz w:val="28"/>
          <w:lang w:val="en-US"/>
        </w:rPr>
        <w:t>Reactogenicity</w:t>
      </w:r>
      <w:proofErr w:type="spellEnd"/>
      <w:r w:rsidRPr="007837E0">
        <w:rPr>
          <w:color w:val="212121"/>
          <w:sz w:val="28"/>
          <w:lang w:val="en-US"/>
        </w:rPr>
        <w:t xml:space="preserve">, and Health-Related Quality of Life After Trivalent </w:t>
      </w:r>
      <w:proofErr w:type="spellStart"/>
      <w:r w:rsidRPr="007837E0">
        <w:rPr>
          <w:color w:val="212121"/>
          <w:sz w:val="28"/>
          <w:lang w:val="en-US"/>
        </w:rPr>
        <w:t>Adjuvanted</w:t>
      </w:r>
      <w:proofErr w:type="spellEnd"/>
      <w:r w:rsidRPr="007837E0">
        <w:rPr>
          <w:color w:val="212121"/>
          <w:sz w:val="28"/>
          <w:lang w:val="en-US"/>
        </w:rPr>
        <w:t xml:space="preserve"> vs Trivalent High-Dose Inactivated Influenza Vaccines in Older Adu</w:t>
      </w:r>
      <w:r w:rsidR="00222B18">
        <w:rPr>
          <w:color w:val="212121"/>
          <w:sz w:val="28"/>
          <w:lang w:val="en-US"/>
        </w:rPr>
        <w:t>lts: A Randomized Clinical Trial</w:t>
      </w:r>
    </w:p>
    <w:p w:rsidR="00222B18" w:rsidRDefault="00222B18" w:rsidP="00244A95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D25DA0" wp14:editId="61183002">
            <wp:extent cx="5940425" cy="372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18" w:rsidRDefault="00222B18" w:rsidP="00244A95">
      <w:pPr>
        <w:spacing w:before="240"/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E45FBB">
          <w:rPr>
            <w:rStyle w:val="a3"/>
            <w:rFonts w:ascii="Times New Roman" w:hAnsi="Times New Roman" w:cs="Times New Roman"/>
            <w:sz w:val="28"/>
            <w:lang w:val="en-US"/>
          </w:rPr>
          <w:t>https://clinicaltrials.gov/ct2/show/results/NCT03183908</w:t>
        </w:r>
      </w:hyperlink>
    </w:p>
    <w:p w:rsidR="00222B18" w:rsidRPr="002F55FD" w:rsidRDefault="00222B18" w:rsidP="00222B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E05FCE" w:rsidRDefault="00E05FCE" w:rsidP="00E05FCE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E05FCE">
        <w:rPr>
          <w:color w:val="212121"/>
          <w:sz w:val="28"/>
          <w:lang w:val="en-US"/>
        </w:rPr>
        <w:lastRenderedPageBreak/>
        <w:t xml:space="preserve">A phase II study of an investigational tetravalent influenza vaccine formulation combining MF59®: </w:t>
      </w:r>
      <w:proofErr w:type="spellStart"/>
      <w:r w:rsidRPr="00E05FCE">
        <w:rPr>
          <w:color w:val="212121"/>
          <w:sz w:val="28"/>
          <w:lang w:val="en-US"/>
        </w:rPr>
        <w:t>adjuvanted</w:t>
      </w:r>
      <w:proofErr w:type="spellEnd"/>
      <w:r w:rsidRPr="00E05FCE">
        <w:rPr>
          <w:color w:val="212121"/>
          <w:sz w:val="28"/>
          <w:lang w:val="en-US"/>
        </w:rPr>
        <w:t>, pre-pandemic, A/H5N1 vaccine and trivalent seasonal influenza vaccine in healthy adults</w:t>
      </w:r>
    </w:p>
    <w:p w:rsidR="00E05FCE" w:rsidRDefault="00E05FCE" w:rsidP="00E05FCE">
      <w:pPr>
        <w:pStyle w:val="1"/>
        <w:shd w:val="clear" w:color="auto" w:fill="FFFFFF"/>
        <w:rPr>
          <w:b w:val="0"/>
          <w:color w:val="212121"/>
          <w:sz w:val="28"/>
          <w:lang w:val="en-US"/>
        </w:rPr>
      </w:pPr>
      <w:r>
        <w:rPr>
          <w:b w:val="0"/>
          <w:color w:val="212121"/>
          <w:sz w:val="28"/>
          <w:lang w:val="en-US"/>
        </w:rPr>
        <w:t>There is a list of side effects which can be caused by flu shots.</w:t>
      </w:r>
    </w:p>
    <w:p w:rsidR="00E05FCE" w:rsidRPr="00E05FCE" w:rsidRDefault="00E05FCE" w:rsidP="00E05FCE">
      <w:pPr>
        <w:pStyle w:val="1"/>
        <w:shd w:val="clear" w:color="auto" w:fill="FFFFFF"/>
        <w:rPr>
          <w:b w:val="0"/>
          <w:color w:val="212121"/>
          <w:sz w:val="28"/>
          <w:lang w:val="en-US"/>
        </w:rPr>
      </w:pPr>
      <w:r>
        <w:rPr>
          <w:noProof/>
        </w:rPr>
        <w:drawing>
          <wp:inline distT="0" distB="0" distL="0" distR="0" wp14:anchorId="13A0DD81" wp14:editId="5CF8E502">
            <wp:extent cx="5940425" cy="3211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79" w:rsidRPr="00E05FCE" w:rsidRDefault="00E05FCE" w:rsidP="00244A95">
      <w:pPr>
        <w:spacing w:before="240"/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E05FCE">
          <w:rPr>
            <w:rStyle w:val="a3"/>
            <w:rFonts w:ascii="Times New Roman" w:hAnsi="Times New Roman" w:cs="Times New Roman"/>
            <w:sz w:val="28"/>
            <w:lang w:val="en-US"/>
          </w:rPr>
          <w:t>https://clinicaltrials.gov/ct2/show/results/</w:t>
        </w:r>
        <w:r w:rsidRPr="00E05FCE">
          <w:rPr>
            <w:rStyle w:val="a3"/>
            <w:rFonts w:ascii="Times New Roman" w:hAnsi="Times New Roman" w:cs="Times New Roman"/>
            <w:sz w:val="28"/>
            <w:lang w:val="en-US"/>
          </w:rPr>
          <w:t>N</w:t>
        </w:r>
        <w:r w:rsidRPr="00E05FCE">
          <w:rPr>
            <w:rStyle w:val="a3"/>
            <w:rFonts w:ascii="Times New Roman" w:hAnsi="Times New Roman" w:cs="Times New Roman"/>
            <w:sz w:val="28"/>
            <w:lang w:val="en-US"/>
          </w:rPr>
          <w:t>CT00620815</w:t>
        </w:r>
      </w:hyperlink>
    </w:p>
    <w:p w:rsidR="00E05FCE" w:rsidRPr="00E05FCE" w:rsidRDefault="00222B18" w:rsidP="00222B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E05FCE" w:rsidRDefault="00E05FCE" w:rsidP="00E05FCE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E05FCE">
        <w:rPr>
          <w:color w:val="212121"/>
          <w:sz w:val="28"/>
          <w:lang w:val="en-US"/>
        </w:rPr>
        <w:lastRenderedPageBreak/>
        <w:t>Safety and immunogenicity of inactivated monovalent influenza A/H1N1 vaccine candidate manufactured in Vietnam</w:t>
      </w:r>
    </w:p>
    <w:p w:rsidR="00E05FCE" w:rsidRDefault="00E05FCE" w:rsidP="00E05FCE">
      <w:pPr>
        <w:pStyle w:val="1"/>
        <w:shd w:val="clear" w:color="auto" w:fill="FFFFFF"/>
        <w:rPr>
          <w:b w:val="0"/>
          <w:color w:val="212121"/>
          <w:sz w:val="28"/>
          <w:lang w:val="en-US"/>
        </w:rPr>
      </w:pPr>
      <w:r>
        <w:rPr>
          <w:b w:val="0"/>
          <w:color w:val="212121"/>
          <w:sz w:val="28"/>
          <w:lang w:val="en-US"/>
        </w:rPr>
        <w:t>There is a small list of side effects:</w:t>
      </w:r>
    </w:p>
    <w:p w:rsidR="00E05FCE" w:rsidRPr="00E05FCE" w:rsidRDefault="00E05FCE" w:rsidP="00E05FCE">
      <w:pPr>
        <w:pStyle w:val="1"/>
        <w:shd w:val="clear" w:color="auto" w:fill="FFFFFF"/>
        <w:rPr>
          <w:b w:val="0"/>
          <w:color w:val="212121"/>
          <w:sz w:val="28"/>
          <w:lang w:val="en-US"/>
        </w:rPr>
      </w:pPr>
      <w:r>
        <w:rPr>
          <w:noProof/>
        </w:rPr>
        <w:drawing>
          <wp:inline distT="0" distB="0" distL="0" distR="0" wp14:anchorId="4EC59C57" wp14:editId="4333B13C">
            <wp:extent cx="5940425" cy="4575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FD" w:rsidRPr="00E05FCE" w:rsidRDefault="00E05FCE" w:rsidP="00244A95">
      <w:pPr>
        <w:spacing w:before="240"/>
        <w:rPr>
          <w:rFonts w:ascii="Times New Roman" w:hAnsi="Times New Roman" w:cs="Times New Roman"/>
          <w:sz w:val="28"/>
          <w:lang w:val="en-US"/>
        </w:rPr>
      </w:pPr>
      <w:hyperlink r:id="rId10" w:history="1">
        <w:r w:rsidRPr="00E05FCE">
          <w:rPr>
            <w:rStyle w:val="a3"/>
            <w:rFonts w:ascii="Times New Roman" w:hAnsi="Times New Roman" w:cs="Times New Roman"/>
            <w:sz w:val="28"/>
            <w:lang w:val="en-US"/>
          </w:rPr>
          <w:t>https://clinicaltrials.gov/ct2/show/results/NCT01507779</w:t>
        </w:r>
      </w:hyperlink>
    </w:p>
    <w:p w:rsidR="00E05FCE" w:rsidRPr="00E05FCE" w:rsidRDefault="00222B18" w:rsidP="00222B18">
      <w:pPr>
        <w:rPr>
          <w:rStyle w:val="authors-list-item"/>
          <w:rFonts w:ascii="Times New Roman" w:hAnsi="Times New Roman" w:cs="Times New Roman"/>
          <w:sz w:val="28"/>
          <w:lang w:val="en-US"/>
        </w:rPr>
      </w:pPr>
      <w:r>
        <w:rPr>
          <w:rStyle w:val="authors-list-item"/>
          <w:rFonts w:ascii="Times New Roman" w:hAnsi="Times New Roman" w:cs="Times New Roman"/>
          <w:sz w:val="28"/>
          <w:lang w:val="en-US"/>
        </w:rPr>
        <w:br w:type="page"/>
      </w:r>
    </w:p>
    <w:p w:rsidR="00222B18" w:rsidRDefault="00222B18" w:rsidP="00222B18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222B18">
        <w:rPr>
          <w:color w:val="212121"/>
          <w:sz w:val="28"/>
          <w:lang w:val="en-US"/>
        </w:rPr>
        <w:lastRenderedPageBreak/>
        <w:t>A randomized, controlled non-inferiority trial comparing A(H1N</w:t>
      </w:r>
      <w:proofErr w:type="gramStart"/>
      <w:r w:rsidRPr="00222B18">
        <w:rPr>
          <w:color w:val="212121"/>
          <w:sz w:val="28"/>
          <w:lang w:val="en-US"/>
        </w:rPr>
        <w:t>1)pmd</w:t>
      </w:r>
      <w:proofErr w:type="gramEnd"/>
      <w:r w:rsidRPr="00222B18">
        <w:rPr>
          <w:color w:val="212121"/>
          <w:sz w:val="28"/>
          <w:lang w:val="en-US"/>
        </w:rPr>
        <w:t>09 vaccine antigen, with and without AS03 adjuvant system, co-administered or sequentially administered with an inactivated trivalent seasonal influenza vaccine</w:t>
      </w:r>
    </w:p>
    <w:p w:rsidR="00222B18" w:rsidRPr="00222B18" w:rsidRDefault="00222B18" w:rsidP="00222B18">
      <w:pPr>
        <w:pStyle w:val="1"/>
        <w:shd w:val="clear" w:color="auto" w:fill="FFFFFF"/>
        <w:rPr>
          <w:b w:val="0"/>
          <w:color w:val="212121"/>
          <w:sz w:val="28"/>
          <w:lang w:val="en-US"/>
        </w:rPr>
      </w:pPr>
      <w:r>
        <w:rPr>
          <w:b w:val="0"/>
          <w:color w:val="212121"/>
          <w:sz w:val="28"/>
          <w:lang w:val="en-US"/>
        </w:rPr>
        <w:t>There is small list with reactions:</w:t>
      </w:r>
    </w:p>
    <w:p w:rsidR="002F55FD" w:rsidRDefault="00222B18" w:rsidP="00244A95">
      <w:pPr>
        <w:spacing w:before="240"/>
        <w:rPr>
          <w:rStyle w:val="authors-list-item"/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71BF8C" wp14:editId="67BC0194">
            <wp:extent cx="5940425" cy="4145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EF" w:rsidRDefault="00222B18" w:rsidP="00222B18">
      <w:pPr>
        <w:spacing w:before="240"/>
        <w:rPr>
          <w:rFonts w:ascii="Times New Roman" w:hAnsi="Times New Roman" w:cs="Times New Roman"/>
          <w:sz w:val="28"/>
          <w:lang w:val="en-US"/>
        </w:rPr>
      </w:pPr>
      <w:hyperlink r:id="rId12" w:history="1">
        <w:r w:rsidRPr="00222B18">
          <w:rPr>
            <w:rStyle w:val="a3"/>
            <w:rFonts w:ascii="Times New Roman" w:hAnsi="Times New Roman" w:cs="Times New Roman"/>
            <w:sz w:val="28"/>
            <w:lang w:val="en-US"/>
          </w:rPr>
          <w:t>https://clinicaltrials.gov/ct2/show/results/NCT00985673</w:t>
        </w:r>
      </w:hyperlink>
    </w:p>
    <w:p w:rsidR="00222B18" w:rsidRDefault="00222B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22B18" w:rsidRDefault="00222B18" w:rsidP="00222B18">
      <w:pPr>
        <w:jc w:val="center"/>
        <w:rPr>
          <w:rStyle w:val="nlm-given-names"/>
          <w:rFonts w:ascii="Times New Roman" w:hAnsi="Times New Roman" w:cs="Times New Roman"/>
          <w:b/>
          <w:sz w:val="36"/>
          <w:lang w:val="en-US"/>
        </w:rPr>
      </w:pPr>
      <w:r w:rsidRPr="00222B18">
        <w:rPr>
          <w:rStyle w:val="nlm-given-names"/>
          <w:rFonts w:ascii="Times New Roman" w:hAnsi="Times New Roman" w:cs="Times New Roman"/>
          <w:b/>
          <w:sz w:val="36"/>
          <w:lang w:val="en-US"/>
        </w:rPr>
        <w:lastRenderedPageBreak/>
        <w:t>Usefulness or</w:t>
      </w:r>
      <w:r>
        <w:rPr>
          <w:rStyle w:val="nlm-given-names"/>
          <w:rFonts w:ascii="Times New Roman" w:hAnsi="Times New Roman" w:cs="Times New Roman"/>
          <w:b/>
          <w:sz w:val="36"/>
          <w:lang w:val="en-US"/>
        </w:rPr>
        <w:t xml:space="preserve"> not usefulness drinking coffee</w:t>
      </w:r>
    </w:p>
    <w:p w:rsidR="00222B18" w:rsidRDefault="00222B18" w:rsidP="00222B18">
      <w:pPr>
        <w:jc w:val="center"/>
        <w:rPr>
          <w:rStyle w:val="nlm-given-names"/>
          <w:rFonts w:ascii="Times New Roman" w:hAnsi="Times New Roman" w:cs="Times New Roman"/>
          <w:b/>
          <w:sz w:val="36"/>
          <w:lang w:val="en-US"/>
        </w:rPr>
      </w:pPr>
    </w:p>
    <w:p w:rsidR="00222B18" w:rsidRPr="00222B18" w:rsidRDefault="00222B18" w:rsidP="00222B18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222B18">
        <w:rPr>
          <w:color w:val="212121"/>
          <w:sz w:val="28"/>
          <w:lang w:val="en-US"/>
        </w:rPr>
        <w:t>Absorption, Pharmacokinetics, and Urinary Excretion of Pyridines After Consumption of Coffee and Cocoa-Based Products Containing Coffee in a Repeated Dose, Crossover Human Intervention Study</w:t>
      </w:r>
    </w:p>
    <w:p w:rsidR="00222B18" w:rsidRDefault="00222B18" w:rsidP="00222B18">
      <w:pPr>
        <w:rPr>
          <w:rStyle w:val="nlm-given-names"/>
          <w:rFonts w:ascii="Times New Roman" w:hAnsi="Times New Roman" w:cs="Times New Roman"/>
          <w:sz w:val="28"/>
          <w:lang w:val="en-US"/>
        </w:rPr>
      </w:pPr>
      <w:hyperlink r:id="rId13" w:history="1">
        <w:r w:rsidRPr="00E45FBB">
          <w:rPr>
            <w:rStyle w:val="a3"/>
            <w:rFonts w:ascii="Times New Roman" w:hAnsi="Times New Roman" w:cs="Times New Roman"/>
            <w:sz w:val="28"/>
            <w:lang w:val="en-US"/>
          </w:rPr>
          <w:t>https://pubmed.ncbi.nlm.nih.gov/32776430/</w:t>
        </w:r>
      </w:hyperlink>
    </w:p>
    <w:p w:rsidR="00222B18" w:rsidRDefault="00222B18" w:rsidP="00222B18">
      <w:pPr>
        <w:rPr>
          <w:rStyle w:val="nlm-given-names"/>
          <w:rFonts w:ascii="Times New Roman" w:hAnsi="Times New Roman" w:cs="Times New Roman"/>
          <w:sz w:val="28"/>
          <w:lang w:val="en-US"/>
        </w:rPr>
      </w:pPr>
    </w:p>
    <w:p w:rsidR="00222B18" w:rsidRDefault="00222B18" w:rsidP="00222B18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222B18">
        <w:rPr>
          <w:color w:val="212121"/>
          <w:sz w:val="28"/>
          <w:lang w:val="en-US"/>
        </w:rPr>
        <w:t>Effect of green coffee extract supplementation on serum adiponectin concentration and lipid profile in patients with non-alcoholic fatty liver disease: A randomized, controlled trial</w:t>
      </w:r>
    </w:p>
    <w:p w:rsidR="00222B18" w:rsidRPr="00222B18" w:rsidRDefault="00222B18" w:rsidP="00222B18">
      <w:pPr>
        <w:pStyle w:val="1"/>
        <w:shd w:val="clear" w:color="auto" w:fill="FFFFFF"/>
        <w:rPr>
          <w:b w:val="0"/>
          <w:color w:val="212121"/>
          <w:sz w:val="28"/>
          <w:lang w:val="en-US"/>
        </w:rPr>
      </w:pPr>
      <w:r>
        <w:rPr>
          <w:b w:val="0"/>
          <w:color w:val="212121"/>
          <w:sz w:val="28"/>
          <w:lang w:val="en-US"/>
        </w:rPr>
        <w:t>Green coffee extract</w:t>
      </w:r>
      <w:r w:rsidR="00E22094">
        <w:rPr>
          <w:b w:val="0"/>
          <w:color w:val="212121"/>
          <w:sz w:val="28"/>
          <w:lang w:val="en-US"/>
        </w:rPr>
        <w:t xml:space="preserve"> (GCE)</w:t>
      </w:r>
      <w:r w:rsidRPr="00222B18">
        <w:rPr>
          <w:b w:val="0"/>
          <w:color w:val="212121"/>
          <w:sz w:val="28"/>
          <w:lang w:val="en-US"/>
        </w:rPr>
        <w:t xml:space="preserve"> supplementation improved serum lipid profile and BMI in individuals with NAFLD. GCE may be useful in controlling NAFLD risk factors.</w:t>
      </w:r>
    </w:p>
    <w:p w:rsidR="00222B18" w:rsidRDefault="00222B18" w:rsidP="00222B18">
      <w:pPr>
        <w:rPr>
          <w:rStyle w:val="nlm-given-names"/>
          <w:rFonts w:ascii="Times New Roman" w:hAnsi="Times New Roman" w:cs="Times New Roman"/>
          <w:sz w:val="28"/>
          <w:lang w:val="en-US"/>
        </w:rPr>
      </w:pPr>
      <w:hyperlink r:id="rId14" w:history="1">
        <w:r w:rsidRPr="00E45FBB">
          <w:rPr>
            <w:rStyle w:val="a3"/>
            <w:rFonts w:ascii="Times New Roman" w:hAnsi="Times New Roman" w:cs="Times New Roman"/>
            <w:sz w:val="28"/>
            <w:lang w:val="en-US"/>
          </w:rPr>
          <w:t>https://pubmed.ncbi.nlm.nih.gov/32147076/</w:t>
        </w:r>
      </w:hyperlink>
    </w:p>
    <w:p w:rsidR="00222B18" w:rsidRDefault="00222B18" w:rsidP="00222B18">
      <w:pPr>
        <w:rPr>
          <w:rStyle w:val="nlm-given-names"/>
          <w:rFonts w:ascii="Times New Roman" w:hAnsi="Times New Roman" w:cs="Times New Roman"/>
          <w:sz w:val="28"/>
          <w:lang w:val="en-US"/>
        </w:rPr>
      </w:pPr>
    </w:p>
    <w:p w:rsidR="00E22094" w:rsidRPr="00E22094" w:rsidRDefault="00E22094" w:rsidP="00E22094">
      <w:pPr>
        <w:pStyle w:val="1"/>
        <w:shd w:val="clear" w:color="auto" w:fill="FFFFFF"/>
        <w:rPr>
          <w:color w:val="212121"/>
          <w:sz w:val="28"/>
          <w:lang w:val="en-US"/>
        </w:rPr>
      </w:pPr>
      <w:r w:rsidRPr="00E22094">
        <w:rPr>
          <w:color w:val="212121"/>
          <w:sz w:val="28"/>
          <w:lang w:val="en-US"/>
        </w:rPr>
        <w:t>The Acute Effects of Caffeinated Black Coffee on Cognition and Mood in Healthy Young and Older Adults</w:t>
      </w:r>
    </w:p>
    <w:p w:rsidR="00E22094" w:rsidRDefault="00E22094" w:rsidP="00222B18">
      <w:pPr>
        <w:rPr>
          <w:rStyle w:val="nlm-given-names"/>
          <w:rFonts w:ascii="Times New Roman" w:hAnsi="Times New Roman" w:cs="Times New Roman"/>
          <w:sz w:val="28"/>
          <w:lang w:val="en-US"/>
        </w:rPr>
      </w:pPr>
      <w:r>
        <w:rPr>
          <w:rStyle w:val="nlm-given-names"/>
          <w:rFonts w:ascii="Times New Roman" w:hAnsi="Times New Roman" w:cs="Times New Roman"/>
          <w:sz w:val="28"/>
          <w:lang w:val="en-US"/>
        </w:rPr>
        <w:t>There are some notes in abstract about coffee harmful effects.</w:t>
      </w:r>
    </w:p>
    <w:p w:rsidR="00E22094" w:rsidRDefault="00E22094" w:rsidP="00222B18">
      <w:pPr>
        <w:rPr>
          <w:rStyle w:val="nlm-given-names"/>
          <w:rFonts w:ascii="Times New Roman" w:hAnsi="Times New Roman" w:cs="Times New Roman"/>
          <w:sz w:val="28"/>
          <w:lang w:val="en-US"/>
        </w:rPr>
      </w:pPr>
      <w:hyperlink r:id="rId15" w:history="1">
        <w:r w:rsidRPr="00E45FBB">
          <w:rPr>
            <w:rStyle w:val="a3"/>
            <w:rFonts w:ascii="Times New Roman" w:hAnsi="Times New Roman" w:cs="Times New Roman"/>
            <w:sz w:val="28"/>
            <w:lang w:val="en-US"/>
          </w:rPr>
          <w:t>https://pubmed.ncbi.nlm.nih.gov/30274327/</w:t>
        </w:r>
      </w:hyperlink>
    </w:p>
    <w:p w:rsidR="00E22094" w:rsidRDefault="00E22094">
      <w:pPr>
        <w:rPr>
          <w:rStyle w:val="nlm-given-names"/>
          <w:rFonts w:ascii="Times New Roman" w:hAnsi="Times New Roman" w:cs="Times New Roman"/>
          <w:sz w:val="28"/>
        </w:rPr>
      </w:pPr>
      <w:r>
        <w:rPr>
          <w:rStyle w:val="nlm-given-names"/>
          <w:rFonts w:ascii="Times New Roman" w:hAnsi="Times New Roman" w:cs="Times New Roman"/>
          <w:sz w:val="28"/>
        </w:rPr>
        <w:br w:type="page"/>
      </w:r>
    </w:p>
    <w:p w:rsidR="00E22094" w:rsidRDefault="00E22094" w:rsidP="00E22094">
      <w:pPr>
        <w:jc w:val="center"/>
        <w:rPr>
          <w:rStyle w:val="nlm-given-names"/>
          <w:rFonts w:ascii="Times New Roman" w:hAnsi="Times New Roman" w:cs="Times New Roman"/>
          <w:b/>
          <w:sz w:val="36"/>
          <w:lang w:val="en-US"/>
        </w:rPr>
      </w:pPr>
      <w:r>
        <w:rPr>
          <w:rStyle w:val="nlm-given-names"/>
          <w:rFonts w:ascii="Times New Roman" w:hAnsi="Times New Roman" w:cs="Times New Roman"/>
          <w:b/>
          <w:sz w:val="36"/>
          <w:lang w:val="en-US"/>
        </w:rPr>
        <w:lastRenderedPageBreak/>
        <w:t>“</w:t>
      </w:r>
      <w:proofErr w:type="spellStart"/>
      <w:r>
        <w:rPr>
          <w:rStyle w:val="nlm-given-names"/>
          <w:rFonts w:ascii="Times New Roman" w:hAnsi="Times New Roman" w:cs="Times New Roman"/>
          <w:b/>
          <w:sz w:val="36"/>
          <w:lang w:val="en-US"/>
        </w:rPr>
        <w:t>Grippol</w:t>
      </w:r>
      <w:proofErr w:type="spellEnd"/>
      <w:r>
        <w:rPr>
          <w:rStyle w:val="nlm-given-names"/>
          <w:rFonts w:ascii="Times New Roman" w:hAnsi="Times New Roman" w:cs="Times New Roman"/>
          <w:b/>
          <w:sz w:val="36"/>
          <w:lang w:val="en-US"/>
        </w:rPr>
        <w:t xml:space="preserve"> Plus” research results</w:t>
      </w:r>
    </w:p>
    <w:p w:rsidR="00E22094" w:rsidRDefault="00E22094" w:rsidP="00E22094">
      <w:pPr>
        <w:rPr>
          <w:rStyle w:val="nlm-given-names"/>
          <w:rFonts w:ascii="Times New Roman" w:hAnsi="Times New Roman" w:cs="Times New Roman"/>
          <w:b/>
          <w:sz w:val="36"/>
          <w:lang w:val="en-US"/>
        </w:rPr>
      </w:pPr>
    </w:p>
    <w:p w:rsidR="00E22094" w:rsidRDefault="00E22094" w:rsidP="00E22094">
      <w:pPr>
        <w:pStyle w:val="a7"/>
        <w:numPr>
          <w:ilvl w:val="0"/>
          <w:numId w:val="1"/>
        </w:numPr>
        <w:rPr>
          <w:rStyle w:val="nlm-given-names"/>
          <w:rFonts w:ascii="Times New Roman" w:hAnsi="Times New Roman" w:cs="Times New Roman"/>
          <w:sz w:val="28"/>
          <w:lang w:val="en-US"/>
        </w:rPr>
      </w:pPr>
      <w:r>
        <w:rPr>
          <w:rStyle w:val="nlm-given-names"/>
          <w:rFonts w:ascii="Times New Roman" w:hAnsi="Times New Roman" w:cs="Times New Roman"/>
          <w:sz w:val="28"/>
          <w:lang w:val="en-US"/>
        </w:rPr>
        <w:t xml:space="preserve">Children between 3-35 </w:t>
      </w:r>
      <w:proofErr w:type="gramStart"/>
      <w:r>
        <w:rPr>
          <w:rStyle w:val="nlm-given-names"/>
          <w:rFonts w:ascii="Times New Roman" w:hAnsi="Times New Roman" w:cs="Times New Roman"/>
          <w:sz w:val="28"/>
          <w:lang w:val="en-US"/>
        </w:rPr>
        <w:t>months</w:t>
      </w:r>
      <w:proofErr w:type="gramEnd"/>
      <w:r>
        <w:rPr>
          <w:rStyle w:val="nlm-given-names"/>
          <w:rFonts w:ascii="Times New Roman" w:hAnsi="Times New Roman" w:cs="Times New Roman"/>
          <w:sz w:val="28"/>
          <w:lang w:val="en-US"/>
        </w:rPr>
        <w:t xml:space="preserve"> old</w:t>
      </w:r>
    </w:p>
    <w:p w:rsidR="00E22094" w:rsidRPr="0023139B" w:rsidRDefault="00E22094" w:rsidP="00E22094">
      <w:pPr>
        <w:pStyle w:val="a5"/>
        <w:shd w:val="clear" w:color="auto" w:fill="E0E7EF"/>
        <w:spacing w:before="0" w:beforeAutospacing="0" w:after="0" w:afterAutospacing="0"/>
        <w:rPr>
          <w:rStyle w:val="nlm-given-names"/>
          <w:rFonts w:eastAsiaTheme="minorHAnsi"/>
          <w:sz w:val="28"/>
          <w:szCs w:val="22"/>
          <w:lang w:val="en-US" w:eastAsia="en-US"/>
        </w:rPr>
      </w:pPr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Местные реакции (боль, покраснение, припухлость) после первой и второй вакцинации варьируется в диапазоне: 3.1% – 7.4%</w:t>
      </w:r>
    </w:p>
    <w:p w:rsidR="0023139B" w:rsidRPr="0023139B" w:rsidRDefault="00E22094" w:rsidP="00E22094">
      <w:pPr>
        <w:pStyle w:val="a5"/>
        <w:shd w:val="clear" w:color="auto" w:fill="E0E7EF"/>
        <w:spacing w:before="0" w:beforeAutospacing="0" w:after="0" w:afterAutospacing="0"/>
        <w:rPr>
          <w:rStyle w:val="nlm-given-names"/>
          <w:rFonts w:eastAsiaTheme="minorHAnsi"/>
          <w:sz w:val="28"/>
          <w:szCs w:val="22"/>
          <w:lang w:val="en-US" w:eastAsia="en-US"/>
        </w:rPr>
      </w:pPr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Общие реакции (головная боль, недомогание, нарушение аппетита, нарушение сна, потливость, насморк, кашель) варьируется в диапазоне 1.5% - 14.5%. Все они были кратковременными,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не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требовали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медикаментозной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коррекции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.</w:t>
      </w:r>
    </w:p>
    <w:p w:rsidR="00E22094" w:rsidRDefault="0023139B" w:rsidP="0023139B">
      <w:pPr>
        <w:pStyle w:val="a7"/>
        <w:numPr>
          <w:ilvl w:val="0"/>
          <w:numId w:val="1"/>
        </w:numPr>
        <w:rPr>
          <w:rStyle w:val="nlm-given-names"/>
          <w:rFonts w:ascii="Times New Roman" w:hAnsi="Times New Roman" w:cs="Times New Roman"/>
          <w:sz w:val="28"/>
          <w:lang w:val="en-US"/>
        </w:rPr>
      </w:pPr>
      <w:r>
        <w:rPr>
          <w:rStyle w:val="nlm-given-names"/>
          <w:rFonts w:ascii="Times New Roman" w:hAnsi="Times New Roman" w:cs="Times New Roman"/>
          <w:sz w:val="28"/>
          <w:lang w:val="en-US"/>
        </w:rPr>
        <w:t>Older people 60+ years old</w:t>
      </w:r>
    </w:p>
    <w:p w:rsidR="0023139B" w:rsidRPr="0023139B" w:rsidRDefault="0023139B" w:rsidP="0023139B">
      <w:pPr>
        <w:pStyle w:val="a5"/>
        <w:shd w:val="clear" w:color="auto" w:fill="EEF2F7"/>
        <w:spacing w:before="0" w:beforeAutospacing="0" w:after="0" w:afterAutospacing="0"/>
        <w:rPr>
          <w:rStyle w:val="nlm-given-names"/>
          <w:rFonts w:eastAsiaTheme="minorHAnsi"/>
          <w:sz w:val="28"/>
          <w:szCs w:val="22"/>
          <w:lang w:val="en-US" w:eastAsia="en-US"/>
        </w:rPr>
      </w:pPr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Местные реакции (боль, покраснение, зуд, уплотнение в месте введения) зарегистрированы у 16,6% вакцинированных. Проходили в течение 3 дней самостоятельно.</w:t>
      </w:r>
    </w:p>
    <w:p w:rsidR="0023139B" w:rsidRPr="0023139B" w:rsidRDefault="0023139B" w:rsidP="0023139B">
      <w:pPr>
        <w:pStyle w:val="a5"/>
        <w:shd w:val="clear" w:color="auto" w:fill="EEF2F7"/>
        <w:spacing w:before="0" w:beforeAutospacing="0" w:after="0" w:afterAutospacing="0"/>
        <w:rPr>
          <w:rStyle w:val="nlm-given-names"/>
          <w:rFonts w:eastAsiaTheme="minorHAnsi"/>
          <w:sz w:val="28"/>
          <w:szCs w:val="22"/>
          <w:lang w:val="en-US" w:eastAsia="en-US"/>
        </w:rPr>
      </w:pPr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Общие реакции отмечали у 22% вакцинированных. Наиболее частая – головная боль (14%-16%), боль в суставах (2.5%–3.4%), субфебрильная температура (до 37.5) – 2.5%. Все реакции были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кратковременными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 и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проходили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самостоятельно</w:t>
      </w:r>
      <w:proofErr w:type="spellEnd"/>
      <w:r w:rsidRPr="0023139B">
        <w:rPr>
          <w:rStyle w:val="nlm-given-names"/>
          <w:rFonts w:eastAsiaTheme="minorHAnsi"/>
          <w:sz w:val="28"/>
          <w:szCs w:val="22"/>
          <w:lang w:val="en-US" w:eastAsia="en-US"/>
        </w:rPr>
        <w:t>.</w:t>
      </w:r>
    </w:p>
    <w:p w:rsidR="00E22094" w:rsidRDefault="00E22094" w:rsidP="00E22094">
      <w:pPr>
        <w:rPr>
          <w:rStyle w:val="nlm-given-names"/>
          <w:rFonts w:ascii="Times New Roman" w:hAnsi="Times New Roman" w:cs="Times New Roman"/>
          <w:sz w:val="28"/>
          <w:lang w:val="en-US"/>
        </w:rPr>
      </w:pPr>
      <w:hyperlink r:id="rId16" w:history="1">
        <w:r w:rsidRPr="00E45FBB">
          <w:rPr>
            <w:rStyle w:val="a3"/>
            <w:rFonts w:ascii="Times New Roman" w:hAnsi="Times New Roman" w:cs="Times New Roman"/>
            <w:sz w:val="28"/>
            <w:lang w:val="en-US"/>
          </w:rPr>
          <w:t>https://grippol.ru/grippol-plus/evidence/</w:t>
        </w:r>
      </w:hyperlink>
    </w:p>
    <w:p w:rsidR="00E22094" w:rsidRPr="0023139B" w:rsidRDefault="0023139B" w:rsidP="00E22094">
      <w:pPr>
        <w:rPr>
          <w:rStyle w:val="nlm-given-names"/>
          <w:rFonts w:ascii="Times New Roman" w:hAnsi="Times New Roman" w:cs="Times New Roman"/>
          <w:sz w:val="28"/>
          <w:lang w:val="en-US"/>
        </w:rPr>
      </w:pPr>
      <w:r>
        <w:rPr>
          <w:rStyle w:val="nlm-given-names"/>
          <w:rFonts w:ascii="Times New Roman" w:hAnsi="Times New Roman" w:cs="Times New Roman"/>
          <w:sz w:val="28"/>
          <w:lang w:val="en-US"/>
        </w:rPr>
        <w:t>I tried to find out clinical trials of this vaccine, it’s the only result (only one link</w:t>
      </w:r>
      <w:bookmarkStart w:id="0" w:name="_GoBack"/>
      <w:bookmarkEnd w:id="0"/>
      <w:r>
        <w:rPr>
          <w:rStyle w:val="nlm-given-names"/>
          <w:rFonts w:ascii="Times New Roman" w:hAnsi="Times New Roman" w:cs="Times New Roman"/>
          <w:sz w:val="28"/>
          <w:lang w:val="en-US"/>
        </w:rPr>
        <w:t>).</w:t>
      </w:r>
    </w:p>
    <w:sectPr w:rsidR="00E22094" w:rsidRPr="00231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91B8F"/>
    <w:multiLevelType w:val="hybridMultilevel"/>
    <w:tmpl w:val="99282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D"/>
    <w:rsid w:val="0005583D"/>
    <w:rsid w:val="00122DED"/>
    <w:rsid w:val="001931BF"/>
    <w:rsid w:val="00222B18"/>
    <w:rsid w:val="0023139B"/>
    <w:rsid w:val="00244A95"/>
    <w:rsid w:val="002F55FD"/>
    <w:rsid w:val="00477E79"/>
    <w:rsid w:val="004A068E"/>
    <w:rsid w:val="00514B09"/>
    <w:rsid w:val="005320C8"/>
    <w:rsid w:val="00723EEF"/>
    <w:rsid w:val="007837E0"/>
    <w:rsid w:val="008F2FB6"/>
    <w:rsid w:val="00BF5A0A"/>
    <w:rsid w:val="00CD163F"/>
    <w:rsid w:val="00E05FCE"/>
    <w:rsid w:val="00E2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FFDC"/>
  <w15:chartTrackingRefBased/>
  <w15:docId w15:val="{09D94D00-1BAA-4678-B813-11CA5E99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5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A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s-list-item">
    <w:name w:val="authors-list-item"/>
    <w:basedOn w:val="a0"/>
    <w:rsid w:val="00BF5A0A"/>
  </w:style>
  <w:style w:type="character" w:styleId="a3">
    <w:name w:val="Hyperlink"/>
    <w:basedOn w:val="a0"/>
    <w:uiPriority w:val="99"/>
    <w:unhideWhenUsed/>
    <w:rsid w:val="00BF5A0A"/>
    <w:rPr>
      <w:color w:val="0000FF"/>
      <w:u w:val="single"/>
    </w:rPr>
  </w:style>
  <w:style w:type="character" w:customStyle="1" w:styleId="author-sup-separator">
    <w:name w:val="author-sup-separator"/>
    <w:basedOn w:val="a0"/>
    <w:rsid w:val="00BF5A0A"/>
  </w:style>
  <w:style w:type="character" w:customStyle="1" w:styleId="comma">
    <w:name w:val="comma"/>
    <w:basedOn w:val="a0"/>
    <w:rsid w:val="00BF5A0A"/>
  </w:style>
  <w:style w:type="character" w:customStyle="1" w:styleId="nlm-given-names">
    <w:name w:val="nlm-given-names"/>
    <w:basedOn w:val="a0"/>
    <w:rsid w:val="00723EEF"/>
  </w:style>
  <w:style w:type="character" w:customStyle="1" w:styleId="nlm-surname">
    <w:name w:val="nlm-surname"/>
    <w:basedOn w:val="a0"/>
    <w:rsid w:val="00723EEF"/>
  </w:style>
  <w:style w:type="character" w:customStyle="1" w:styleId="highwire-citation-author">
    <w:name w:val="highwire-citation-author"/>
    <w:basedOn w:val="a0"/>
    <w:rsid w:val="00723EEF"/>
  </w:style>
  <w:style w:type="character" w:customStyle="1" w:styleId="11">
    <w:name w:val="Заголовок1"/>
    <w:basedOn w:val="a0"/>
    <w:rsid w:val="00723EEF"/>
  </w:style>
  <w:style w:type="character" w:styleId="a4">
    <w:name w:val="FollowedHyperlink"/>
    <w:basedOn w:val="a0"/>
    <w:uiPriority w:val="99"/>
    <w:semiHidden/>
    <w:unhideWhenUsed/>
    <w:rsid w:val="00E05FCE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22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2B18"/>
    <w:rPr>
      <w:b/>
      <w:bCs/>
    </w:rPr>
  </w:style>
  <w:style w:type="paragraph" w:styleId="a7">
    <w:name w:val="List Paragraph"/>
    <w:basedOn w:val="a"/>
    <w:uiPriority w:val="34"/>
    <w:qFormat/>
    <w:rsid w:val="00E2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trials.gov/ct2/show/results/NCT00620815" TargetMode="External"/><Relationship Id="rId13" Type="http://schemas.openxmlformats.org/officeDocument/2006/relationships/hyperlink" Target="https://pubmed.ncbi.nlm.nih.gov/3277643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linicaltrials.gov/ct2/show/results/NCT009856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ippol.ru/grippol-plus/evid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nicaltrials.gov/ct2/show/results/NCT0318390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pubmed.ncbi.nlm.nih.gov/30274327/" TargetMode="External"/><Relationship Id="rId10" Type="http://schemas.openxmlformats.org/officeDocument/2006/relationships/hyperlink" Target="https://clinicaltrials.gov/ct2/show/results/NCT015077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ubmed.ncbi.nlm.nih.gov/321470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Щукина</dc:creator>
  <cp:keywords/>
  <dc:description/>
  <cp:lastModifiedBy>Ольга Щукина</cp:lastModifiedBy>
  <cp:revision>7</cp:revision>
  <dcterms:created xsi:type="dcterms:W3CDTF">2021-10-03T18:12:00Z</dcterms:created>
  <dcterms:modified xsi:type="dcterms:W3CDTF">2021-10-08T21:27:00Z</dcterms:modified>
</cp:coreProperties>
</file>