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31AC" w14:textId="77777777" w:rsidR="00BE0724" w:rsidRPr="00BE0724" w:rsidRDefault="00BE0724" w:rsidP="00BE0724">
      <w:pPr>
        <w:spacing w:line="36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 w:rsidRPr="00BE0724">
        <w:rPr>
          <w:rFonts w:asciiTheme="minorBidi" w:hAnsiTheme="minorBidi"/>
          <w:b/>
          <w:bCs/>
          <w:sz w:val="28"/>
          <w:szCs w:val="28"/>
        </w:rPr>
        <w:t>Relatório de Análise Estratégica de Retenção (Telecom X)</w:t>
      </w:r>
    </w:p>
    <w:p w14:paraId="6A49900D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7C2E6ED2" w14:textId="76385609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1. Objetivo da Análise</w:t>
      </w:r>
    </w:p>
    <w:p w14:paraId="1C5E583D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>O presente relatório tem como objetivo principal diagnosticar os fatores determinantes para a evasão de clientes (</w:t>
      </w:r>
      <w:r w:rsidRPr="00BE0724">
        <w:rPr>
          <w:rFonts w:asciiTheme="minorBidi" w:hAnsiTheme="minorBidi"/>
          <w:b/>
          <w:bCs/>
          <w:sz w:val="22"/>
          <w:szCs w:val="22"/>
        </w:rPr>
        <w:t>Churn</w:t>
      </w:r>
      <w:r w:rsidRPr="00BE0724">
        <w:rPr>
          <w:rFonts w:asciiTheme="minorBidi" w:hAnsiTheme="minorBidi"/>
          <w:sz w:val="22"/>
          <w:szCs w:val="22"/>
        </w:rPr>
        <w:t xml:space="preserve">) da </w:t>
      </w:r>
      <w:r w:rsidRPr="00BE0724">
        <w:rPr>
          <w:rFonts w:asciiTheme="minorBidi" w:hAnsiTheme="minorBidi"/>
          <w:b/>
          <w:bCs/>
          <w:sz w:val="22"/>
          <w:szCs w:val="22"/>
        </w:rPr>
        <w:t>Telecom X</w:t>
      </w:r>
      <w:r w:rsidRPr="00BE0724">
        <w:rPr>
          <w:rFonts w:asciiTheme="minorBidi" w:hAnsiTheme="minorBidi"/>
          <w:sz w:val="22"/>
          <w:szCs w:val="22"/>
        </w:rPr>
        <w:t>. Através de uma análise descritiva e exploratória, buscamos identificar perfis de risco e oportunidades operacionais para reduzir a perda de receita e aumentar o Ciclo de Vida do Cliente (LTV).</w:t>
      </w:r>
    </w:p>
    <w:p w14:paraId="597CDCB3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6A6BF001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2. Metodologia</w:t>
      </w:r>
    </w:p>
    <w:p w14:paraId="49E33A05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>A análise foi desenvolvida seguindo o pipeline de dados padrão da indústria:</w:t>
      </w:r>
    </w:p>
    <w:p w14:paraId="2D359B9F" w14:textId="5E69D909" w:rsidR="00BE0724" w:rsidRPr="00BE0724" w:rsidRDefault="00BE0724" w:rsidP="00BE0724">
      <w:pPr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Extração e Normalização:</w:t>
      </w:r>
      <w:r w:rsidRPr="00BE0724">
        <w:rPr>
          <w:rFonts w:asciiTheme="minorBidi" w:hAnsiTheme="minorBidi"/>
          <w:sz w:val="22"/>
          <w:szCs w:val="22"/>
        </w:rPr>
        <w:t xml:space="preserve"> Extração vis API requests e consolidação de dados brutos em formato JSON para estrutura tabular.</w:t>
      </w:r>
    </w:p>
    <w:p w14:paraId="7C9FF960" w14:textId="77777777" w:rsidR="00BE0724" w:rsidRPr="00BE0724" w:rsidRDefault="00BE0724" w:rsidP="00BE0724">
      <w:pPr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Tratamento de Dados:</w:t>
      </w:r>
      <w:r w:rsidRPr="00BE0724">
        <w:rPr>
          <w:rFonts w:asciiTheme="minorBidi" w:hAnsiTheme="minorBidi"/>
          <w:sz w:val="22"/>
          <w:szCs w:val="22"/>
        </w:rPr>
        <w:t xml:space="preserve"> Limpeza de valores ausentes e conversão de variáveis categóricas em numéricas para análise estatística.</w:t>
      </w:r>
    </w:p>
    <w:p w14:paraId="202ED72E" w14:textId="77777777" w:rsidR="00BE0724" w:rsidRPr="00BE0724" w:rsidRDefault="00BE0724" w:rsidP="00BE0724">
      <w:pPr>
        <w:numPr>
          <w:ilvl w:val="0"/>
          <w:numId w:val="1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Exploração:</w:t>
      </w:r>
      <w:r w:rsidRPr="00BE0724">
        <w:rPr>
          <w:rFonts w:asciiTheme="minorBidi" w:hAnsiTheme="minorBidi"/>
          <w:sz w:val="22"/>
          <w:szCs w:val="22"/>
        </w:rPr>
        <w:t xml:space="preserve"> Cruzamento de variáveis demográficas (Idade) e contratuais (Tempo de Contrato e Tipo de Assinatura).</w:t>
      </w:r>
    </w:p>
    <w:p w14:paraId="4001CA91" w14:textId="1DB82376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1FC4E1C3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3. Diagnóstico de Performance (KPIs)</w:t>
      </w:r>
    </w:p>
    <w:p w14:paraId="5F15BB72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3.1. Panorama Geral do Churn</w:t>
      </w:r>
    </w:p>
    <w:p w14:paraId="5FC4FACD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 xml:space="preserve">A taxa de evasão consolidada da Telecom X atingiu </w:t>
      </w:r>
      <w:r w:rsidRPr="00BE0724">
        <w:rPr>
          <w:rFonts w:asciiTheme="minorBidi" w:hAnsiTheme="minorBidi"/>
          <w:b/>
          <w:bCs/>
          <w:sz w:val="22"/>
          <w:szCs w:val="22"/>
        </w:rPr>
        <w:t>25,72%</w:t>
      </w:r>
      <w:r w:rsidRPr="00BE0724">
        <w:rPr>
          <w:rFonts w:asciiTheme="minorBidi" w:hAnsiTheme="minorBidi"/>
          <w:sz w:val="22"/>
          <w:szCs w:val="22"/>
        </w:rPr>
        <w:t>.</w:t>
      </w:r>
    </w:p>
    <w:p w14:paraId="5C9890F3" w14:textId="6A42568E" w:rsidR="00BE0724" w:rsidRDefault="00644332" w:rsidP="00BE0724">
      <w:pPr>
        <w:numPr>
          <w:ilvl w:val="0"/>
          <w:numId w:val="2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644332">
        <w:rPr>
          <w:rFonts w:asciiTheme="minorBidi" w:hAnsiTheme="minorBidi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2013562" wp14:editId="4791DD38">
            <wp:simplePos x="0" y="0"/>
            <wp:positionH relativeFrom="margin">
              <wp:align>center</wp:align>
            </wp:positionH>
            <wp:positionV relativeFrom="paragraph">
              <wp:posOffset>989874</wp:posOffset>
            </wp:positionV>
            <wp:extent cx="3867995" cy="1572985"/>
            <wp:effectExtent l="0" t="0" r="0" b="8255"/>
            <wp:wrapTopAndBottom/>
            <wp:docPr id="381292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26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95" cy="157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0724" w:rsidRPr="00BE0724">
        <w:rPr>
          <w:rFonts w:asciiTheme="minorBidi" w:hAnsiTheme="minorBidi"/>
          <w:b/>
          <w:bCs/>
          <w:sz w:val="22"/>
          <w:szCs w:val="22"/>
        </w:rPr>
        <w:t>Impacto:</w:t>
      </w:r>
      <w:r w:rsidR="00BE0724" w:rsidRPr="00BE0724">
        <w:rPr>
          <w:rFonts w:asciiTheme="minorBidi" w:hAnsiTheme="minorBidi"/>
          <w:sz w:val="22"/>
          <w:szCs w:val="22"/>
        </w:rPr>
        <w:t xml:space="preserve"> Este indicador revela que mais de 1/4 da base de clientes encerra seus contratos prematuramente. No setor de telecomunicações, este número é considerado crítico e indica uma necessidade imediata de revisão das estratégias de retenção.</w:t>
      </w:r>
    </w:p>
    <w:p w14:paraId="15C7A341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lastRenderedPageBreak/>
        <w:t>3.2. O "Vilão" Operacional: Contratos Mensais</w:t>
      </w:r>
    </w:p>
    <w:p w14:paraId="26CEB820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>A análise por modalidade de contrato revela uma discrepância severa na fidelização:</w:t>
      </w:r>
    </w:p>
    <w:p w14:paraId="637A705A" w14:textId="5DA35AC0" w:rsidR="00BE0724" w:rsidRPr="00BE0724" w:rsidRDefault="00BE0724" w:rsidP="00BE0724">
      <w:pPr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Month-to-month (Mês a mês):</w:t>
      </w:r>
      <w:r w:rsidRPr="00BE0724">
        <w:rPr>
          <w:rFonts w:asciiTheme="minorBidi" w:hAnsiTheme="minorBidi"/>
          <w:sz w:val="22"/>
          <w:szCs w:val="22"/>
        </w:rPr>
        <w:t xml:space="preserve"> Apresenta a maior vulnerabilidade, com evasão de quase </w:t>
      </w:r>
      <w:r w:rsidRPr="00BE0724">
        <w:rPr>
          <w:rFonts w:asciiTheme="minorBidi" w:hAnsiTheme="minorBidi"/>
          <w:b/>
          <w:bCs/>
          <w:sz w:val="22"/>
          <w:szCs w:val="22"/>
        </w:rPr>
        <w:t>53%</w:t>
      </w:r>
      <w:r w:rsidRPr="00BE0724">
        <w:rPr>
          <w:rFonts w:asciiTheme="minorBidi" w:hAnsiTheme="minorBidi"/>
          <w:sz w:val="22"/>
          <w:szCs w:val="22"/>
        </w:rPr>
        <w:t xml:space="preserve"> para perfis idosos e superior a </w:t>
      </w:r>
      <w:r w:rsidRPr="00BE0724">
        <w:rPr>
          <w:rFonts w:asciiTheme="minorBidi" w:hAnsiTheme="minorBidi"/>
          <w:b/>
          <w:bCs/>
          <w:sz w:val="22"/>
          <w:szCs w:val="22"/>
        </w:rPr>
        <w:t>38%</w:t>
      </w:r>
      <w:r w:rsidRPr="00BE0724">
        <w:rPr>
          <w:rFonts w:asciiTheme="minorBidi" w:hAnsiTheme="minorBidi"/>
          <w:sz w:val="22"/>
          <w:szCs w:val="22"/>
        </w:rPr>
        <w:t xml:space="preserve"> mesmo em perfis jovens;</w:t>
      </w:r>
    </w:p>
    <w:p w14:paraId="6B350688" w14:textId="77777777" w:rsidR="00BE0724" w:rsidRPr="00BE0724" w:rsidRDefault="00BE0724" w:rsidP="00BE0724">
      <w:pPr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Contratos de Dois Anos:</w:t>
      </w:r>
      <w:r w:rsidRPr="00BE0724">
        <w:rPr>
          <w:rFonts w:asciiTheme="minorBidi" w:hAnsiTheme="minorBidi"/>
          <w:sz w:val="22"/>
          <w:szCs w:val="22"/>
        </w:rPr>
        <w:t xml:space="preserve"> Registram uma taxa de evasão ínfima de </w:t>
      </w:r>
      <w:r w:rsidRPr="00BE0724">
        <w:rPr>
          <w:rFonts w:asciiTheme="minorBidi" w:hAnsiTheme="minorBidi"/>
          <w:b/>
          <w:bCs/>
          <w:sz w:val="22"/>
          <w:szCs w:val="22"/>
        </w:rPr>
        <w:t>2,64%</w:t>
      </w:r>
      <w:r w:rsidRPr="00BE0724">
        <w:rPr>
          <w:rFonts w:asciiTheme="minorBidi" w:hAnsiTheme="minorBidi"/>
          <w:sz w:val="22"/>
          <w:szCs w:val="22"/>
        </w:rPr>
        <w:t>.</w:t>
      </w:r>
    </w:p>
    <w:p w14:paraId="6C488770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Insight:</w:t>
      </w:r>
      <w:r w:rsidRPr="00BE0724">
        <w:rPr>
          <w:rFonts w:asciiTheme="minorBidi" w:hAnsiTheme="minorBidi"/>
          <w:sz w:val="22"/>
          <w:szCs w:val="22"/>
        </w:rPr>
        <w:t xml:space="preserve"> O modelo de contrato mensal, embora facilite a aquisição de novos clientes, não oferece barreiras de saída ou incentivos à permanência, funcionando como a principal porta de saída da empresa.</w:t>
      </w:r>
    </w:p>
    <w:p w14:paraId="3580D397" w14:textId="5EDD68D1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2A422418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4. Análise de Perfil de Risco: O Fator Idade</w:t>
      </w:r>
    </w:p>
    <w:p w14:paraId="466F7733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 xml:space="preserve">Observou-se que a variável </w:t>
      </w:r>
      <w:r w:rsidRPr="00BE0724">
        <w:rPr>
          <w:rFonts w:asciiTheme="minorBidi" w:hAnsiTheme="minorBidi"/>
          <w:b/>
          <w:bCs/>
          <w:sz w:val="22"/>
          <w:szCs w:val="22"/>
        </w:rPr>
        <w:t>Idoso</w:t>
      </w:r>
      <w:r w:rsidRPr="00BE0724">
        <w:rPr>
          <w:rFonts w:asciiTheme="minorBidi" w:hAnsiTheme="minorBidi"/>
          <w:sz w:val="22"/>
          <w:szCs w:val="22"/>
        </w:rPr>
        <w:t xml:space="preserve"> é um agravante direto na probabilidade de Churn em todos os cenários.</w:t>
      </w:r>
    </w:p>
    <w:p w14:paraId="12C3518B" w14:textId="77777777" w:rsidR="00BE0724" w:rsidRDefault="00BE0724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</w:p>
    <w:p w14:paraId="19F8AA4A" w14:textId="4F4189F1" w:rsidR="00644332" w:rsidRPr="00BE0724" w:rsidRDefault="00644332" w:rsidP="00BE0724">
      <w:pPr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644332">
        <w:rPr>
          <w:rFonts w:asciiTheme="minorBidi" w:hAnsiTheme="minorBidi"/>
          <w:b/>
          <w:bCs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055BC2B" wp14:editId="6D3F1031">
            <wp:simplePos x="0" y="0"/>
            <wp:positionH relativeFrom="column">
              <wp:posOffset>585924</wp:posOffset>
            </wp:positionH>
            <wp:positionV relativeFrom="paragraph">
              <wp:posOffset>6713</wp:posOffset>
            </wp:positionV>
            <wp:extent cx="4250871" cy="2137178"/>
            <wp:effectExtent l="0" t="0" r="0" b="0"/>
            <wp:wrapTight wrapText="bothSides">
              <wp:wrapPolygon edited="0">
                <wp:start x="0" y="0"/>
                <wp:lineTo x="0" y="21375"/>
                <wp:lineTo x="21490" y="21375"/>
                <wp:lineTo x="21490" y="0"/>
                <wp:lineTo x="0" y="0"/>
              </wp:wrapPolygon>
            </wp:wrapTight>
            <wp:docPr id="1354656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56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871" cy="213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F583C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3B224821" w14:textId="77777777" w:rsidR="00644332" w:rsidRPr="00644332" w:rsidRDefault="00644332" w:rsidP="00644332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08DDC8F1" w14:textId="77777777" w:rsidR="00644332" w:rsidRDefault="00644332" w:rsidP="00644332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29773DDE" w14:textId="77777777" w:rsidR="00644332" w:rsidRDefault="00644332" w:rsidP="00644332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6B1C4DAD" w14:textId="77777777" w:rsidR="00644332" w:rsidRDefault="00644332" w:rsidP="00644332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3007F755" w14:textId="77777777" w:rsidR="00644332" w:rsidRPr="00644332" w:rsidRDefault="00644332" w:rsidP="00644332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601FC9BF" w14:textId="2D35ED4F" w:rsidR="00BE0724" w:rsidRPr="00BE0724" w:rsidRDefault="00BE0724" w:rsidP="00BE0724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Interpretação:</w:t>
      </w:r>
      <w:r w:rsidRPr="00BE0724">
        <w:rPr>
          <w:rFonts w:asciiTheme="minorBidi" w:hAnsiTheme="minorBidi"/>
          <w:sz w:val="22"/>
          <w:szCs w:val="22"/>
        </w:rPr>
        <w:t xml:space="preserve"> Idosos em contratos mensais possuem mais de </w:t>
      </w:r>
      <w:r w:rsidRPr="00BE0724">
        <w:rPr>
          <w:rFonts w:asciiTheme="minorBidi" w:hAnsiTheme="minorBidi"/>
          <w:b/>
          <w:bCs/>
          <w:sz w:val="22"/>
          <w:szCs w:val="22"/>
        </w:rPr>
        <w:t>50% de chance</w:t>
      </w:r>
      <w:r w:rsidRPr="00BE0724">
        <w:rPr>
          <w:rFonts w:asciiTheme="minorBidi" w:hAnsiTheme="minorBidi"/>
          <w:sz w:val="22"/>
          <w:szCs w:val="22"/>
        </w:rPr>
        <w:t xml:space="preserve"> de cancelar o serviço. Isso sugere que este público pode estar enfrentando dificuldades com o suporte técnico ou com o valor das faturas mensais (que tendem a ser menos estáveis).</w:t>
      </w:r>
    </w:p>
    <w:p w14:paraId="3B562B98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5E2A822F" w14:textId="77777777" w:rsidR="00644332" w:rsidRDefault="00644332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</w:p>
    <w:p w14:paraId="36BB103D" w14:textId="77777777" w:rsidR="00644332" w:rsidRDefault="00644332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</w:p>
    <w:p w14:paraId="379EDC7F" w14:textId="77777777" w:rsidR="00644332" w:rsidRDefault="00644332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</w:p>
    <w:p w14:paraId="4534D0F4" w14:textId="03979D9A" w:rsidR="00644332" w:rsidRDefault="00644332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  <w:r>
        <w:rPr>
          <w:rFonts w:asciiTheme="minorBidi" w:eastAsia="Times New Roman" w:hAnsiTheme="minorBidi"/>
          <w:b/>
          <w:bCs/>
          <w:noProof/>
          <w:kern w:val="0"/>
          <w:sz w:val="22"/>
          <w:szCs w:val="22"/>
          <w:lang w:eastAsia="pt-BR"/>
        </w:rPr>
        <w:lastRenderedPageBreak/>
        <w:drawing>
          <wp:inline distT="0" distB="0" distL="0" distR="0" wp14:anchorId="6A85DEE1" wp14:editId="51314916">
            <wp:extent cx="5400040" cy="3422650"/>
            <wp:effectExtent l="0" t="0" r="0" b="6350"/>
            <wp:docPr id="210827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637" name="Imagem 210827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9711" w14:textId="77777777" w:rsidR="00644332" w:rsidRDefault="00644332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</w:p>
    <w:p w14:paraId="5A5B71BF" w14:textId="29FA18B0" w:rsidR="00BE0724" w:rsidRPr="00BE0724" w:rsidRDefault="00BE0724" w:rsidP="00BE0724">
      <w:pPr>
        <w:spacing w:line="360" w:lineRule="auto"/>
        <w:jc w:val="both"/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</w:pPr>
      <w:r w:rsidRPr="00BE0724"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  <w:t>5. Dinâmica de Retenção por Tempo de Casa</w:t>
      </w:r>
    </w:p>
    <w:p w14:paraId="01278794" w14:textId="77777777" w:rsidR="00BE0724" w:rsidRPr="00BE0724" w:rsidRDefault="00BE0724" w:rsidP="00BE0724">
      <w:p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</w:pPr>
      <w:r w:rsidRPr="00BE0724"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  <w:t xml:space="preserve">Os gráficos de densidade e histogramas apontam que a concentração de evasão ocorre massivamente nos </w:t>
      </w:r>
      <w:r w:rsidRPr="00BE0724"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  <w:t>primeiros 6 meses de contrato</w:t>
      </w:r>
      <w:r w:rsidRPr="00BE0724"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  <w:t>.</w:t>
      </w:r>
    </w:p>
    <w:p w14:paraId="6488EE6A" w14:textId="77777777" w:rsidR="00BE0724" w:rsidRPr="00BE0724" w:rsidRDefault="00BE0724" w:rsidP="00BE072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</w:pPr>
      <w:r w:rsidRPr="00BE0724"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  <w:t>Curva de Aprendizado:</w:t>
      </w:r>
      <w:r w:rsidRPr="00BE0724"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  <w:t xml:space="preserve"> Clientes que superam a barreira dos 12 meses tendem a estabilizar sua permanência.</w:t>
      </w:r>
    </w:p>
    <w:p w14:paraId="742F3471" w14:textId="77777777" w:rsidR="00BE0724" w:rsidRPr="00BE0724" w:rsidRDefault="00BE0724" w:rsidP="00BE072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</w:pPr>
      <w:r w:rsidRPr="00BE0724">
        <w:rPr>
          <w:rFonts w:asciiTheme="minorBidi" w:eastAsia="Times New Roman" w:hAnsiTheme="minorBidi"/>
          <w:b/>
          <w:bCs/>
          <w:kern w:val="0"/>
          <w:sz w:val="22"/>
          <w:szCs w:val="22"/>
          <w:lang w:eastAsia="pt-BR"/>
          <w14:ligatures w14:val="none"/>
        </w:rPr>
        <w:t>Eficiência Financeira:</w:t>
      </w:r>
      <w:r w:rsidRPr="00BE0724">
        <w:rPr>
          <w:rFonts w:asciiTheme="minorBidi" w:eastAsia="Times New Roman" w:hAnsiTheme="minorBidi"/>
          <w:kern w:val="0"/>
          <w:sz w:val="22"/>
          <w:szCs w:val="22"/>
          <w:lang w:eastAsia="pt-BR"/>
          <w14:ligatures w14:val="none"/>
        </w:rPr>
        <w:t xml:space="preserve"> O custo de aquisição (CAC) de um cliente que sai no 3º mês provavelmente não é recuperado, gerando prejuízo operacional.</w:t>
      </w:r>
    </w:p>
    <w:p w14:paraId="52E181F3" w14:textId="77777777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6. Conclusões e Recomendações Estratégicas</w:t>
      </w:r>
    </w:p>
    <w:p w14:paraId="30432F0E" w14:textId="77777777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sz w:val="22"/>
          <w:szCs w:val="22"/>
        </w:rPr>
        <w:t>A análise demonstra que o Churn na Telecom X não é aleatório, mas sim estrutural. Para reverter o cenário atual de 25,72% de perda, recomenda-se:</w:t>
      </w:r>
    </w:p>
    <w:p w14:paraId="1C70F585" w14:textId="77777777" w:rsidR="00BE0724" w:rsidRPr="00BE0724" w:rsidRDefault="00BE0724" w:rsidP="00BE072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Migração Compulsória/Incentivada:</w:t>
      </w:r>
      <w:r w:rsidRPr="00BE0724">
        <w:rPr>
          <w:rFonts w:asciiTheme="minorBidi" w:hAnsiTheme="minorBidi"/>
          <w:sz w:val="22"/>
          <w:szCs w:val="22"/>
        </w:rPr>
        <w:t xml:space="preserve"> Implementar uma campanha agressiva de conversão de clientes "Mês a Mês" para planos anuais. O uso de contratos de longo prazo atua como uma "solução térmica", reduzindo o Churn de 54% para níveis abaixo de 5% no público idoso.</w:t>
      </w:r>
    </w:p>
    <w:p w14:paraId="3487A318" w14:textId="77777777" w:rsidR="00BE0724" w:rsidRPr="00BE0724" w:rsidRDefault="00BE0724" w:rsidP="00BE072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Régua de Relacionamento Crítica:</w:t>
      </w:r>
      <w:r w:rsidRPr="00BE0724">
        <w:rPr>
          <w:rFonts w:asciiTheme="minorBidi" w:hAnsiTheme="minorBidi"/>
          <w:sz w:val="22"/>
          <w:szCs w:val="22"/>
        </w:rPr>
        <w:t xml:space="preserve"> Focar esforços de CS (</w:t>
      </w:r>
      <w:r w:rsidRPr="00BE0724">
        <w:rPr>
          <w:rFonts w:asciiTheme="minorBidi" w:hAnsiTheme="minorBidi"/>
          <w:i/>
          <w:iCs/>
          <w:sz w:val="22"/>
          <w:szCs w:val="22"/>
        </w:rPr>
        <w:t>Customer Success</w:t>
      </w:r>
      <w:r w:rsidRPr="00BE0724">
        <w:rPr>
          <w:rFonts w:asciiTheme="minorBidi" w:hAnsiTheme="minorBidi"/>
          <w:sz w:val="22"/>
          <w:szCs w:val="22"/>
        </w:rPr>
        <w:t>) e suporte prioritário nos primeiros 180 dias de contrato, período onde ocorre a maior parte das desistências.</w:t>
      </w:r>
    </w:p>
    <w:p w14:paraId="528896E6" w14:textId="77777777" w:rsidR="00BE0724" w:rsidRPr="00BE0724" w:rsidRDefault="00BE0724" w:rsidP="00BE072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lastRenderedPageBreak/>
        <w:t>Programa de Fidelidade para Idosos:</w:t>
      </w:r>
      <w:r w:rsidRPr="00BE0724">
        <w:rPr>
          <w:rFonts w:asciiTheme="minorBidi" w:hAnsiTheme="minorBidi"/>
          <w:sz w:val="22"/>
          <w:szCs w:val="22"/>
        </w:rPr>
        <w:t xml:space="preserve"> Desenvolver pacotes específicos para o público sênior que incluam suporte técnico premium ou benefícios por tempo de casa, mitigando o risco elevado identificado neste segmento.</w:t>
      </w:r>
    </w:p>
    <w:p w14:paraId="5D11E4D2" w14:textId="77777777" w:rsidR="00BE0724" w:rsidRPr="00BE0724" w:rsidRDefault="00BE0724" w:rsidP="00BE0724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Estabilização Financeira:</w:t>
      </w:r>
      <w:r w:rsidRPr="00BE0724">
        <w:rPr>
          <w:rFonts w:asciiTheme="minorBidi" w:hAnsiTheme="minorBidi"/>
          <w:sz w:val="22"/>
          <w:szCs w:val="22"/>
        </w:rPr>
        <w:t xml:space="preserve"> Priorizar a venda de pacotes com faturamento estável para evitar surpresas no valor mensal, um dos principais gatilhos de insatisfação.</w:t>
      </w:r>
    </w:p>
    <w:p w14:paraId="3321EC66" w14:textId="77777777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36386BE2" w14:textId="77777777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p w14:paraId="53E9AEC1" w14:textId="5C138ED0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Autor:</w:t>
      </w:r>
      <w:r w:rsidRPr="00BE0724">
        <w:rPr>
          <w:rFonts w:asciiTheme="minorBidi" w:hAnsiTheme="minorBidi"/>
          <w:sz w:val="22"/>
          <w:szCs w:val="22"/>
        </w:rPr>
        <w:t xml:space="preserve"> Vanclercio da Rocha Pontes </w:t>
      </w:r>
    </w:p>
    <w:p w14:paraId="4823B147" w14:textId="5ABE5C59" w:rsidR="00BE0724" w:rsidRPr="00BE0724" w:rsidRDefault="00BE0724" w:rsidP="00BE0724">
      <w:pPr>
        <w:pStyle w:val="PargrafodaLista"/>
        <w:spacing w:line="360" w:lineRule="auto"/>
        <w:jc w:val="both"/>
        <w:rPr>
          <w:rFonts w:asciiTheme="minorBidi" w:hAnsiTheme="minorBidi"/>
          <w:sz w:val="22"/>
          <w:szCs w:val="22"/>
        </w:rPr>
      </w:pPr>
      <w:r w:rsidRPr="00BE0724">
        <w:rPr>
          <w:rFonts w:asciiTheme="minorBidi" w:hAnsiTheme="minorBidi"/>
          <w:b/>
          <w:bCs/>
          <w:sz w:val="22"/>
          <w:szCs w:val="22"/>
        </w:rPr>
        <w:t>Projeto:</w:t>
      </w:r>
      <w:r w:rsidRPr="00BE0724">
        <w:rPr>
          <w:rFonts w:asciiTheme="minorBidi" w:hAnsiTheme="minorBidi"/>
          <w:sz w:val="22"/>
          <w:szCs w:val="22"/>
        </w:rPr>
        <w:t xml:space="preserve"> Challenge Telecom X - Oracle One / Alura</w:t>
      </w:r>
    </w:p>
    <w:p w14:paraId="5A3FC921" w14:textId="77777777" w:rsidR="00BE0724" w:rsidRPr="00BE0724" w:rsidRDefault="00BE0724" w:rsidP="00BE0724">
      <w:pPr>
        <w:spacing w:line="360" w:lineRule="auto"/>
        <w:jc w:val="both"/>
        <w:rPr>
          <w:rFonts w:asciiTheme="minorBidi" w:hAnsiTheme="minorBidi"/>
          <w:sz w:val="22"/>
          <w:szCs w:val="22"/>
        </w:rPr>
      </w:pPr>
    </w:p>
    <w:sectPr w:rsidR="00BE0724" w:rsidRPr="00BE07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5198"/>
    <w:multiLevelType w:val="hybridMultilevel"/>
    <w:tmpl w:val="0422D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2503B"/>
    <w:multiLevelType w:val="multilevel"/>
    <w:tmpl w:val="7B96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47AB"/>
    <w:multiLevelType w:val="multilevel"/>
    <w:tmpl w:val="6ED4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4A12"/>
    <w:multiLevelType w:val="multilevel"/>
    <w:tmpl w:val="9C5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34D83"/>
    <w:multiLevelType w:val="multilevel"/>
    <w:tmpl w:val="BF76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02FC4"/>
    <w:multiLevelType w:val="multilevel"/>
    <w:tmpl w:val="443E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233372">
    <w:abstractNumId w:val="4"/>
  </w:num>
  <w:num w:numId="2" w16cid:durableId="2075852901">
    <w:abstractNumId w:val="1"/>
  </w:num>
  <w:num w:numId="3" w16cid:durableId="642933909">
    <w:abstractNumId w:val="3"/>
  </w:num>
  <w:num w:numId="4" w16cid:durableId="1196043059">
    <w:abstractNumId w:val="0"/>
  </w:num>
  <w:num w:numId="5" w16cid:durableId="1845702812">
    <w:abstractNumId w:val="2"/>
  </w:num>
  <w:num w:numId="6" w16cid:durableId="139076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24"/>
    <w:rsid w:val="000A70D5"/>
    <w:rsid w:val="00644332"/>
    <w:rsid w:val="00BE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EAFC3"/>
  <w15:chartTrackingRefBased/>
  <w15:docId w15:val="{0D0818FD-91D2-484A-81AA-B23E665BF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0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0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0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0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0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0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0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0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0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0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07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07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07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07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07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07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0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0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0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0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0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07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07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07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0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07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07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Pontes</dc:creator>
  <cp:keywords/>
  <dc:description/>
  <cp:lastModifiedBy>Van Pontes</cp:lastModifiedBy>
  <cp:revision>2</cp:revision>
  <dcterms:created xsi:type="dcterms:W3CDTF">2026-03-04T17:53:00Z</dcterms:created>
  <dcterms:modified xsi:type="dcterms:W3CDTF">2026-03-04T18:22:00Z</dcterms:modified>
</cp:coreProperties>
</file>