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56C6FC">
      <w:pPr>
        <w:spacing w:before="480" w:after="480" w:line="360" w:lineRule="auto"/>
        <w:ind w:left="0"/>
        <w:jc w:val="center"/>
        <w:rPr>
          <w:rFonts w:hint="eastAsia" w:ascii="宋体" w:hAnsi="宋体" w:eastAsia="宋体" w:cs="宋体"/>
          <w:sz w:val="15"/>
          <w:szCs w:val="16"/>
        </w:rPr>
      </w:pPr>
      <w:bookmarkStart w:id="32" w:name="_GoBack"/>
      <w:bookmarkEnd w:id="32"/>
      <w:r>
        <w:rPr>
          <w:rFonts w:hint="eastAsia" w:ascii="宋体" w:hAnsi="宋体" w:eastAsia="宋体" w:cs="宋体"/>
          <w:b/>
          <w:sz w:val="36"/>
          <w:szCs w:val="16"/>
        </w:rPr>
        <w:t>外部数据采集平台软件招采需求说明书</w:t>
      </w:r>
    </w:p>
    <w:p w14:paraId="7FF66B74">
      <w:pPr>
        <w:spacing w:before="380" w:after="140" w:line="360" w:lineRule="auto"/>
        <w:ind w:left="0"/>
        <w:jc w:val="left"/>
        <w:outlineLvl w:val="0"/>
        <w:rPr>
          <w:rFonts w:hint="eastAsia" w:ascii="宋体" w:hAnsi="宋体" w:eastAsia="宋体" w:cs="宋体"/>
        </w:rPr>
      </w:pPr>
      <w:bookmarkStart w:id="0" w:name="heading_0"/>
      <w:r>
        <w:rPr>
          <w:rFonts w:hint="eastAsia" w:ascii="宋体" w:hAnsi="宋体" w:eastAsia="宋体" w:cs="宋体"/>
          <w:b/>
          <w:sz w:val="36"/>
        </w:rPr>
        <w:t>一、项目概述</w:t>
      </w:r>
      <w:bookmarkEnd w:id="0"/>
    </w:p>
    <w:p w14:paraId="07C13EB9">
      <w:pPr>
        <w:spacing w:before="320" w:after="120" w:line="360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" w:name="heading_1"/>
      <w:r>
        <w:rPr>
          <w:rFonts w:hint="eastAsia" w:ascii="宋体" w:hAnsi="宋体" w:eastAsia="宋体" w:cs="宋体"/>
          <w:b/>
          <w:sz w:val="32"/>
        </w:rPr>
        <w:t>1.1 项目背景</w:t>
      </w:r>
      <w:bookmarkEnd w:id="1"/>
    </w:p>
    <w:p w14:paraId="7C1DE8F3">
      <w:pPr>
        <w:spacing w:before="120" w:after="120" w:line="360" w:lineRule="auto"/>
        <w:ind w:left="0" w:firstLine="660" w:firstLineChars="30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随着金融业务数字化转型的深入推进，外部数据已成为金融机构开展精准营销、风险防控、客户运营、合规监管等核心业务的关键生产要素。当前，机构内部外部数据接入存在</w:t>
      </w:r>
      <w:r>
        <w:rPr>
          <w:rFonts w:hint="eastAsia" w:ascii="宋体" w:hAnsi="宋体" w:eastAsia="宋体" w:cs="宋体"/>
          <w:b/>
          <w:sz w:val="22"/>
        </w:rPr>
        <w:t>渠道分散、标准不一、管理缺位、价值未充分释放</w:t>
      </w:r>
      <w:r>
        <w:rPr>
          <w:rFonts w:hint="eastAsia" w:ascii="宋体" w:hAnsi="宋体" w:eastAsia="宋体" w:cs="宋体"/>
          <w:sz w:val="22"/>
        </w:rPr>
        <w:t>等问题，亟需建设统一的外部数据采集平台，实现外部数据的</w:t>
      </w:r>
      <w:r>
        <w:rPr>
          <w:rFonts w:hint="eastAsia" w:ascii="宋体" w:hAnsi="宋体" w:eastAsia="宋体" w:cs="宋体"/>
          <w:b/>
          <w:sz w:val="22"/>
        </w:rPr>
        <w:t>扎口管理、统一接入、集中服务、全程管控</w:t>
      </w:r>
      <w:r>
        <w:rPr>
          <w:rFonts w:hint="eastAsia" w:ascii="宋体" w:hAnsi="宋体" w:eastAsia="宋体" w:cs="宋体"/>
          <w:sz w:val="22"/>
        </w:rPr>
        <w:t>，全面提升外部数据治理与应用能力。</w:t>
      </w:r>
    </w:p>
    <w:p w14:paraId="6FCEC582">
      <w:pPr>
        <w:spacing w:before="320" w:after="120" w:line="360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2" w:name="heading_2"/>
      <w:r>
        <w:rPr>
          <w:rFonts w:hint="eastAsia" w:ascii="宋体" w:hAnsi="宋体" w:eastAsia="宋体" w:cs="宋体"/>
          <w:b/>
          <w:sz w:val="32"/>
        </w:rPr>
        <w:t>1.2 建设目标</w:t>
      </w:r>
      <w:bookmarkEnd w:id="2"/>
    </w:p>
    <w:p w14:paraId="2E5BE809">
      <w:pPr>
        <w:numPr>
          <w:ilvl w:val="0"/>
          <w:numId w:val="1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统一扎口</w:t>
      </w:r>
      <w:r>
        <w:rPr>
          <w:rFonts w:hint="eastAsia" w:ascii="宋体" w:hAnsi="宋体" w:eastAsia="宋体" w:cs="宋体"/>
          <w:sz w:val="22"/>
        </w:rPr>
        <w:t>：实现全机构外部数据的统一接入、统一管理、统一服务，杜绝多头接入、重复采购。</w:t>
      </w:r>
    </w:p>
    <w:p w14:paraId="551C56FA">
      <w:pPr>
        <w:numPr>
          <w:ilvl w:val="0"/>
          <w:numId w:val="1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高效接入</w:t>
      </w:r>
      <w:r>
        <w:rPr>
          <w:rFonts w:hint="eastAsia" w:ascii="宋体" w:hAnsi="宋体" w:eastAsia="宋体" w:cs="宋体"/>
          <w:sz w:val="22"/>
        </w:rPr>
        <w:t>：支持多类型、多协议外部数据的快速接入，大幅缩短数据上线周期。</w:t>
      </w:r>
    </w:p>
    <w:p w14:paraId="48A1897E">
      <w:pPr>
        <w:numPr>
          <w:ilvl w:val="0"/>
          <w:numId w:val="1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合规管控</w:t>
      </w:r>
      <w:r>
        <w:rPr>
          <w:rFonts w:hint="eastAsia" w:ascii="宋体" w:hAnsi="宋体" w:eastAsia="宋体" w:cs="宋体"/>
          <w:sz w:val="22"/>
        </w:rPr>
        <w:t>：实现数据全生命周期的合规管控、质量监控、计费计量与监管统计，满足金融监管要求。</w:t>
      </w:r>
    </w:p>
    <w:p w14:paraId="7DF7E8D9">
      <w:pPr>
        <w:numPr>
          <w:ilvl w:val="0"/>
          <w:numId w:val="1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价值释放</w:t>
      </w:r>
      <w:r>
        <w:rPr>
          <w:rFonts w:hint="eastAsia" w:ascii="宋体" w:hAnsi="宋体" w:eastAsia="宋体" w:cs="宋体"/>
          <w:sz w:val="22"/>
        </w:rPr>
        <w:t>：建设外部数据集市，实现数据共享复用、缓存存储再利用，充分发挥外部数据资产价值。</w:t>
      </w:r>
    </w:p>
    <w:p w14:paraId="6719CBC4">
      <w:pPr>
        <w:spacing w:before="320" w:after="120" w:line="360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3" w:name="heading_3"/>
      <w:r>
        <w:rPr>
          <w:rFonts w:hint="eastAsia" w:ascii="宋体" w:hAnsi="宋体" w:eastAsia="宋体" w:cs="宋体"/>
          <w:b/>
          <w:sz w:val="32"/>
        </w:rPr>
        <w:t>1.3 建设范围</w:t>
      </w:r>
      <w:bookmarkEnd w:id="3"/>
    </w:p>
    <w:p w14:paraId="58AF7964">
      <w:pPr>
        <w:spacing w:before="120" w:after="120" w:line="360" w:lineRule="auto"/>
        <w:ind w:left="0" w:firstLine="440" w:firstLineChars="20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本项目采购范围为外部数据采集平台软件产品及配套实施服务，覆盖合作方管理、外部数据接入、外部数据服务、数据目录与预览、消费方管理、数据缓存存储、计费管理、统计监管、数据质量管理九大核心功能模块，需满足金融机构生产环境部署、合规管控与高可用运行要求。</w:t>
      </w:r>
    </w:p>
    <w:p w14:paraId="7CD43793">
      <w:pPr>
        <w:spacing w:before="380" w:after="140" w:line="360" w:lineRule="auto"/>
        <w:ind w:left="0"/>
        <w:jc w:val="left"/>
        <w:outlineLvl w:val="0"/>
        <w:rPr>
          <w:rFonts w:hint="eastAsia" w:ascii="宋体" w:hAnsi="宋体" w:eastAsia="宋体" w:cs="宋体"/>
        </w:rPr>
      </w:pPr>
      <w:bookmarkStart w:id="4" w:name="heading_4"/>
      <w:r>
        <w:rPr>
          <w:rFonts w:hint="eastAsia" w:ascii="宋体" w:hAnsi="宋体" w:eastAsia="宋体" w:cs="宋体"/>
          <w:b/>
          <w:sz w:val="36"/>
        </w:rPr>
        <w:t>二、功能需求</w:t>
      </w:r>
      <w:bookmarkEnd w:id="4"/>
    </w:p>
    <w:p w14:paraId="52ACAC60">
      <w:pPr>
        <w:spacing w:before="320" w:after="120" w:line="360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5" w:name="heading_5"/>
      <w:r>
        <w:rPr>
          <w:rFonts w:hint="eastAsia" w:ascii="宋体" w:hAnsi="宋体" w:eastAsia="宋体" w:cs="宋体"/>
          <w:b/>
          <w:sz w:val="32"/>
        </w:rPr>
        <w:t>2.1 合作方管理</w:t>
      </w:r>
      <w:bookmarkEnd w:id="5"/>
    </w:p>
    <w:p w14:paraId="55537E71">
      <w:pPr>
        <w:numPr>
          <w:ilvl w:val="0"/>
          <w:numId w:val="2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支持外部数据合作方全生命周期管理，包括合作方信息注册、资质审核、准入审批、协议管理、评级评价、退出注销。</w:t>
      </w:r>
    </w:p>
    <w:p w14:paraId="07EA3D3E">
      <w:pPr>
        <w:numPr>
          <w:ilvl w:val="0"/>
          <w:numId w:val="2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支持合作方分类分级管理，可按数据类型、行业属性、合规等级、服务质量等维度进行标签化分类。</w:t>
      </w:r>
    </w:p>
    <w:p w14:paraId="3EB5385E">
      <w:pPr>
        <w:numPr>
          <w:ilvl w:val="0"/>
          <w:numId w:val="2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支持合作方接口配置、密钥管理、权限管控，可灵活配置合作方的接入权限、数据范围、调用频次限制。</w:t>
      </w:r>
    </w:p>
    <w:p w14:paraId="57F4F36C">
      <w:pPr>
        <w:numPr>
          <w:ilvl w:val="0"/>
          <w:numId w:val="2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支持合作方服务质量监控，包括接口可用性、响应时长、数据准确率、合规性等指标的实时监测与预警。</w:t>
      </w:r>
    </w:p>
    <w:p w14:paraId="19810F6D">
      <w:pPr>
        <w:spacing w:before="320" w:after="120" w:line="360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6" w:name="heading_6"/>
      <w:r>
        <w:rPr>
          <w:rFonts w:hint="eastAsia" w:ascii="宋体" w:hAnsi="宋体" w:eastAsia="宋体" w:cs="宋体"/>
          <w:b/>
          <w:sz w:val="32"/>
        </w:rPr>
        <w:t>2.2 外部数据接入</w:t>
      </w:r>
      <w:bookmarkEnd w:id="6"/>
    </w:p>
    <w:p w14:paraId="76182BCE">
      <w:pPr>
        <w:numPr>
          <w:ilvl w:val="0"/>
          <w:numId w:val="3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支持多类型外部数据接入，包括但不限于</w:t>
      </w:r>
      <w:r>
        <w:rPr>
          <w:rFonts w:hint="eastAsia" w:ascii="宋体" w:hAnsi="宋体" w:eastAsia="宋体" w:cs="宋体"/>
          <w:b/>
          <w:sz w:val="22"/>
        </w:rPr>
        <w:t>政务数据、征信数据、工商司法数据、运营商数据、互联网公开数据、行业垂直数据</w:t>
      </w:r>
      <w:r>
        <w:rPr>
          <w:rFonts w:hint="eastAsia" w:ascii="宋体" w:hAnsi="宋体" w:eastAsia="宋体" w:cs="宋体"/>
          <w:sz w:val="22"/>
        </w:rPr>
        <w:t>等。</w:t>
      </w:r>
    </w:p>
    <w:p w14:paraId="1EB92668">
      <w:pPr>
        <w:numPr>
          <w:ilvl w:val="0"/>
          <w:numId w:val="3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支持多协议接入方式，包括HTTP/HTTPS、WebService、SFTP/FTP、Kafka、MQ、数据库直连、API网关对接等，支持主流数据格式（JSON、XML、CSV、Excel等）。</w:t>
      </w:r>
    </w:p>
    <w:p w14:paraId="7A4705D0">
      <w:pPr>
        <w:numPr>
          <w:ilvl w:val="0"/>
          <w:numId w:val="3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</w:t>
      </w:r>
      <w:r>
        <w:rPr>
          <w:rFonts w:hint="eastAsia" w:ascii="宋体" w:hAnsi="宋体" w:eastAsia="宋体" w:cs="宋体"/>
          <w:b/>
          <w:sz w:val="22"/>
        </w:rPr>
        <w:t>标准服务与定制接口</w:t>
      </w:r>
      <w:r>
        <w:rPr>
          <w:rFonts w:hint="eastAsia" w:ascii="宋体" w:hAnsi="宋体" w:eastAsia="宋体" w:cs="宋体"/>
          <w:sz w:val="22"/>
        </w:rPr>
        <w:t>两种接入模式，标准接口实现开箱即用，定制接口支持可视化配置与快速开发，满足差异化接入需求。</w:t>
      </w:r>
    </w:p>
    <w:p w14:paraId="528DD6B9">
      <w:pPr>
        <w:numPr>
          <w:ilvl w:val="0"/>
          <w:numId w:val="3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支持数据接入全流程管控，包括需求申请、字段映射、规则配置、测试验证、上线审批、版本管理、下线管控。</w:t>
      </w:r>
    </w:p>
    <w:p w14:paraId="1573098D">
      <w:pPr>
        <w:numPr>
          <w:ilvl w:val="0"/>
          <w:numId w:val="3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支持增量同步、全量同步、实时推送、定时拉取等多种数据同步模式，可灵活配置同步策略与调度规则。</w:t>
      </w:r>
    </w:p>
    <w:p w14:paraId="2B470C46">
      <w:pPr>
        <w:spacing w:before="320" w:after="120" w:line="360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7" w:name="heading_7"/>
      <w:r>
        <w:rPr>
          <w:rFonts w:hint="eastAsia" w:ascii="宋体" w:hAnsi="宋体" w:eastAsia="宋体" w:cs="宋体"/>
          <w:b/>
          <w:sz w:val="32"/>
        </w:rPr>
        <w:t>2.3 外部数据服务</w:t>
      </w:r>
      <w:bookmarkEnd w:id="7"/>
    </w:p>
    <w:p w14:paraId="7F5BA090">
      <w:pPr>
        <w:numPr>
          <w:ilvl w:val="0"/>
          <w:numId w:val="4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以</w:t>
      </w:r>
      <w:r>
        <w:rPr>
          <w:rFonts w:hint="eastAsia" w:ascii="宋体" w:hAnsi="宋体" w:eastAsia="宋体" w:cs="宋体"/>
          <w:b/>
          <w:sz w:val="22"/>
        </w:rPr>
        <w:t>标准服务和定制接口</w:t>
      </w:r>
      <w:r>
        <w:rPr>
          <w:rFonts w:hint="eastAsia" w:ascii="宋体" w:hAnsi="宋体" w:eastAsia="宋体" w:cs="宋体"/>
          <w:sz w:val="22"/>
        </w:rPr>
        <w:t>两种方式向内部各业务系统提供数据服务，实现数据服务的统一封装、统一发布、统一管控。</w:t>
      </w:r>
    </w:p>
    <w:p w14:paraId="5B376DEC">
      <w:pPr>
        <w:numPr>
          <w:ilvl w:val="0"/>
          <w:numId w:val="4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支持服务的全生命周期管理，包括服务注册、接口定义、参数配置、测试验证、发布上线、版本迭代、下线归档。</w:t>
      </w:r>
    </w:p>
    <w:p w14:paraId="1438941F">
      <w:pPr>
        <w:numPr>
          <w:ilvl w:val="0"/>
          <w:numId w:val="4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支持服务路由、负载均衡、流量控制、熔断降级、超时重试等能力，保障服务高可用与高性能。</w:t>
      </w:r>
    </w:p>
    <w:p w14:paraId="19C3E123">
      <w:pPr>
        <w:numPr>
          <w:ilvl w:val="0"/>
          <w:numId w:val="4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支持服务权限管控，可按业务系统、用户角色配置服务调用权限，实现细粒度的访问控制。</w:t>
      </w:r>
    </w:p>
    <w:p w14:paraId="2E79A71A">
      <w:pPr>
        <w:numPr>
          <w:ilvl w:val="0"/>
          <w:numId w:val="4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支持服务调用日志全量记录，可追溯每一次调用的请求参数、响应结果、耗时、状态等信息。</w:t>
      </w:r>
    </w:p>
    <w:p w14:paraId="58A78F36">
      <w:pPr>
        <w:spacing w:before="320" w:after="120" w:line="360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8" w:name="heading_8"/>
      <w:r>
        <w:rPr>
          <w:rFonts w:hint="eastAsia" w:ascii="宋体" w:hAnsi="宋体" w:eastAsia="宋体" w:cs="宋体"/>
          <w:b/>
          <w:sz w:val="32"/>
        </w:rPr>
        <w:t>2.4 数据目录访问与数据预览</w:t>
      </w:r>
      <w:bookmarkEnd w:id="8"/>
    </w:p>
    <w:p w14:paraId="71BF783B">
      <w:pPr>
        <w:numPr>
          <w:ilvl w:val="0"/>
          <w:numId w:val="5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建设统一的外部数据目录，支持按数据主题、合作方、数据类型、业务场景等多维度分类管理，实现数据资产的可视化呈现。</w:t>
      </w:r>
    </w:p>
    <w:p w14:paraId="31AB0E38">
      <w:pPr>
        <w:numPr>
          <w:ilvl w:val="0"/>
          <w:numId w:val="5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支持数据元信息管理，包括数据字段定义、数据格式、更新频率、数据来源、合规说明、使用限制等信息的完整维护与展示。</w:t>
      </w:r>
    </w:p>
    <w:p w14:paraId="35E689B7">
      <w:pPr>
        <w:numPr>
          <w:ilvl w:val="0"/>
          <w:numId w:val="5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支持数据预览功能，可在授权范围内查看样本数据、数据统计信息、数据质量报告，辅助业务方评估数据适用性。</w:t>
      </w:r>
    </w:p>
    <w:p w14:paraId="10523C0C">
      <w:pPr>
        <w:numPr>
          <w:ilvl w:val="0"/>
          <w:numId w:val="5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支持数据检索与智能推荐，可通过关键词、标签、业务场景快速检索目标数据，支持基于业务需求的智能数据推荐。</w:t>
      </w:r>
    </w:p>
    <w:p w14:paraId="6AAD191C">
      <w:pPr>
        <w:numPr>
          <w:ilvl w:val="0"/>
          <w:numId w:val="5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支持数据申请流程，业务方可在线提交数据使用申请，经审批通过后自动开通对应服务权限。</w:t>
      </w:r>
    </w:p>
    <w:p w14:paraId="171E523E">
      <w:pPr>
        <w:spacing w:before="320" w:after="120" w:line="360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9" w:name="heading_9"/>
      <w:r>
        <w:rPr>
          <w:rFonts w:hint="eastAsia" w:ascii="宋体" w:hAnsi="宋体" w:eastAsia="宋体" w:cs="宋体"/>
          <w:b/>
          <w:sz w:val="32"/>
        </w:rPr>
        <w:t>2.5 数据消费方管理（调用方）</w:t>
      </w:r>
      <w:bookmarkEnd w:id="9"/>
    </w:p>
    <w:p w14:paraId="59282FAA">
      <w:pPr>
        <w:numPr>
          <w:ilvl w:val="0"/>
          <w:numId w:val="6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支持数据消费方全生命周期管理，包括消费方注册、资质审核、权限审批、配额配置、服务开通、注销管控。</w:t>
      </w:r>
    </w:p>
    <w:p w14:paraId="6EC668C3">
      <w:pPr>
        <w:numPr>
          <w:ilvl w:val="0"/>
          <w:numId w:val="6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支持消费方分类分级管理，可按业务条线、系统类型、合规等级进行分类，实现差异化管控。</w:t>
      </w:r>
    </w:p>
    <w:p w14:paraId="08CFB8BB">
      <w:pPr>
        <w:numPr>
          <w:ilvl w:val="0"/>
          <w:numId w:val="6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支持消费方配额管理，可灵活配置调用频次、数据量、服务范围等配额限制，支持配额预警与超额管控。</w:t>
      </w:r>
    </w:p>
    <w:p w14:paraId="7A8F50B8">
      <w:pPr>
        <w:numPr>
          <w:ilvl w:val="0"/>
          <w:numId w:val="6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支持消费方行为审计，全量记录消费方的服务调用、数据访问、操作行为，支持违规行为识别与预警。</w:t>
      </w:r>
    </w:p>
    <w:p w14:paraId="09144AF2">
      <w:pPr>
        <w:numPr>
          <w:ilvl w:val="0"/>
          <w:numId w:val="6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支持消费方服务质量反馈，可收集业务方对数据质量、服务性能的评价，持续优化数据服务能力。</w:t>
      </w:r>
    </w:p>
    <w:p w14:paraId="4DF8CDCE">
      <w:pPr>
        <w:spacing w:before="320" w:after="120" w:line="360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0" w:name="heading_10"/>
      <w:r>
        <w:rPr>
          <w:rFonts w:hint="eastAsia" w:ascii="宋体" w:hAnsi="宋体" w:eastAsia="宋体" w:cs="宋体"/>
          <w:b/>
          <w:sz w:val="32"/>
        </w:rPr>
        <w:t>2.6 数据缓存和存储再利用</w:t>
      </w:r>
      <w:bookmarkEnd w:id="10"/>
    </w:p>
    <w:p w14:paraId="5BAF787C">
      <w:pPr>
        <w:numPr>
          <w:ilvl w:val="0"/>
          <w:numId w:val="7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支持多维度数据缓存能力，包括接口结果缓存、热点数据缓存、全量数据缓存，可灵活配置缓存策略（缓存时长、更新机制、失效规则）。</w:t>
      </w:r>
    </w:p>
    <w:p w14:paraId="7959BCEC">
      <w:pPr>
        <w:numPr>
          <w:ilvl w:val="0"/>
          <w:numId w:val="7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支持分级存储管理，可按数据热度、合规要求、使用频率配置热数据、温数据、冷数据的分层存储策略，降低存储成本。</w:t>
      </w:r>
    </w:p>
    <w:p w14:paraId="36DB14A9">
      <w:pPr>
        <w:numPr>
          <w:ilvl w:val="0"/>
          <w:numId w:val="7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支持数据脱敏与加密存储，对敏感数据实现存储加密、传输加密、访问脱敏，保障数据安全。</w:t>
      </w:r>
    </w:p>
    <w:p w14:paraId="306B361F">
      <w:pPr>
        <w:numPr>
          <w:ilvl w:val="0"/>
          <w:numId w:val="7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支持数据加工与复用，可对原始外部数据进行清洗、标准化、关联整合、标签加工，形成可复用的标准化数据资产。</w:t>
      </w:r>
    </w:p>
    <w:p w14:paraId="6E8B18A8">
      <w:pPr>
        <w:numPr>
          <w:ilvl w:val="0"/>
          <w:numId w:val="7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建设外部数据集市，实现加工后数据的集中存储、统一管理、共享复用，支持多业务场景的快速调用与二次开发。</w:t>
      </w:r>
    </w:p>
    <w:p w14:paraId="48444647">
      <w:pPr>
        <w:numPr>
          <w:ilvl w:val="0"/>
          <w:numId w:val="7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支持数据生命周期管理，可配置数据的留存期限、归档规则、销毁机制，满足合规留存要求。</w:t>
      </w:r>
    </w:p>
    <w:p w14:paraId="5CF078AB">
      <w:pPr>
        <w:spacing w:before="320" w:after="120" w:line="360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1" w:name="heading_11"/>
      <w:r>
        <w:rPr>
          <w:rFonts w:hint="eastAsia" w:ascii="宋体" w:hAnsi="宋体" w:eastAsia="宋体" w:cs="宋体"/>
          <w:b/>
          <w:sz w:val="32"/>
        </w:rPr>
        <w:t>2.7 计费管理</w:t>
      </w:r>
      <w:bookmarkEnd w:id="11"/>
    </w:p>
    <w:p w14:paraId="4B39E5B0">
      <w:pPr>
        <w:numPr>
          <w:ilvl w:val="0"/>
          <w:numId w:val="8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支持多维度计费模型，包括按调用次数计费、按数据量计费、按接口计费、按套餐计费、按时长计费等多种计费模式。</w:t>
      </w:r>
    </w:p>
    <w:p w14:paraId="1DC2A819">
      <w:pPr>
        <w:numPr>
          <w:ilvl w:val="0"/>
          <w:numId w:val="8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支持灵活的计费规则配置，可针对不同合作方、不同数据服务、不同消费方配置差异化的计费规则与价格策略。</w:t>
      </w:r>
    </w:p>
    <w:p w14:paraId="25FC0C21">
      <w:pPr>
        <w:numPr>
          <w:ilvl w:val="0"/>
          <w:numId w:val="8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支持账单自动生成与核对，可按日/月/季度生成合作方结算账单与消费方费用账单，支持账单核对、异议处理、调整审批。</w:t>
      </w:r>
    </w:p>
    <w:p w14:paraId="72F616E9">
      <w:pPr>
        <w:numPr>
          <w:ilvl w:val="0"/>
          <w:numId w:val="8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支持费用统计与分析，可按合作方、消费方、数据服务、时间维度统计费用明细、费用趋势、占比分析，辅助成本管控与预算管理。</w:t>
      </w:r>
    </w:p>
    <w:p w14:paraId="46B859CD">
      <w:pPr>
        <w:numPr>
          <w:ilvl w:val="0"/>
          <w:numId w:val="8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支持与机构财务系统、采购系统的对接，实现账单数据的自动同步与流程联动。</w:t>
      </w:r>
    </w:p>
    <w:p w14:paraId="376B4C44">
      <w:pPr>
        <w:spacing w:before="320" w:after="120" w:line="360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2" w:name="heading_12"/>
      <w:r>
        <w:rPr>
          <w:rFonts w:hint="eastAsia" w:ascii="宋体" w:hAnsi="宋体" w:eastAsia="宋体" w:cs="宋体"/>
          <w:b/>
          <w:sz w:val="32"/>
        </w:rPr>
        <w:t>2.8 统计监管</w:t>
      </w:r>
      <w:bookmarkEnd w:id="12"/>
    </w:p>
    <w:p w14:paraId="5423B4E2">
      <w:pPr>
        <w:numPr>
          <w:ilvl w:val="0"/>
          <w:numId w:val="9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支持全链路数据统计，包括数据接入量、服务调用量、数据传输量、缓存命中率、服务成功率等核心指标的实时统计与趋势分析。</w:t>
      </w:r>
    </w:p>
    <w:p w14:paraId="7BD1D5EC">
      <w:pPr>
        <w:numPr>
          <w:ilvl w:val="0"/>
          <w:numId w:val="9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支持监管报表自动生成，可按照金融监管要求，生成外部数据使用合规报表、数据来源统计报表、个人信息使用报表等，支持报表的自定义配置与导出。</w:t>
      </w:r>
    </w:p>
    <w:p w14:paraId="64FB1D4E">
      <w:pPr>
        <w:numPr>
          <w:ilvl w:val="0"/>
          <w:numId w:val="9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支持监管数据报送，可对接监管机构数据报送系统，实现监管数据的自动整理、校验、加密报送。</w:t>
      </w:r>
    </w:p>
    <w:p w14:paraId="4F2B8D25">
      <w:pPr>
        <w:numPr>
          <w:ilvl w:val="0"/>
          <w:numId w:val="9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支持合规审计与追溯，可对数据全生命周期的操作行为进行审计追溯，满足监管检查与合规审计要求。</w:t>
      </w:r>
    </w:p>
    <w:p w14:paraId="07638123">
      <w:pPr>
        <w:numPr>
          <w:ilvl w:val="0"/>
          <w:numId w:val="9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支持可视化大屏展示，可直观呈现平台运行状态、数据服务情况、合规管控情况、成本费用情况等核心信息。</w:t>
      </w:r>
    </w:p>
    <w:p w14:paraId="48CA1635">
      <w:pPr>
        <w:spacing w:before="320" w:after="120" w:line="360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3" w:name="heading_13"/>
      <w:r>
        <w:rPr>
          <w:rFonts w:hint="eastAsia" w:ascii="宋体" w:hAnsi="宋体" w:eastAsia="宋体" w:cs="宋体"/>
          <w:b/>
          <w:sz w:val="32"/>
        </w:rPr>
        <w:t>2.9 数据质量管理监控</w:t>
      </w:r>
      <w:bookmarkEnd w:id="13"/>
    </w:p>
    <w:p w14:paraId="20218BF6">
      <w:pPr>
        <w:numPr>
          <w:ilvl w:val="0"/>
          <w:numId w:val="10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支持全链路数据质量监控，覆盖数据接入、传输、加工、存储、服务全环节，实现数据质量的实时监测、预警、处置。</w:t>
      </w:r>
    </w:p>
    <w:p w14:paraId="38CE16EC">
      <w:pPr>
        <w:numPr>
          <w:ilvl w:val="0"/>
          <w:numId w:val="10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支持多维度数据质量规则配置，包括完整性、准确性、一致性、及时性、有效性、唯一性六大质量维度，支持可视化规则配置与自定义规则开发。</w:t>
      </w:r>
    </w:p>
    <w:p w14:paraId="27E76FD9">
      <w:pPr>
        <w:numPr>
          <w:ilvl w:val="0"/>
          <w:numId w:val="10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支持数据质量自动校验，可对接入数据、加工数据、服务输出数据进行自动校验，识别数据异常、缺失、错误、重复等问题。</w:t>
      </w:r>
    </w:p>
    <w:p w14:paraId="4B33A513">
      <w:pPr>
        <w:numPr>
          <w:ilvl w:val="0"/>
          <w:numId w:val="10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支持数据质量问题闭环管理，包括问题发现、预警通知、工单派发、整改处置、效果验证、复盘优化的全流程管控。</w:t>
      </w:r>
    </w:p>
    <w:p w14:paraId="3A806473">
      <w:pPr>
        <w:numPr>
          <w:ilvl w:val="0"/>
          <w:numId w:val="10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支持数据质量报告生成，可按合作方、数据类型、时间维度生成数据质量报告，评估数据质量水平，辅助合作方管理与数据优化。</w:t>
      </w:r>
    </w:p>
    <w:p w14:paraId="3A3E4C1B">
      <w:pPr>
        <w:numPr>
          <w:ilvl w:val="0"/>
          <w:numId w:val="10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支持数据质量评分与评级，可对合作方数据、数据服务进行质量评分，实现数据质量的量化管理与分级管控。</w:t>
      </w:r>
    </w:p>
    <w:p w14:paraId="299B31C7">
      <w:pPr>
        <w:spacing w:before="380" w:after="140" w:line="360" w:lineRule="auto"/>
        <w:ind w:left="0"/>
        <w:jc w:val="left"/>
        <w:outlineLvl w:val="0"/>
        <w:rPr>
          <w:rFonts w:hint="eastAsia" w:ascii="宋体" w:hAnsi="宋体" w:eastAsia="宋体" w:cs="宋体"/>
        </w:rPr>
      </w:pPr>
      <w:bookmarkStart w:id="14" w:name="heading_14"/>
      <w:r>
        <w:rPr>
          <w:rFonts w:hint="eastAsia" w:ascii="宋体" w:hAnsi="宋体" w:eastAsia="宋体" w:cs="宋体"/>
          <w:b/>
          <w:sz w:val="36"/>
        </w:rPr>
        <w:t>三、技术指标要求</w:t>
      </w:r>
      <w:bookmarkEnd w:id="14"/>
    </w:p>
    <w:p w14:paraId="4D93319C">
      <w:pPr>
        <w:spacing w:before="320" w:after="120" w:line="360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5" w:name="heading_15"/>
      <w:r>
        <w:rPr>
          <w:rFonts w:hint="eastAsia" w:ascii="宋体" w:hAnsi="宋体" w:eastAsia="宋体" w:cs="宋体"/>
          <w:b/>
          <w:sz w:val="32"/>
        </w:rPr>
        <w:t>3.1 系统性能指标</w:t>
      </w:r>
      <w:bookmarkEnd w:id="15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35"/>
        <w:gridCol w:w="2147"/>
        <w:gridCol w:w="4798"/>
      </w:tblGrid>
      <w:tr w14:paraId="2FC489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0A375">
            <w:pPr>
              <w:spacing w:before="120" w:after="120" w:line="36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指标类别</w:t>
            </w:r>
          </w:p>
        </w:tc>
        <w:tc>
          <w:tcPr>
            <w:tcW w:w="21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DF8D5">
            <w:pPr>
              <w:spacing w:before="120" w:after="120" w:line="36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指标项</w:t>
            </w:r>
          </w:p>
        </w:tc>
        <w:tc>
          <w:tcPr>
            <w:tcW w:w="4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799BC">
            <w:pPr>
              <w:spacing w:before="120" w:after="120" w:line="36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技术要求</w:t>
            </w:r>
          </w:p>
        </w:tc>
      </w:tr>
      <w:tr w14:paraId="46DCDF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208AC">
            <w:pPr>
              <w:spacing w:before="120" w:after="120" w:line="36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接口性能</w:t>
            </w:r>
          </w:p>
        </w:tc>
        <w:tc>
          <w:tcPr>
            <w:tcW w:w="21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170B7">
            <w:pPr>
              <w:spacing w:before="120" w:after="120" w:line="36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接口响应时间</w:t>
            </w:r>
          </w:p>
        </w:tc>
        <w:tc>
          <w:tcPr>
            <w:tcW w:w="4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69D6E">
            <w:pPr>
              <w:spacing w:before="120" w:after="120" w:line="36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标准接口平均响应时间≤200ms，95%响应时间≤500ms，99%响应时间≤1s；定制接口平均响应时间≤500ms，95%响应时间≤1s</w:t>
            </w:r>
          </w:p>
        </w:tc>
      </w:tr>
      <w:tr w14:paraId="39B6CB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5210C">
            <w:pPr>
              <w:spacing w:before="120" w:after="120" w:line="36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1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F95C8">
            <w:pPr>
              <w:spacing w:before="120" w:after="120" w:line="36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并发处理能力</w:t>
            </w:r>
          </w:p>
        </w:tc>
        <w:tc>
          <w:tcPr>
            <w:tcW w:w="4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8D39F">
            <w:pPr>
              <w:spacing w:before="120" w:after="120" w:line="36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支持≥1000TPS的并发请求处理，峰值支持≥2000TPS，可通过集群扩展线性提升性能</w:t>
            </w:r>
          </w:p>
        </w:tc>
      </w:tr>
      <w:tr w14:paraId="1EEA4F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5F3F9">
            <w:pPr>
              <w:spacing w:before="120" w:after="120" w:line="36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1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90E3C">
            <w:pPr>
              <w:spacing w:before="120" w:after="120" w:line="36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数据传输能力</w:t>
            </w:r>
          </w:p>
        </w:tc>
        <w:tc>
          <w:tcPr>
            <w:tcW w:w="4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4856F">
            <w:pPr>
              <w:spacing w:before="120" w:after="120" w:line="36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支持单批次≥100万条数据的批量传输，传输速率≥100MB/s，支持断点续传</w:t>
            </w:r>
          </w:p>
        </w:tc>
      </w:tr>
      <w:tr w14:paraId="477998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D802E">
            <w:pPr>
              <w:spacing w:before="120" w:after="120" w:line="36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数据处理性能</w:t>
            </w:r>
          </w:p>
        </w:tc>
        <w:tc>
          <w:tcPr>
            <w:tcW w:w="21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14A1F">
            <w:pPr>
              <w:spacing w:before="120" w:after="120" w:line="36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数据接入处理</w:t>
            </w:r>
          </w:p>
        </w:tc>
        <w:tc>
          <w:tcPr>
            <w:tcW w:w="4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F35E8">
            <w:pPr>
              <w:spacing w:before="120" w:after="120" w:line="36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支持日均≥10亿条数据的接入处理，单节点数据处理速率≥1万条/秒</w:t>
            </w:r>
          </w:p>
        </w:tc>
      </w:tr>
      <w:tr w14:paraId="3D34F0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BCB6B">
            <w:pPr>
              <w:spacing w:before="120" w:after="120" w:line="36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1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F8849">
            <w:pPr>
              <w:spacing w:before="120" w:after="120" w:line="36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数据加工处理</w:t>
            </w:r>
          </w:p>
        </w:tc>
        <w:tc>
          <w:tcPr>
            <w:tcW w:w="4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CE3C4">
            <w:pPr>
              <w:spacing w:before="120" w:after="120" w:line="36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支持日均≥5亿条数据的清洗、标准化、关联加工处理，加工延迟≤5分钟</w:t>
            </w:r>
          </w:p>
        </w:tc>
      </w:tr>
      <w:tr w14:paraId="61CF67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88EFF">
            <w:pPr>
              <w:spacing w:before="120" w:after="120" w:line="36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缓存性能</w:t>
            </w:r>
          </w:p>
        </w:tc>
        <w:tc>
          <w:tcPr>
            <w:tcW w:w="21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C3D09">
            <w:pPr>
              <w:spacing w:before="120" w:after="120" w:line="36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缓存命中率</w:t>
            </w:r>
          </w:p>
        </w:tc>
        <w:tc>
          <w:tcPr>
            <w:tcW w:w="4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CA74E">
            <w:pPr>
              <w:spacing w:before="120" w:after="120" w:line="36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热点数据缓存命中率≥90%，缓存查询响应时间≤10ms</w:t>
            </w:r>
          </w:p>
        </w:tc>
      </w:tr>
      <w:tr w14:paraId="187542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E119B">
            <w:pPr>
              <w:spacing w:before="120" w:after="120" w:line="36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1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BF74F">
            <w:pPr>
              <w:spacing w:before="120" w:after="120" w:line="36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缓存容量</w:t>
            </w:r>
          </w:p>
        </w:tc>
        <w:tc>
          <w:tcPr>
            <w:tcW w:w="4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9C927">
            <w:pPr>
              <w:spacing w:before="120" w:after="120" w:line="36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支持≥10TB的缓存数据存储，支持水平扩展，扩展无业务中断</w:t>
            </w:r>
          </w:p>
        </w:tc>
      </w:tr>
      <w:tr w14:paraId="5E6A73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F962D">
            <w:pPr>
              <w:spacing w:before="120" w:after="120" w:line="36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查询性能</w:t>
            </w:r>
          </w:p>
        </w:tc>
        <w:tc>
          <w:tcPr>
            <w:tcW w:w="21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26307">
            <w:pPr>
              <w:spacing w:before="120" w:after="120" w:line="36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数据查询响应</w:t>
            </w:r>
          </w:p>
        </w:tc>
        <w:tc>
          <w:tcPr>
            <w:tcW w:w="47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F5748">
            <w:pPr>
              <w:spacing w:before="120" w:after="120" w:line="36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单表千万级数据查询响应时间≤2s，亿级数据查询响应时间≤5s</w:t>
            </w:r>
          </w:p>
        </w:tc>
      </w:tr>
    </w:tbl>
    <w:p w14:paraId="057BF5A5">
      <w:pPr>
        <w:spacing w:before="320" w:after="120" w:line="360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6" w:name="heading_16"/>
      <w:r>
        <w:rPr>
          <w:rFonts w:hint="eastAsia" w:ascii="宋体" w:hAnsi="宋体" w:eastAsia="宋体" w:cs="宋体"/>
          <w:b/>
          <w:sz w:val="32"/>
        </w:rPr>
        <w:t>3.2 系统可用性指标</w:t>
      </w:r>
      <w:bookmarkEnd w:id="16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5"/>
        <w:gridCol w:w="6465"/>
      </w:tblGrid>
      <w:tr w14:paraId="68FB98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39E56">
            <w:pPr>
              <w:spacing w:before="120" w:after="120" w:line="36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指标项</w:t>
            </w:r>
          </w:p>
        </w:tc>
        <w:tc>
          <w:tcPr>
            <w:tcW w:w="6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A9FA1">
            <w:pPr>
              <w:spacing w:before="120" w:after="120" w:line="36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技术要求</w:t>
            </w:r>
          </w:p>
        </w:tc>
      </w:tr>
      <w:tr w14:paraId="70C95B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15EAB">
            <w:pPr>
              <w:spacing w:before="120" w:after="120" w:line="36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系统可用性</w:t>
            </w:r>
          </w:p>
        </w:tc>
        <w:tc>
          <w:tcPr>
            <w:tcW w:w="6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FC011">
            <w:pPr>
              <w:spacing w:before="120" w:after="120" w:line="36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全年系统可用性≥99.95%，年计划外停机时间≤4.38小时</w:t>
            </w:r>
          </w:p>
        </w:tc>
      </w:tr>
      <w:tr w14:paraId="37888A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83FB0">
            <w:pPr>
              <w:spacing w:before="120" w:after="120" w:line="36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服务可用性</w:t>
            </w:r>
          </w:p>
        </w:tc>
        <w:tc>
          <w:tcPr>
            <w:tcW w:w="6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1CBC1">
            <w:pPr>
              <w:spacing w:before="120" w:after="120" w:line="36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核心数据服务可用性≥99.99%，单服务故障不影响整体平台运行</w:t>
            </w:r>
          </w:p>
        </w:tc>
      </w:tr>
      <w:tr w14:paraId="042E98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65D0A">
            <w:pPr>
              <w:spacing w:before="120" w:after="120" w:line="36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故障恢复能力</w:t>
            </w:r>
          </w:p>
        </w:tc>
        <w:tc>
          <w:tcPr>
            <w:tcW w:w="6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BE9CF">
            <w:pPr>
              <w:spacing w:before="120" w:after="120" w:line="36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单节点故障自动切换时间≤30s，集群故障恢复时间≤5分钟，数据零丢失</w:t>
            </w:r>
          </w:p>
        </w:tc>
      </w:tr>
      <w:tr w14:paraId="0A5396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2F320">
            <w:pPr>
              <w:spacing w:before="120" w:after="120" w:line="36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容灾备份</w:t>
            </w:r>
          </w:p>
        </w:tc>
        <w:tc>
          <w:tcPr>
            <w:tcW w:w="6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2B796">
            <w:pPr>
              <w:spacing w:before="120" w:after="120" w:line="36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支持同城双活或异地灾备部署，RPO≤5分钟，RTO≤30分钟</w:t>
            </w:r>
          </w:p>
        </w:tc>
      </w:tr>
      <w:tr w14:paraId="2EDD63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68DC7">
            <w:pPr>
              <w:spacing w:before="120" w:after="120" w:line="36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版本升级</w:t>
            </w:r>
          </w:p>
        </w:tc>
        <w:tc>
          <w:tcPr>
            <w:tcW w:w="6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28C44">
            <w:pPr>
              <w:spacing w:before="120" w:after="120" w:line="36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支持灰度发布、滚动升级，升级过程业务无中断，回滚时间≤10分钟</w:t>
            </w:r>
          </w:p>
        </w:tc>
      </w:tr>
    </w:tbl>
    <w:p w14:paraId="554AB24C">
      <w:pPr>
        <w:spacing w:before="320" w:after="120" w:line="360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7" w:name="heading_17"/>
      <w:r>
        <w:rPr>
          <w:rFonts w:hint="eastAsia" w:ascii="宋体" w:hAnsi="宋体" w:eastAsia="宋体" w:cs="宋体"/>
          <w:b/>
          <w:sz w:val="32"/>
        </w:rPr>
        <w:t>3.3 系统安全指标</w:t>
      </w:r>
      <w:bookmarkEnd w:id="17"/>
    </w:p>
    <w:p w14:paraId="02BD88FB">
      <w:pPr>
        <w:numPr>
          <w:ilvl w:val="0"/>
          <w:numId w:val="11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身份认证与权限控制</w:t>
      </w:r>
    </w:p>
    <w:p w14:paraId="0555FB77">
      <w:pPr>
        <w:numPr>
          <w:ilvl w:val="0"/>
          <w:numId w:val="12"/>
        </w:numPr>
        <w:spacing w:before="120" w:after="120" w:line="360" w:lineRule="auto"/>
        <w:ind w:left="0" w:leftChars="0" w:firstLine="440" w:firstLineChars="20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支持多因素身份认证（MFA），支持与机构统一身份认证系统（IAM、SSO）对接，实现单点登录。</w:t>
      </w:r>
    </w:p>
    <w:p w14:paraId="5242313A">
      <w:pPr>
        <w:numPr>
          <w:ilvl w:val="0"/>
          <w:numId w:val="12"/>
        </w:numPr>
        <w:spacing w:before="120" w:after="120" w:line="360" w:lineRule="auto"/>
        <w:ind w:left="0" w:leftChars="0" w:firstLine="440" w:firstLineChars="20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支持基于RBAC+ABAC的细粒度权限控制，可实现功能权限、数据权限、操作权限的三维管控，权限粒度可至字段级。</w:t>
      </w:r>
    </w:p>
    <w:p w14:paraId="134AD52E">
      <w:pPr>
        <w:numPr>
          <w:ilvl w:val="0"/>
          <w:numId w:val="12"/>
        </w:numPr>
        <w:spacing w:before="120" w:after="120" w:line="360" w:lineRule="auto"/>
        <w:ind w:left="0" w:leftChars="0" w:firstLine="440" w:firstLineChars="20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支持接口调用的身份认证、签名验签、时间戳防重放，支持OAuth2.0、API Key、数字证书等多种认证方式。</w:t>
      </w:r>
    </w:p>
    <w:p w14:paraId="0D8C40B2">
      <w:pPr>
        <w:numPr>
          <w:ilvl w:val="0"/>
          <w:numId w:val="11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  <w:b/>
          <w:sz w:val="22"/>
        </w:rPr>
      </w:pPr>
      <w:r>
        <w:rPr>
          <w:rFonts w:hint="eastAsia" w:ascii="宋体" w:hAnsi="宋体" w:eastAsia="宋体" w:cs="宋体"/>
          <w:b/>
          <w:sz w:val="22"/>
        </w:rPr>
        <w:t>数据安全</w:t>
      </w:r>
    </w:p>
    <w:p w14:paraId="7AE2EEB4">
      <w:pPr>
        <w:numPr>
          <w:ilvl w:val="0"/>
          <w:numId w:val="13"/>
        </w:numPr>
        <w:spacing w:before="120" w:after="120" w:line="360" w:lineRule="auto"/>
        <w:ind w:left="0" w:leftChars="0" w:firstLine="440" w:firstLineChars="20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t>支持数据传输加密（HTTPS/TLS 1.2及以上）、存储加密（国密SM4算法），支持敏感数据自动识别与脱敏。</w:t>
      </w:r>
    </w:p>
    <w:p w14:paraId="2F91AFAB">
      <w:pPr>
        <w:numPr>
          <w:ilvl w:val="0"/>
          <w:numId w:val="13"/>
        </w:numPr>
        <w:spacing w:before="120" w:after="120" w:line="360" w:lineRule="auto"/>
        <w:ind w:left="0" w:leftChars="0" w:firstLine="440" w:firstLineChars="20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t>支持数据脱敏规则灵活配置，包括掩码、替换、加密、哈希等多种脱敏方式，支持动态脱敏与静态脱敏。</w:t>
      </w:r>
    </w:p>
    <w:p w14:paraId="6661532B">
      <w:pPr>
        <w:numPr>
          <w:ilvl w:val="0"/>
          <w:numId w:val="13"/>
        </w:numPr>
        <w:spacing w:before="120" w:after="120" w:line="360" w:lineRule="auto"/>
        <w:ind w:left="0" w:leftChars="0" w:firstLine="440" w:firstLineChars="20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t>支持数据访问审计，全量记录数据访问行为，审计日志留存时间≥3年，不可篡改。</w:t>
      </w:r>
    </w:p>
    <w:p w14:paraId="66EECC3C">
      <w:pPr>
        <w:numPr>
          <w:ilvl w:val="0"/>
          <w:numId w:val="13"/>
        </w:numPr>
        <w:spacing w:before="120" w:after="120" w:line="360" w:lineRule="auto"/>
        <w:ind w:left="0" w:leftChars="0" w:firstLine="440" w:firstLineChars="20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t>符合《个人信息保护法》《数据安全法》《金融数据安全 数据生命周期安全规范》等监管要求，支持个人信息去标识化处理。</w:t>
      </w:r>
    </w:p>
    <w:p w14:paraId="6C1DD6BE">
      <w:pPr>
        <w:numPr>
          <w:ilvl w:val="0"/>
          <w:numId w:val="11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  <w:b/>
          <w:sz w:val="22"/>
        </w:rPr>
      </w:pPr>
      <w:r>
        <w:rPr>
          <w:rFonts w:hint="eastAsia" w:ascii="宋体" w:hAnsi="宋体" w:eastAsia="宋体" w:cs="宋体"/>
          <w:b/>
          <w:sz w:val="22"/>
        </w:rPr>
        <w:t>应用安全</w:t>
      </w:r>
    </w:p>
    <w:p w14:paraId="00E32F76">
      <w:pPr>
        <w:numPr>
          <w:ilvl w:val="0"/>
          <w:numId w:val="14"/>
        </w:numPr>
        <w:spacing w:before="120" w:after="120" w:line="360" w:lineRule="auto"/>
        <w:ind w:left="0" w:leftChars="0" w:firstLine="440" w:firstLineChars="20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t>支持SQL注入、XSS跨站脚本、CSRF跨站请求伪造等常见Web攻击防护，支持接口流量清洗与防刷。</w:t>
      </w:r>
    </w:p>
    <w:p w14:paraId="05EA8BFA">
      <w:pPr>
        <w:numPr>
          <w:ilvl w:val="0"/>
          <w:numId w:val="14"/>
        </w:numPr>
        <w:spacing w:before="120" w:after="120" w:line="360" w:lineRule="auto"/>
        <w:ind w:left="0" w:leftChars="0" w:firstLine="440" w:firstLineChars="20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t>支持漏洞扫描与安全基线检查，定期输出安全检测报告，支持高危漏洞24小时内修复。</w:t>
      </w:r>
    </w:p>
    <w:p w14:paraId="0E79D750">
      <w:pPr>
        <w:numPr>
          <w:ilvl w:val="0"/>
          <w:numId w:val="14"/>
        </w:numPr>
        <w:spacing w:before="120" w:after="120" w:line="360" w:lineRule="auto"/>
        <w:ind w:left="0" w:leftChars="0" w:firstLine="440" w:firstLineChars="20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t>符合国家网络安全等级保护2.0三级要求，提供等保三级测评相关支撑材料。</w:t>
      </w:r>
    </w:p>
    <w:p w14:paraId="28D1F85A">
      <w:pPr>
        <w:spacing w:before="320" w:after="120" w:line="360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8" w:name="heading_18"/>
      <w:r>
        <w:rPr>
          <w:rFonts w:hint="eastAsia" w:ascii="宋体" w:hAnsi="宋体" w:eastAsia="宋体" w:cs="宋体"/>
          <w:b/>
          <w:sz w:val="32"/>
        </w:rPr>
        <w:t>3.4 系统扩展性指标</w:t>
      </w:r>
      <w:bookmarkEnd w:id="18"/>
    </w:p>
    <w:p w14:paraId="215D4DCC">
      <w:pPr>
        <w:numPr>
          <w:ilvl w:val="0"/>
          <w:numId w:val="15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  <w:b/>
          <w:sz w:val="22"/>
        </w:rPr>
      </w:pPr>
      <w:r>
        <w:rPr>
          <w:rFonts w:hint="eastAsia" w:ascii="宋体" w:hAnsi="宋体" w:eastAsia="宋体" w:cs="宋体"/>
          <w:b/>
          <w:sz w:val="22"/>
        </w:rPr>
        <w:t>架构扩展性</w:t>
      </w:r>
    </w:p>
    <w:p w14:paraId="0908E070">
      <w:pPr>
        <w:numPr>
          <w:ilvl w:val="0"/>
          <w:numId w:val="16"/>
        </w:numPr>
        <w:spacing w:before="120" w:after="120" w:line="360" w:lineRule="auto"/>
        <w:ind w:left="0" w:leftChars="0" w:firstLine="440" w:firstLineChars="20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t>采用微服务、分布式架构设计，支持服务组件化、模块化部署，各模块可独立扩展、独立升级。</w:t>
      </w:r>
    </w:p>
    <w:p w14:paraId="6E67368D">
      <w:pPr>
        <w:numPr>
          <w:ilvl w:val="0"/>
          <w:numId w:val="16"/>
        </w:numPr>
        <w:spacing w:before="120" w:after="120" w:line="360" w:lineRule="auto"/>
        <w:ind w:left="0" w:leftChars="0" w:firstLine="440" w:firstLineChars="20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t>支持容器化部署（Docker/K8s），支持弹性伸缩，可根据业务负载自动扩缩容。</w:t>
      </w:r>
    </w:p>
    <w:p w14:paraId="2C277C3A">
      <w:pPr>
        <w:numPr>
          <w:ilvl w:val="0"/>
          <w:numId w:val="16"/>
        </w:numPr>
        <w:spacing w:before="120" w:after="120" w:line="360" w:lineRule="auto"/>
        <w:ind w:left="0" w:leftChars="0" w:firstLine="440" w:firstLineChars="20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t>支持集群水平扩展，扩展过程无业务中断，性能随节点数量线性提升。</w:t>
      </w:r>
    </w:p>
    <w:p w14:paraId="3A83DDBF">
      <w:pPr>
        <w:numPr>
          <w:ilvl w:val="0"/>
          <w:numId w:val="15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  <w:b/>
          <w:sz w:val="22"/>
        </w:rPr>
      </w:pPr>
      <w:r>
        <w:rPr>
          <w:rFonts w:hint="eastAsia" w:ascii="宋体" w:hAnsi="宋体" w:eastAsia="宋体" w:cs="宋体"/>
          <w:b/>
          <w:sz w:val="22"/>
        </w:rPr>
        <w:t>功能扩展性</w:t>
      </w:r>
    </w:p>
    <w:p w14:paraId="208E3448">
      <w:pPr>
        <w:numPr>
          <w:ilvl w:val="0"/>
          <w:numId w:val="17"/>
        </w:numPr>
        <w:spacing w:before="120" w:after="120" w:line="360" w:lineRule="auto"/>
        <w:ind w:left="0" w:leftChars="0" w:firstLine="440" w:firstLineChars="20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t>提供标准化的接入框架与开发SDK，支持新合作方、新数据接口的快速接入，新接口开发周期≤3个工作日。</w:t>
      </w:r>
    </w:p>
    <w:p w14:paraId="207E5562">
      <w:pPr>
        <w:numPr>
          <w:ilvl w:val="0"/>
          <w:numId w:val="17"/>
        </w:numPr>
        <w:spacing w:before="120" w:after="120" w:line="360" w:lineRule="auto"/>
        <w:ind w:left="0" w:leftChars="0" w:firstLine="440" w:firstLineChars="20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t>支持可视化配置化开发，无需编码即可完成80%以上的常规数据接入与服务配置需求。</w:t>
      </w:r>
    </w:p>
    <w:p w14:paraId="240BE1D4">
      <w:pPr>
        <w:numPr>
          <w:ilvl w:val="0"/>
          <w:numId w:val="17"/>
        </w:numPr>
        <w:spacing w:before="120" w:after="120" w:line="360" w:lineRule="auto"/>
        <w:ind w:left="0" w:leftChars="0" w:firstLine="440" w:firstLineChars="20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t>提供开放API与插件化扩展机制，支持自定义数据加工规则、质量规则、计费规则的扩展开发。</w:t>
      </w:r>
    </w:p>
    <w:p w14:paraId="07D318A0">
      <w:pPr>
        <w:numPr>
          <w:ilvl w:val="0"/>
          <w:numId w:val="15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  <w:b/>
          <w:sz w:val="22"/>
        </w:rPr>
      </w:pPr>
      <w:r>
        <w:rPr>
          <w:rFonts w:hint="eastAsia" w:ascii="宋体" w:hAnsi="宋体" w:eastAsia="宋体" w:cs="宋体"/>
          <w:b/>
          <w:sz w:val="22"/>
        </w:rPr>
        <w:t>存储扩展性</w:t>
      </w:r>
    </w:p>
    <w:p w14:paraId="5136CF65">
      <w:pPr>
        <w:numPr>
          <w:ilvl w:val="0"/>
          <w:numId w:val="18"/>
        </w:numPr>
        <w:spacing w:before="120" w:after="120" w:line="360" w:lineRule="auto"/>
        <w:ind w:left="0" w:leftChars="0" w:firstLine="440" w:firstLineChars="20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t>支持分布式存储架构，存储容量可在线扩展，支持PB级数据存储，扩展无业务影响。</w:t>
      </w:r>
    </w:p>
    <w:p w14:paraId="7AA8CF44">
      <w:pPr>
        <w:numPr>
          <w:ilvl w:val="0"/>
          <w:numId w:val="18"/>
        </w:numPr>
        <w:spacing w:before="120" w:after="120" w:line="360" w:lineRule="auto"/>
        <w:ind w:left="0" w:leftChars="0" w:firstLine="440" w:firstLineChars="20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t>支持多类型存储引擎适配，包括关系型数据库、NoSQL数据库、时序数据库、分布式文件系统等。</w:t>
      </w:r>
    </w:p>
    <w:p w14:paraId="4C5E47C2">
      <w:pPr>
        <w:spacing w:before="320" w:after="120" w:line="360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9" w:name="heading_19"/>
      <w:r>
        <w:rPr>
          <w:rFonts w:hint="eastAsia" w:ascii="宋体" w:hAnsi="宋体" w:eastAsia="宋体" w:cs="宋体"/>
          <w:b/>
          <w:sz w:val="32"/>
        </w:rPr>
        <w:t>3.5 系统兼容性指标</w:t>
      </w:r>
      <w:bookmarkEnd w:id="19"/>
    </w:p>
    <w:p w14:paraId="519A6F34">
      <w:pPr>
        <w:numPr>
          <w:ilvl w:val="0"/>
          <w:numId w:val="19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  <w:b/>
          <w:sz w:val="22"/>
        </w:rPr>
      </w:pPr>
      <w:r>
        <w:rPr>
          <w:rFonts w:hint="eastAsia" w:ascii="宋体" w:hAnsi="宋体" w:eastAsia="宋体" w:cs="宋体"/>
          <w:b/>
          <w:sz w:val="22"/>
        </w:rPr>
        <w:t>部署环境兼容</w:t>
      </w:r>
    </w:p>
    <w:p w14:paraId="53C9BD40">
      <w:pPr>
        <w:numPr>
          <w:ilvl w:val="0"/>
          <w:numId w:val="20"/>
        </w:numPr>
        <w:spacing w:before="120" w:after="120" w:line="360" w:lineRule="auto"/>
        <w:ind w:left="0" w:leftChars="0" w:firstLine="440" w:firstLineChars="20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t>支持国产化部署，兼容主流国产操作系统（麒麟、统信UOS等）、国产数据库（达梦、OceanBase</w:t>
      </w:r>
      <w:r>
        <w:rPr>
          <w:rFonts w:hint="eastAsia" w:ascii="宋体" w:hAnsi="宋体" w:eastAsia="宋体" w:cs="宋体"/>
          <w:sz w:val="22"/>
          <w:lang w:eastAsia="zh-CN"/>
        </w:rPr>
        <w:t>、</w:t>
      </w:r>
      <w:r>
        <w:rPr>
          <w:rFonts w:hint="eastAsia" w:ascii="宋体" w:hAnsi="宋体" w:eastAsia="宋体" w:cs="宋体"/>
          <w:sz w:val="22"/>
          <w:lang w:val="en-US" w:eastAsia="zh-CN"/>
        </w:rPr>
        <w:t>SUNDB</w:t>
      </w:r>
      <w:r>
        <w:rPr>
          <w:rFonts w:hint="eastAsia" w:ascii="宋体" w:hAnsi="宋体" w:eastAsia="宋体" w:cs="宋体"/>
          <w:sz w:val="22"/>
        </w:rPr>
        <w:t>等）、国产中间件。</w:t>
      </w:r>
    </w:p>
    <w:p w14:paraId="31C29993">
      <w:pPr>
        <w:numPr>
          <w:ilvl w:val="0"/>
          <w:numId w:val="20"/>
        </w:numPr>
        <w:spacing w:before="120" w:after="120" w:line="360" w:lineRule="auto"/>
        <w:ind w:left="0" w:leftChars="0" w:firstLine="440" w:firstLineChars="20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t>支持X86与ARM架构部署，支持物理机、虚拟机、私有云、混合云部署模式。</w:t>
      </w:r>
    </w:p>
    <w:p w14:paraId="6D3ABD5D">
      <w:pPr>
        <w:numPr>
          <w:ilvl w:val="0"/>
          <w:numId w:val="19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  <w:b/>
          <w:sz w:val="22"/>
        </w:rPr>
      </w:pPr>
      <w:r>
        <w:rPr>
          <w:rFonts w:hint="eastAsia" w:ascii="宋体" w:hAnsi="宋体" w:eastAsia="宋体" w:cs="宋体"/>
          <w:b/>
          <w:sz w:val="22"/>
        </w:rPr>
        <w:t>系统对接兼容</w:t>
      </w:r>
    </w:p>
    <w:p w14:paraId="428CA517">
      <w:pPr>
        <w:numPr>
          <w:ilvl w:val="0"/>
          <w:numId w:val="21"/>
        </w:numPr>
        <w:spacing w:before="120" w:after="120" w:line="360" w:lineRule="auto"/>
        <w:ind w:left="0" w:leftChars="0" w:firstLine="440" w:firstLineChars="20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t>支持与机构现有系统的无缝对接，包括数据中台、大数据平台、核心业务系统、风控系统、营销系统、财务系统、统一身份认证系统等。</w:t>
      </w:r>
    </w:p>
    <w:p w14:paraId="7B45F4D2">
      <w:pPr>
        <w:numPr>
          <w:ilvl w:val="0"/>
          <w:numId w:val="21"/>
        </w:numPr>
        <w:spacing w:before="120" w:after="120" w:line="360" w:lineRule="auto"/>
        <w:ind w:left="0" w:leftChars="0" w:firstLine="440" w:firstLineChars="20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t>支持主流通信协议与数据格式，支持与第三方API网关、消息队列、数据集成工具的对接。</w:t>
      </w:r>
    </w:p>
    <w:p w14:paraId="4E9242A1">
      <w:pPr>
        <w:numPr>
          <w:ilvl w:val="0"/>
          <w:numId w:val="19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  <w:b/>
          <w:sz w:val="22"/>
        </w:rPr>
      </w:pPr>
      <w:r>
        <w:rPr>
          <w:rFonts w:hint="eastAsia" w:ascii="宋体" w:hAnsi="宋体" w:eastAsia="宋体" w:cs="宋体"/>
          <w:b/>
          <w:sz w:val="22"/>
        </w:rPr>
        <w:t>客户端兼容</w:t>
      </w:r>
    </w:p>
    <w:p w14:paraId="5F055DFE">
      <w:pPr>
        <w:numPr>
          <w:ilvl w:val="0"/>
          <w:numId w:val="22"/>
        </w:numPr>
        <w:spacing w:before="120" w:after="120" w:line="360" w:lineRule="auto"/>
        <w:ind w:left="0" w:leftChars="0" w:firstLine="440" w:firstLineChars="20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t>管理控制台支持主流浏览器（Chrome、Edge、Firefox等最新版本），无需安装专用客户端。</w:t>
      </w:r>
    </w:p>
    <w:p w14:paraId="30ECBD23">
      <w:pPr>
        <w:numPr>
          <w:ilvl w:val="0"/>
          <w:numId w:val="22"/>
        </w:numPr>
        <w:spacing w:before="120" w:after="120" w:line="360" w:lineRule="auto"/>
        <w:ind w:left="0" w:leftChars="0" w:firstLine="440" w:firstLineChars="20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t>支持移动端适配，可通过移动端查看平台监控数据、接收预警通知。</w:t>
      </w:r>
    </w:p>
    <w:p w14:paraId="1ADC6172">
      <w:pPr>
        <w:spacing w:before="380" w:after="140" w:line="360" w:lineRule="auto"/>
        <w:ind w:left="0"/>
        <w:jc w:val="left"/>
        <w:outlineLvl w:val="0"/>
        <w:rPr>
          <w:rFonts w:hint="eastAsia" w:ascii="宋体" w:hAnsi="宋体" w:eastAsia="宋体" w:cs="宋体"/>
        </w:rPr>
      </w:pPr>
      <w:bookmarkStart w:id="20" w:name="heading_20"/>
      <w:r>
        <w:rPr>
          <w:rFonts w:hint="eastAsia" w:ascii="宋体" w:hAnsi="宋体" w:eastAsia="宋体" w:cs="宋体"/>
          <w:b/>
          <w:sz w:val="36"/>
        </w:rPr>
        <w:t>四、非功能性需求</w:t>
      </w:r>
      <w:bookmarkEnd w:id="20"/>
    </w:p>
    <w:p w14:paraId="3090D489">
      <w:pPr>
        <w:spacing w:before="320" w:after="120" w:line="360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21" w:name="heading_21"/>
      <w:r>
        <w:rPr>
          <w:rFonts w:hint="eastAsia" w:ascii="宋体" w:hAnsi="宋体" w:eastAsia="宋体" w:cs="宋体"/>
          <w:b/>
          <w:sz w:val="32"/>
        </w:rPr>
        <w:t>4.1 可维护性</w:t>
      </w:r>
      <w:bookmarkEnd w:id="21"/>
    </w:p>
    <w:p w14:paraId="7F7B64BC">
      <w:pPr>
        <w:numPr>
          <w:ilvl w:val="0"/>
          <w:numId w:val="23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提供完善的系统监控能力，支持服务器资源、应用服务、接口性能、数据质量的全链路监控，支持自定义监控指标与预警阈值。</w:t>
      </w:r>
    </w:p>
    <w:p w14:paraId="2DC48AA0">
      <w:pPr>
        <w:numPr>
          <w:ilvl w:val="0"/>
          <w:numId w:val="23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提供集中化的日志管理，支持日志的采集、存储、检索、分析，支持日志级别配置与日志告警。</w:t>
      </w:r>
    </w:p>
    <w:p w14:paraId="38C1C313">
      <w:pPr>
        <w:numPr>
          <w:ilvl w:val="0"/>
          <w:numId w:val="23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提供可视化的运维管理平台，支持服务状态查看、配置管理、故障排查、性能调优，降低运维复杂度。</w:t>
      </w:r>
    </w:p>
    <w:p w14:paraId="3AB84698">
      <w:pPr>
        <w:numPr>
          <w:ilvl w:val="0"/>
          <w:numId w:val="23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提供完善的产品文档，包括系统架构文档、部署手册、运维手册、开发手册、用户操作手册，文档需与产品版本同步更新。</w:t>
      </w:r>
    </w:p>
    <w:p w14:paraId="36C64FDE">
      <w:pPr>
        <w:spacing w:before="320" w:after="120" w:line="360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22" w:name="heading_22"/>
      <w:r>
        <w:rPr>
          <w:rFonts w:hint="eastAsia" w:ascii="宋体" w:hAnsi="宋体" w:eastAsia="宋体" w:cs="宋体"/>
          <w:b/>
          <w:sz w:val="32"/>
        </w:rPr>
        <w:t>4.2 易用性</w:t>
      </w:r>
      <w:bookmarkEnd w:id="22"/>
    </w:p>
    <w:p w14:paraId="00492CFB">
      <w:pPr>
        <w:numPr>
          <w:ilvl w:val="0"/>
          <w:numId w:val="24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管理界面采用直观友好的可视化设计，操作流程符合用户使用习惯，降低学习成本，普通用户培训周期≤3个工作日。</w:t>
      </w:r>
    </w:p>
    <w:p w14:paraId="1E4D81A3">
      <w:pPr>
        <w:numPr>
          <w:ilvl w:val="0"/>
          <w:numId w:val="24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支持操作引导、帮助提示、错误信息智能提示，提升操作效率与用户体验。</w:t>
      </w:r>
    </w:p>
    <w:p w14:paraId="1ADE30D5">
      <w:pPr>
        <w:numPr>
          <w:ilvl w:val="0"/>
          <w:numId w:val="24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支持个性化配置，用户可自定义首页、监控看板、常用功能菜单，满足不同角色的使用需求。</w:t>
      </w:r>
    </w:p>
    <w:p w14:paraId="066597A8">
      <w:pPr>
        <w:numPr>
          <w:ilvl w:val="0"/>
          <w:numId w:val="24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支持批量操作、模板导入导出，提升大规模配置与管理的效率。</w:t>
      </w:r>
    </w:p>
    <w:p w14:paraId="61305E34">
      <w:pPr>
        <w:spacing w:before="320" w:after="120" w:line="360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23" w:name="heading_23"/>
      <w:r>
        <w:rPr>
          <w:rFonts w:hint="eastAsia" w:ascii="宋体" w:hAnsi="宋体" w:eastAsia="宋体" w:cs="宋体"/>
          <w:b/>
          <w:sz w:val="32"/>
        </w:rPr>
        <w:t>4.3 合规性</w:t>
      </w:r>
      <w:bookmarkEnd w:id="23"/>
    </w:p>
    <w:p w14:paraId="0759C1AF">
      <w:pPr>
        <w:numPr>
          <w:ilvl w:val="0"/>
          <w:numId w:val="25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符合国家金融行业相关法律法规与监管要求，包括《银行业金融机构数据治理指引》《金融数据安全 数据安全分级指南》《个人金融信息保护技术规范》等。</w:t>
      </w:r>
    </w:p>
    <w:p w14:paraId="078269F3">
      <w:pPr>
        <w:numPr>
          <w:ilvl w:val="0"/>
          <w:numId w:val="25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支持数据全生命周期的合规管控，包括数据采集、传输、存储、使用、共享、销毁各环节的合规要求落地。</w:t>
      </w:r>
    </w:p>
    <w:p w14:paraId="724CA422">
      <w:pPr>
        <w:numPr>
          <w:ilvl w:val="0"/>
          <w:numId w:val="25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支持监管检查与审计的快速响应，可快速提供合规相关的报表、日志、证据材料。</w:t>
      </w:r>
    </w:p>
    <w:p w14:paraId="1A91111D">
      <w:pPr>
        <w:numPr>
          <w:ilvl w:val="0"/>
          <w:numId w:val="25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产品需具备相关行业资质认证，包括等保三级认证、ISO27001信息安全管理体系认证等。</w:t>
      </w:r>
    </w:p>
    <w:p w14:paraId="0D5A04C9">
      <w:pPr>
        <w:spacing w:before="380" w:after="140" w:line="360" w:lineRule="auto"/>
        <w:ind w:left="0"/>
        <w:jc w:val="left"/>
        <w:outlineLvl w:val="0"/>
        <w:rPr>
          <w:rFonts w:hint="eastAsia" w:ascii="宋体" w:hAnsi="宋体" w:eastAsia="宋体" w:cs="宋体"/>
        </w:rPr>
      </w:pPr>
      <w:bookmarkStart w:id="24" w:name="heading_24"/>
      <w:r>
        <w:rPr>
          <w:rFonts w:hint="eastAsia" w:ascii="宋体" w:hAnsi="宋体" w:eastAsia="宋体" w:cs="宋体"/>
          <w:b/>
          <w:sz w:val="36"/>
        </w:rPr>
        <w:t>五、实施与服务要求</w:t>
      </w:r>
      <w:bookmarkEnd w:id="24"/>
    </w:p>
    <w:p w14:paraId="508FC007">
      <w:pPr>
        <w:spacing w:before="320" w:after="120" w:line="360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25" w:name="heading_25"/>
      <w:r>
        <w:rPr>
          <w:rFonts w:hint="eastAsia" w:ascii="宋体" w:hAnsi="宋体" w:eastAsia="宋体" w:cs="宋体"/>
          <w:b/>
          <w:sz w:val="32"/>
        </w:rPr>
        <w:t>5.1 项目实施要求</w:t>
      </w:r>
      <w:bookmarkEnd w:id="25"/>
    </w:p>
    <w:p w14:paraId="44EE36A2">
      <w:pPr>
        <w:numPr>
          <w:ilvl w:val="0"/>
          <w:numId w:val="26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供应商需提供完整的项目实施方案，明确项目组织架构、实施计划、里程碑节点、交付成果，项目总周期≤6个月。</w:t>
      </w:r>
    </w:p>
    <w:p w14:paraId="435746D5">
      <w:pPr>
        <w:numPr>
          <w:ilvl w:val="0"/>
          <w:numId w:val="26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供应商需配备具备金融行业数据平台实施经验的项目团队，核心人员需具备5年以上相关项目经验，关键岗位人员需经采购方确认，项目实施期间不得随意更换。</w:t>
      </w:r>
    </w:p>
    <w:p w14:paraId="7BA04749">
      <w:pPr>
        <w:numPr>
          <w:ilvl w:val="0"/>
          <w:numId w:val="26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实施过程需严格遵循采购方的项目管理规范，定期提交项目周报、月报，及时汇报项目进度、风险与问题。</w:t>
      </w:r>
    </w:p>
    <w:p w14:paraId="4CEE8116">
      <w:pPr>
        <w:numPr>
          <w:ilvl w:val="0"/>
          <w:numId w:val="26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需完成与采购方现有系统的对接适配，包括数据中台、大数据平台、核心业务系统等，确保平台上线后可直接投入生产使用。</w:t>
      </w:r>
    </w:p>
    <w:p w14:paraId="6EE9221B">
      <w:pPr>
        <w:spacing w:before="320" w:after="120" w:line="360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26" w:name="heading_26"/>
      <w:r>
        <w:rPr>
          <w:rFonts w:hint="eastAsia" w:ascii="宋体" w:hAnsi="宋体" w:eastAsia="宋体" w:cs="宋体"/>
          <w:b/>
          <w:sz w:val="32"/>
        </w:rPr>
        <w:t>5.2 培训服务要求</w:t>
      </w:r>
      <w:bookmarkEnd w:id="26"/>
    </w:p>
    <w:p w14:paraId="5AB1460C">
      <w:pPr>
        <w:numPr>
          <w:ilvl w:val="0"/>
          <w:numId w:val="27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提供分层分类的培训服务，包括管理员培训、运维人员培训、业务用户培训、开发人员培训，培训需覆盖系统操作、运维管理、二次开发等内容。</w:t>
      </w:r>
    </w:p>
    <w:p w14:paraId="0176EF6C">
      <w:pPr>
        <w:numPr>
          <w:ilvl w:val="0"/>
          <w:numId w:val="27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提供现场培训与线上培训相结合的方式，培训完成后需进行考核，确保参训人员掌握相关技能。</w:t>
      </w:r>
    </w:p>
    <w:p w14:paraId="3303B8DE">
      <w:pPr>
        <w:numPr>
          <w:ilvl w:val="0"/>
          <w:numId w:val="27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提供持续的培训支持，产品版本更新后需及时提供更新内容培训，确保用户掌握新功能使用方法。</w:t>
      </w:r>
    </w:p>
    <w:p w14:paraId="7B8BB475">
      <w:pPr>
        <w:spacing w:before="320" w:after="120" w:line="360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27" w:name="heading_27"/>
      <w:r>
        <w:rPr>
          <w:rFonts w:hint="eastAsia" w:ascii="宋体" w:hAnsi="宋体" w:eastAsia="宋体" w:cs="宋体"/>
          <w:b/>
          <w:sz w:val="32"/>
        </w:rPr>
        <w:t>5.3 运维服务要求</w:t>
      </w:r>
      <w:bookmarkEnd w:id="27"/>
    </w:p>
    <w:p w14:paraId="22E00674">
      <w:pPr>
        <w:numPr>
          <w:ilvl w:val="0"/>
          <w:numId w:val="28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提供至少3年的原厂免费运维服务，服务期自系统终验合格之日起计算。</w:t>
      </w:r>
    </w:p>
    <w:p w14:paraId="02C66916">
      <w:pPr>
        <w:numPr>
          <w:ilvl w:val="0"/>
          <w:numId w:val="28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提供7×24小时技术支持服务，设立专属服务团队与服务热线，故障响应时间≤30分钟，一般故障解决时间≤4小时，重大故障解决时间≤24小时。</w:t>
      </w:r>
    </w:p>
    <w:p w14:paraId="015DF821">
      <w:pPr>
        <w:numPr>
          <w:ilvl w:val="0"/>
          <w:numId w:val="28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提供定期的系统巡检服务，每月至少1次远程巡检，每季度至少1次现场巡检，巡检完成后提交巡检报告与优化建议。</w:t>
      </w:r>
    </w:p>
    <w:p w14:paraId="43EAF73D">
      <w:pPr>
        <w:numPr>
          <w:ilvl w:val="0"/>
          <w:numId w:val="28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提供产品版本升级服务，免费提供产品的小版本升级与补丁更新，大版本升级提供优惠支持。</w:t>
      </w:r>
    </w:p>
    <w:p w14:paraId="49ED3675">
      <w:pPr>
        <w:spacing w:before="380" w:after="140" w:line="360" w:lineRule="auto"/>
        <w:ind w:left="0"/>
        <w:jc w:val="left"/>
        <w:outlineLvl w:val="0"/>
        <w:rPr>
          <w:rFonts w:hint="eastAsia" w:ascii="宋体" w:hAnsi="宋体" w:eastAsia="宋体" w:cs="宋体"/>
        </w:rPr>
      </w:pPr>
      <w:bookmarkStart w:id="28" w:name="heading_28"/>
      <w:r>
        <w:rPr>
          <w:rFonts w:hint="eastAsia" w:ascii="宋体" w:hAnsi="宋体" w:eastAsia="宋体" w:cs="宋体"/>
          <w:b/>
          <w:sz w:val="36"/>
        </w:rPr>
        <w:t>六、验收标准</w:t>
      </w:r>
      <w:bookmarkEnd w:id="28"/>
    </w:p>
    <w:p w14:paraId="7CC32C76">
      <w:pPr>
        <w:spacing w:before="320" w:after="120" w:line="360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29" w:name="heading_29"/>
      <w:r>
        <w:rPr>
          <w:rFonts w:hint="eastAsia" w:ascii="宋体" w:hAnsi="宋体" w:eastAsia="宋体" w:cs="宋体"/>
          <w:b/>
          <w:sz w:val="32"/>
        </w:rPr>
        <w:t>6.1 功能验收</w:t>
      </w:r>
      <w:bookmarkEnd w:id="29"/>
    </w:p>
    <w:p w14:paraId="71B7542C">
      <w:pPr>
        <w:numPr>
          <w:ilvl w:val="0"/>
          <w:numId w:val="29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所有功能模块需符合本需求说明书的功能要求，功能覆盖率100%，无核心功能缺失。</w:t>
      </w:r>
    </w:p>
    <w:p w14:paraId="4AB7C5E8">
      <w:pPr>
        <w:numPr>
          <w:ilvl w:val="0"/>
          <w:numId w:val="29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提供完整的功能测试报告，测试用例覆盖率100%，核心功能测试通过率100%，无严重与高危缺陷。</w:t>
      </w:r>
    </w:p>
    <w:p w14:paraId="28B46DEF">
      <w:pPr>
        <w:spacing w:before="320" w:after="120" w:line="360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30" w:name="heading_30"/>
      <w:r>
        <w:rPr>
          <w:rFonts w:hint="eastAsia" w:ascii="宋体" w:hAnsi="宋体" w:eastAsia="宋体" w:cs="宋体"/>
          <w:b/>
          <w:sz w:val="32"/>
        </w:rPr>
        <w:t>6.2 性能验收</w:t>
      </w:r>
      <w:bookmarkEnd w:id="30"/>
    </w:p>
    <w:p w14:paraId="7962B38B">
      <w:pPr>
        <w:numPr>
          <w:ilvl w:val="0"/>
          <w:numId w:val="30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所有技术指标需符合本需求说明书的要求，提供第三方性能测试报告或采购方认可的性能测试报告。</w:t>
      </w:r>
    </w:p>
    <w:p w14:paraId="3FBCA094">
      <w:pPr>
        <w:numPr>
          <w:ilvl w:val="0"/>
          <w:numId w:val="30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>提供48</w:t>
      </w:r>
      <w:r>
        <w:rPr>
          <w:rFonts w:hint="eastAsia" w:ascii="宋体" w:hAnsi="宋体" w:eastAsia="宋体" w:cs="宋体"/>
          <w:sz w:val="22"/>
        </w:rPr>
        <w:t>小时的连续稳定性测试，系统无宕机、无内存泄漏、无性能明显下降，核心指标稳定达标。</w:t>
      </w:r>
    </w:p>
    <w:p w14:paraId="7E52581D">
      <w:pPr>
        <w:spacing w:before="320" w:after="120" w:line="360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31" w:name="heading_31"/>
      <w:r>
        <w:rPr>
          <w:rFonts w:hint="eastAsia" w:ascii="宋体" w:hAnsi="宋体" w:eastAsia="宋体" w:cs="宋体"/>
          <w:b/>
          <w:sz w:val="32"/>
        </w:rPr>
        <w:t>6.3 文档验收</w:t>
      </w:r>
      <w:bookmarkEnd w:id="31"/>
    </w:p>
    <w:p w14:paraId="48C3E4EE">
      <w:pPr>
        <w:numPr>
          <w:ilvl w:val="0"/>
          <w:numId w:val="31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交付完整的项目文档，包括需求规格说明书、系统设计文档、部署手册、运维手册、用户操作手册、测试报告、培训材料等。</w:t>
      </w:r>
    </w:p>
    <w:p w14:paraId="0DCFA70E">
      <w:pPr>
        <w:numPr>
          <w:ilvl w:val="0"/>
          <w:numId w:val="31"/>
        </w:numPr>
        <w:spacing w:before="120" w:after="120" w:line="360" w:lineRule="auto"/>
        <w:ind w:left="425" w:leftChars="0" w:hanging="425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所有文档需符合采购方的文档规范，内容完整、准确、可操作，与实际系统功能一致。</w:t>
      </w:r>
    </w:p>
    <w:p w14:paraId="3BC31241">
      <w:pPr>
        <w:spacing w:line="360" w:lineRule="auto"/>
        <w:rPr>
          <w:rFonts w:hint="eastAsia" w:ascii="宋体" w:hAnsi="宋体" w:eastAsia="宋体" w:cs="宋体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CCBE0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57F33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E36393"/>
    <w:multiLevelType w:val="singleLevel"/>
    <w:tmpl w:val="8CE3639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9F3C5F38"/>
    <w:multiLevelType w:val="singleLevel"/>
    <w:tmpl w:val="9F3C5F3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AD5D72D4"/>
    <w:multiLevelType w:val="singleLevel"/>
    <w:tmpl w:val="AD5D72D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BEC163DC"/>
    <w:multiLevelType w:val="singleLevel"/>
    <w:tmpl w:val="BEC163D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C663DD92"/>
    <w:multiLevelType w:val="singleLevel"/>
    <w:tmpl w:val="C663DD9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C74F7BF2"/>
    <w:multiLevelType w:val="singleLevel"/>
    <w:tmpl w:val="C74F7BF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D454BAA7"/>
    <w:multiLevelType w:val="singleLevel"/>
    <w:tmpl w:val="D454BAA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DFF44067"/>
    <w:multiLevelType w:val="singleLevel"/>
    <w:tmpl w:val="DFF4406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E811CC4E"/>
    <w:multiLevelType w:val="singleLevel"/>
    <w:tmpl w:val="E811CC4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9">
    <w:nsid w:val="EB38761B"/>
    <w:multiLevelType w:val="singleLevel"/>
    <w:tmpl w:val="EB38761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0">
    <w:nsid w:val="F1FFB2E0"/>
    <w:multiLevelType w:val="singleLevel"/>
    <w:tmpl w:val="F1FFB2E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1">
    <w:nsid w:val="FD5B7ED7"/>
    <w:multiLevelType w:val="singleLevel"/>
    <w:tmpl w:val="FD5B7ED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2">
    <w:nsid w:val="001D66BC"/>
    <w:multiLevelType w:val="singleLevel"/>
    <w:tmpl w:val="001D66B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3">
    <w:nsid w:val="00B07293"/>
    <w:multiLevelType w:val="singleLevel"/>
    <w:tmpl w:val="00B0729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4">
    <w:nsid w:val="0736A2F4"/>
    <w:multiLevelType w:val="singleLevel"/>
    <w:tmpl w:val="0736A2F4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5">
    <w:nsid w:val="082DF977"/>
    <w:multiLevelType w:val="singleLevel"/>
    <w:tmpl w:val="082DF97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6">
    <w:nsid w:val="0F0859B2"/>
    <w:multiLevelType w:val="singleLevel"/>
    <w:tmpl w:val="0F0859B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7">
    <w:nsid w:val="20364B90"/>
    <w:multiLevelType w:val="singleLevel"/>
    <w:tmpl w:val="20364B9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8">
    <w:nsid w:val="343E45F1"/>
    <w:multiLevelType w:val="singleLevel"/>
    <w:tmpl w:val="343E45F1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9">
    <w:nsid w:val="3D5164F5"/>
    <w:multiLevelType w:val="singleLevel"/>
    <w:tmpl w:val="3D5164F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0">
    <w:nsid w:val="4251CB52"/>
    <w:multiLevelType w:val="singleLevel"/>
    <w:tmpl w:val="4251CB5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1">
    <w:nsid w:val="42C2768E"/>
    <w:multiLevelType w:val="singleLevel"/>
    <w:tmpl w:val="42C2768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2">
    <w:nsid w:val="4478EFF3"/>
    <w:multiLevelType w:val="singleLevel"/>
    <w:tmpl w:val="4478EFF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3">
    <w:nsid w:val="639CEBF8"/>
    <w:multiLevelType w:val="singleLevel"/>
    <w:tmpl w:val="639CEBF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4">
    <w:nsid w:val="6B3C6294"/>
    <w:multiLevelType w:val="singleLevel"/>
    <w:tmpl w:val="6B3C6294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5">
    <w:nsid w:val="6D6DDBCF"/>
    <w:multiLevelType w:val="singleLevel"/>
    <w:tmpl w:val="6D6DDBC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6">
    <w:nsid w:val="6DE30814"/>
    <w:multiLevelType w:val="singleLevel"/>
    <w:tmpl w:val="6DE3081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7">
    <w:nsid w:val="765644B6"/>
    <w:multiLevelType w:val="singleLevel"/>
    <w:tmpl w:val="765644B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8">
    <w:nsid w:val="7AF72F6A"/>
    <w:multiLevelType w:val="singleLevel"/>
    <w:tmpl w:val="7AF72F6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9">
    <w:nsid w:val="7CBB0B5F"/>
    <w:multiLevelType w:val="singleLevel"/>
    <w:tmpl w:val="7CBB0B5F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0">
    <w:nsid w:val="7DF97B19"/>
    <w:multiLevelType w:val="singleLevel"/>
    <w:tmpl w:val="7DF97B1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12"/>
  </w:num>
  <w:num w:numId="2">
    <w:abstractNumId w:val="8"/>
  </w:num>
  <w:num w:numId="3">
    <w:abstractNumId w:val="4"/>
  </w:num>
  <w:num w:numId="4">
    <w:abstractNumId w:val="26"/>
  </w:num>
  <w:num w:numId="5">
    <w:abstractNumId w:val="19"/>
  </w:num>
  <w:num w:numId="6">
    <w:abstractNumId w:val="25"/>
  </w:num>
  <w:num w:numId="7">
    <w:abstractNumId w:val="2"/>
  </w:num>
  <w:num w:numId="8">
    <w:abstractNumId w:val="13"/>
  </w:num>
  <w:num w:numId="9">
    <w:abstractNumId w:val="5"/>
  </w:num>
  <w:num w:numId="10">
    <w:abstractNumId w:val="0"/>
  </w:num>
  <w:num w:numId="11">
    <w:abstractNumId w:val="17"/>
  </w:num>
  <w:num w:numId="12">
    <w:abstractNumId w:val="1"/>
  </w:num>
  <w:num w:numId="13">
    <w:abstractNumId w:val="14"/>
  </w:num>
  <w:num w:numId="14">
    <w:abstractNumId w:val="11"/>
  </w:num>
  <w:num w:numId="15">
    <w:abstractNumId w:val="22"/>
  </w:num>
  <w:num w:numId="16">
    <w:abstractNumId w:val="30"/>
  </w:num>
  <w:num w:numId="17">
    <w:abstractNumId w:val="21"/>
  </w:num>
  <w:num w:numId="18">
    <w:abstractNumId w:val="24"/>
  </w:num>
  <w:num w:numId="19">
    <w:abstractNumId w:val="27"/>
  </w:num>
  <w:num w:numId="20">
    <w:abstractNumId w:val="20"/>
  </w:num>
  <w:num w:numId="21">
    <w:abstractNumId w:val="29"/>
  </w:num>
  <w:num w:numId="22">
    <w:abstractNumId w:val="18"/>
  </w:num>
  <w:num w:numId="23">
    <w:abstractNumId w:val="9"/>
  </w:num>
  <w:num w:numId="24">
    <w:abstractNumId w:val="7"/>
  </w:num>
  <w:num w:numId="25">
    <w:abstractNumId w:val="15"/>
  </w:num>
  <w:num w:numId="26">
    <w:abstractNumId w:val="16"/>
  </w:num>
  <w:num w:numId="27">
    <w:abstractNumId w:val="10"/>
  </w:num>
  <w:num w:numId="28">
    <w:abstractNumId w:val="6"/>
  </w:num>
  <w:num w:numId="29">
    <w:abstractNumId w:val="23"/>
  </w:num>
  <w:num w:numId="30">
    <w:abstractNumId w:val="28"/>
  </w:num>
  <w:num w:numId="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293DA3"/>
    <w:rsid w:val="1B8D0CCE"/>
    <w:rsid w:val="2BB43AC3"/>
    <w:rsid w:val="5229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5842</Words>
  <Characters>6132</Characters>
  <Lines>0</Lines>
  <Paragraphs>0</Paragraphs>
  <TotalTime>32</TotalTime>
  <ScaleCrop>false</ScaleCrop>
  <LinksUpToDate>false</LinksUpToDate>
  <CharactersWithSpaces>6162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2026-06-11T10:23:00Z</dcterms:created>
  <dc:creator>苹果</dc:creator>
  <cp:lastModifiedBy>醉清风*^o^*雅哲</cp:lastModifiedBy>
  <dcterms:modified xsi:type="dcterms:W3CDTF">2026-06-24T01:23:35Z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6358E959CAEF47B59EED89F6DDD855BC_13</vt:lpwstr>
  </property>
  <property fmtid="{D5CDD505-2E9C-101B-9397-08002B2CF9AE}" pid="4" name="KSOTemplateDocerSaveRecord">
    <vt:lpwstr>eyJoZGlkIjoiYTc2ZGZiNzZiNDVlOGViOWVmM2JhOTY0NGJkNjUyYzgiLCJ1c2VySWQiOiI3MzMyNjY5MTMifQ==</vt:lpwstr>
  </property>
</Properties>
</file>