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AI-Driven Financial Analytics Platform for ESG Investment Decisions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End-to-End Project  |  SQL · Python · Excel · Power BI · NLP · Machine Learning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Prepared by: Vansh Goyal  |  March 2026</w:t>
            </w:r>
          </w:p>
        </w:tc>
      </w:tr>
    </w:tbl>
    <w:p>
      <w:pPr>
        <w:spacing w:before="120" w:after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24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bottom w:val="single" w:color="1F3864" w:sz="6" w:space="1"/>
              </w:pBdr>
              <w:spacing w:before="16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🎯  Project Overview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Simulates real-world investment banking and equity research workflows for a 10-company ESG coverage universe across 6 sectors (FY2021–FY2026E).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Server data warehouse — 5 tables, 7,530+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engine — 9 modules, automated metrics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 3-statement model + DCF valuation (Apple Inc.)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Power BI dashboard — 5 pages, 20+ interactive visuals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AI recommendation engine — NLP + ML + Financial scoring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Bdr>
                <w:bottom w:val="single" w:color="1F3864" w:sz="6" w:space="1"/>
              </w:pBdr>
              <w:spacing w:before="16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🛠  Technology Stack</w:t>
            </w:r>
          </w:p>
          <w:p>
            <w:pPr>
              <w:spacing w:before="60"/>
            </w:pPr>
          </w:p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200"/>
            </w:tblGrid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Layer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Technology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Database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SQL Server + SSMS 22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Processing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Python 3.14 (pandas, numpy, pyodbc)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Modeling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Microsoft Excel (DCF + 3-Statement)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Visualization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Power BI Desktop (DAX)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NLP / AI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NLTK VADER + Scikit-learn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Version Control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Git + GitHub</w:t>
                  </w:r>
                </w:p>
              </w:tc>
            </w:tr>
          </w:tbl>
          <w:p/>
        </w:tc>
      </w:tr>
    </w:tbl>
    <w:p>
      <w:pPr>
        <w:spacing w:before="120" w:after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24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bottom w:val="single" w:color="1F3864" w:sz="6" w:space="1"/>
              </w:pBdr>
              <w:spacing w:before="16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📊  Coverage Universe</w:t>
            </w:r>
          </w:p>
          <w:p>
            <w:pPr>
              <w:spacing w:before="60"/>
            </w:pPr>
          </w:p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200"/>
              <w:gridCol w:w="1700"/>
            </w:tblGrid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Ticker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Company</w:t>
                  </w:r>
                </w:p>
              </w:tc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ESG Rating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MSFT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Microsoft Corporation</w:t>
                  </w:r>
                </w:p>
              </w:tc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AAA ★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AAPL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Apple Inc.</w:t>
                  </w:r>
                </w:p>
              </w:tc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AAA ★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NEE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NextEra Energy Inc.</w:t>
                  </w:r>
                </w:p>
              </w:tc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AAA ★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UL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Unilever PLC</w:t>
                  </w:r>
                </w:p>
              </w:tc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AA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JNJ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Johnson &amp; Johnson</w:t>
                  </w:r>
                </w:p>
              </w:tc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AA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JPM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JPMorgan Chase &amp; Co.</w:t>
                  </w:r>
                </w:p>
              </w:tc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AA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AMZN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Amazon.com Inc.</w:t>
                  </w:r>
                </w:p>
              </w:tc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39C12"/>
                      <w:sz w:val="18"/>
                      <w:szCs w:val="18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TSLA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Tesla Inc.</w:t>
                  </w:r>
                </w:p>
              </w:tc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39C12"/>
                      <w:sz w:val="18"/>
                      <w:szCs w:val="18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CVX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Chevron Corporation</w:t>
                  </w:r>
                </w:p>
              </w:tc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8"/>
                      <w:szCs w:val="18"/>
                    </w:rPr>
                    <w:t xml:space="preserve">BBB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XOM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Exxon Mobil Corporation</w:t>
                  </w:r>
                </w:p>
              </w:tc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8"/>
                      <w:szCs w:val="18"/>
                    </w:rPr>
                    <w:t xml:space="preserve">BBB</w:t>
                  </w:r>
                </w:p>
              </w:tc>
            </w:tr>
          </w:tbl>
          <w:p/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Bdr>
                <w:bottom w:val="single" w:color="1F3864" w:sz="6" w:space="1"/>
              </w:pBdr>
              <w:spacing w:before="16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🤖  AI Recommendation Results (FY2023)</w:t>
            </w:r>
          </w:p>
          <w:p>
            <w:pPr>
              <w:spacing w:before="60"/>
            </w:pPr>
          </w:p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100"/>
              <w:gridCol w:w="1800"/>
              <w:gridCol w:w="1200"/>
            </w:tblGrid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Ticker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AI Score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Recommendation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Confidence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MSFT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75.22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Strong Buy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AAPL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74.25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Strong Buy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NEE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61.21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Buy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Low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JPM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53.03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39C12"/>
                      <w:sz w:val="18"/>
                      <w:szCs w:val="18"/>
                    </w:rPr>
                    <w:t xml:space="preserve">Hold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Low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UL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48.86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39C12"/>
                      <w:sz w:val="18"/>
                      <w:szCs w:val="18"/>
                    </w:rPr>
                    <w:t xml:space="preserve">Hold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Low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JNJ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46.24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39C12"/>
                      <w:sz w:val="18"/>
                      <w:szCs w:val="18"/>
                    </w:rPr>
                    <w:t xml:space="preserve">Hold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Low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AMZN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42.52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7E22"/>
                      <w:sz w:val="18"/>
                      <w:szCs w:val="18"/>
                    </w:rPr>
                    <w:t xml:space="preserve">Underperform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Low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TSLA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32.70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7E22"/>
                      <w:sz w:val="18"/>
                      <w:szCs w:val="18"/>
                    </w:rPr>
                    <w:t xml:space="preserve">Underperform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CVX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28.65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8"/>
                      <w:szCs w:val="18"/>
                    </w:rPr>
                    <w:t xml:space="preserve">Sell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XOM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18.55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8"/>
                      <w:szCs w:val="18"/>
                    </w:rPr>
                    <w:t xml:space="preserve">Sell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0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High</w:t>
                  </w:r>
                </w:p>
              </w:tc>
            </w:tr>
          </w:tbl>
          <w:p/>
        </w:tc>
      </w:tr>
    </w:tbl>
    <w:p>
      <w:pPr>
        <w:spacing w:before="120" w:after="0"/>
      </w:pPr>
    </w:p>
    <w:p>
      <w:pPr>
        <w:pBdr>
          <w:bottom w:val="single" w:color="1F3864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💡  Key Analytical Insights</w:t>
      </w:r>
    </w:p>
    <w:p>
      <w:pPr>
        <w:spacing w:before="6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ESG Premium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AAA-rated companies receive 75bps WACC reduction vs BBB-rated energy majors — directly increasing implied valuations.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ESG-Margin Link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Technology sector shows strongest positive correlation between ESG quality and net profit margin across the coverage universe.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Sentiment Divergence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CVX shows positive sentiment (+0.33) despite poor ESG (44.0), validating the need for multi-factor models over single-metric approaches.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Energy Transition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NEE (clean energy) delivers 43.6% revenue CAGR vs XOM's 20.9%, empirically supporting the ESG-growth investment thesis.</w:t>
            </w:r>
          </w:p>
        </w:tc>
      </w:tr>
    </w:tbl>
    <w:p>
      <w:pPr>
        <w:spacing w:before="120" w:after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7,530 Stock Records  ·  10 Companies  ·  6 Sectors  ·  9 Python Modules  ·  7 Excel Sheets  ·  5 Power BI Pages  ·  60 NLP Headlines  ·  150bps ESG WACC Spread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2026-03-27T07:18:38.157Z</dcterms:created>
  <dcterms:modified xsi:type="dcterms:W3CDTF">2026-03-27T07:18:38.158Z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