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Calibri" w:hAnsi="Calibri"/>
          <w:b/>
          <w:color w:val="1B365D"/>
          <w:sz w:val="52"/>
        </w:rPr>
        <w:t>Employee Attrition Prediction &amp;</w:t>
        <w:br/>
        <w:t>Workforce Analytics</w:t>
      </w:r>
    </w:p>
    <w:p>
      <w:pPr>
        <w:spacing w:before="0" w:after="560"/>
        <w:jc w:val="center"/>
      </w:pPr>
      <w:r>
        <w:rPr>
          <w:rFonts w:ascii="Calibri" w:hAnsi="Calibri"/>
          <w:i/>
          <w:color w:val="4A777A"/>
          <w:sz w:val="26"/>
        </w:rPr>
        <w:t>An End-to-End Machine Learning and Workforce Decision Support System</w:t>
      </w:r>
    </w:p>
    <w:p>
      <w:pPr>
        <w:spacing w:before="800" w:after="400"/>
        <w:jc w:val="center"/>
      </w:pPr>
      <w:r>
        <w:rPr>
          <w:rFonts w:ascii="Calibri" w:hAnsi="Calibri"/>
          <w:b/>
          <w:color w:val="1B365D"/>
          <w:sz w:val="24"/>
        </w:rPr>
        <w:t>PROJECT TECHNICAL REPORT</w:t>
        <w:br/>
      </w:r>
      <w:r>
        <w:rPr>
          <w:rFonts w:ascii="Calibri" w:hAnsi="Calibri"/>
          <w:color w:val="4A777A"/>
          <w:sz w:val="22"/>
        </w:rPr>
        <w:t>Autonomous Multi-Plant Industrial Manufacturing Workforce Study</w:t>
        <w:br/>
        <w:br/>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c>
          <w:tcPr>
            <w:tcW w:type="dxa" w:w="3312"/>
            <w:shd w:val="clear" w:color="auto" w:fill="1B365D"/>
            <w:tcMar>
              <w:top w:w="100" w:type="dxa"/>
              <w:bottom w:w="100" w:type="dxa"/>
              <w:left w:w="140" w:type="dxa"/>
              <w:right w:w="140" w:type="dxa"/>
            </w:tcMar>
          </w:tcPr>
          <w:p>
            <w:pPr>
              <w:spacing w:before="0" w:after="0"/>
              <w:jc w:val="left"/>
            </w:pPr>
            <w:r>
              <w:rPr>
                <w:rFonts w:ascii="Calibri" w:hAnsi="Calibri"/>
                <w:b/>
                <w:color w:val="FFFFFF"/>
                <w:sz w:val="20"/>
              </w:rPr>
              <w:t>Project Contributor</w:t>
            </w:r>
          </w:p>
        </w:tc>
        <w:tc>
          <w:tcPr>
            <w:tcW w:type="dxa" w:w="2016"/>
            <w:shd w:val="clear" w:color="auto" w:fill="1B365D"/>
            <w:tcMar>
              <w:top w:w="100" w:type="dxa"/>
              <w:bottom w:w="100" w:type="dxa"/>
              <w:left w:w="140" w:type="dxa"/>
              <w:right w:w="140" w:type="dxa"/>
            </w:tcMar>
          </w:tcPr>
          <w:p>
            <w:pPr>
              <w:spacing w:before="0" w:after="0"/>
              <w:jc w:val="center"/>
            </w:pPr>
            <w:r>
              <w:rPr>
                <w:rFonts w:ascii="Calibri" w:hAnsi="Calibri"/>
                <w:b/>
                <w:color w:val="FFFFFF"/>
                <w:sz w:val="20"/>
              </w:rPr>
              <w:t>Registration ID</w:t>
            </w:r>
          </w:p>
        </w:tc>
        <w:tc>
          <w:tcPr>
            <w:tcW w:type="dxa" w:w="4032"/>
            <w:shd w:val="clear" w:color="auto" w:fill="1B365D"/>
            <w:tcMar>
              <w:top w:w="100" w:type="dxa"/>
              <w:bottom w:w="100" w:type="dxa"/>
              <w:left w:w="140" w:type="dxa"/>
              <w:right w:w="140" w:type="dxa"/>
            </w:tcMar>
          </w:tcPr>
          <w:p>
            <w:pPr>
              <w:spacing w:before="0" w:after="0"/>
              <w:jc w:val="left"/>
            </w:pPr>
            <w:r>
              <w:rPr>
                <w:rFonts w:ascii="Calibri" w:hAnsi="Calibri"/>
                <w:b/>
                <w:color w:val="FFFFFF"/>
                <w:sz w:val="20"/>
              </w:rPr>
              <w:t>Program Specialization</w:t>
            </w:r>
          </w:p>
        </w:tc>
      </w:tr>
      <w:tr>
        <w:tc>
          <w:tcPr>
            <w:tcW w:type="dxa" w:w="3312"/>
            <w:shd w:val="clear" w:color="auto" w:fill="FFFFFF"/>
            <w:tcMar>
              <w:top w:w="100" w:type="dxa"/>
              <w:bottom w:w="100" w:type="dxa"/>
              <w:left w:w="140" w:type="dxa"/>
              <w:right w:w="140" w:type="dxa"/>
            </w:tcMar>
          </w:tcPr>
          <w:p>
            <w:pPr>
              <w:spacing w:before="0" w:after="0"/>
              <w:jc w:val="left"/>
            </w:pPr>
            <w:r>
              <w:rPr>
                <w:rFonts w:ascii="Calibri" w:hAnsi="Calibri"/>
                <w:color w:val="1E293B"/>
                <w:sz w:val="19"/>
              </w:rPr>
              <w:t>Vansh Goyal</w:t>
            </w:r>
          </w:p>
        </w:tc>
        <w:tc>
          <w:tcPr>
            <w:tcW w:type="dxa" w:w="2016"/>
            <w:shd w:val="clear" w:color="auto" w:fill="FFFFFF"/>
            <w:tcMar>
              <w:top w:w="100" w:type="dxa"/>
              <w:bottom w:w="100" w:type="dxa"/>
              <w:left w:w="140" w:type="dxa"/>
              <w:right w:w="140" w:type="dxa"/>
            </w:tcMar>
          </w:tcPr>
          <w:p>
            <w:pPr>
              <w:spacing w:before="0" w:after="0"/>
              <w:jc w:val="center"/>
            </w:pPr>
            <w:r>
              <w:rPr>
                <w:rFonts w:ascii="Calibri" w:hAnsi="Calibri"/>
                <w:color w:val="1E293B"/>
                <w:sz w:val="19"/>
              </w:rPr>
              <w:t>24BDS1156</w:t>
            </w:r>
          </w:p>
        </w:tc>
        <w:tc>
          <w:tcPr>
            <w:tcW w:type="dxa" w:w="4032"/>
            <w:shd w:val="clear" w:color="auto" w:fill="FFFFFF"/>
            <w:tcMar>
              <w:top w:w="100" w:type="dxa"/>
              <w:bottom w:w="100" w:type="dxa"/>
              <w:left w:w="140" w:type="dxa"/>
              <w:right w:w="140" w:type="dxa"/>
            </w:tcMar>
          </w:tcPr>
          <w:p>
            <w:pPr>
              <w:spacing w:before="0" w:after="0"/>
              <w:jc w:val="left"/>
            </w:pPr>
            <w:r>
              <w:rPr>
                <w:rFonts w:ascii="Calibri" w:hAnsi="Calibri"/>
                <w:color w:val="1E293B"/>
                <w:sz w:val="19"/>
              </w:rPr>
              <w:t>B.Tech Computer Science &amp; Eng. (Data Science)</w:t>
            </w:r>
          </w:p>
        </w:tc>
      </w:tr>
      <w:tr>
        <w:tc>
          <w:tcPr>
            <w:tcW w:type="dxa" w:w="3312"/>
            <w:shd w:val="clear" w:color="auto" w:fill="F8FAFC"/>
            <w:tcMar>
              <w:top w:w="100" w:type="dxa"/>
              <w:bottom w:w="100" w:type="dxa"/>
              <w:left w:w="140" w:type="dxa"/>
              <w:right w:w="140" w:type="dxa"/>
            </w:tcMar>
          </w:tcPr>
          <w:p>
            <w:pPr>
              <w:spacing w:before="0" w:after="0"/>
              <w:jc w:val="left"/>
            </w:pPr>
            <w:r>
              <w:rPr>
                <w:rFonts w:ascii="Calibri" w:hAnsi="Calibri"/>
                <w:color w:val="1E293B"/>
                <w:sz w:val="19"/>
              </w:rPr>
              <w:t>Ritabrata Dey</w:t>
            </w:r>
          </w:p>
        </w:tc>
        <w:tc>
          <w:tcPr>
            <w:tcW w:type="dxa" w:w="2016"/>
            <w:shd w:val="clear" w:color="auto" w:fill="F8FAFC"/>
            <w:tcMar>
              <w:top w:w="100" w:type="dxa"/>
              <w:bottom w:w="100" w:type="dxa"/>
              <w:left w:w="140" w:type="dxa"/>
              <w:right w:w="140" w:type="dxa"/>
            </w:tcMar>
          </w:tcPr>
          <w:p>
            <w:pPr>
              <w:spacing w:before="0" w:after="0"/>
              <w:jc w:val="center"/>
            </w:pPr>
            <w:r>
              <w:rPr>
                <w:rFonts w:ascii="Calibri" w:hAnsi="Calibri"/>
                <w:color w:val="1E293B"/>
                <w:sz w:val="19"/>
              </w:rPr>
              <w:t>24BDS1129</w:t>
            </w:r>
          </w:p>
        </w:tc>
        <w:tc>
          <w:tcPr>
            <w:tcW w:type="dxa" w:w="4032"/>
            <w:shd w:val="clear" w:color="auto" w:fill="F8FAFC"/>
            <w:tcMar>
              <w:top w:w="100" w:type="dxa"/>
              <w:bottom w:w="100" w:type="dxa"/>
              <w:left w:w="140" w:type="dxa"/>
              <w:right w:w="140" w:type="dxa"/>
            </w:tcMar>
          </w:tcPr>
          <w:p>
            <w:pPr>
              <w:spacing w:before="0" w:after="0"/>
              <w:jc w:val="left"/>
            </w:pPr>
            <w:r>
              <w:rPr>
                <w:rFonts w:ascii="Calibri" w:hAnsi="Calibri"/>
                <w:color w:val="1E293B"/>
                <w:sz w:val="19"/>
              </w:rPr>
              <w:t>B.Tech Computer Science &amp; Eng. (Data Science)</w:t>
            </w:r>
          </w:p>
        </w:tc>
      </w:tr>
      <w:tr>
        <w:tc>
          <w:tcPr>
            <w:tcW w:type="dxa" w:w="3312"/>
            <w:shd w:val="clear" w:color="auto" w:fill="FFFFFF"/>
            <w:tcMar>
              <w:top w:w="100" w:type="dxa"/>
              <w:bottom w:w="100" w:type="dxa"/>
              <w:left w:w="140" w:type="dxa"/>
              <w:right w:w="140" w:type="dxa"/>
            </w:tcMar>
          </w:tcPr>
          <w:p>
            <w:pPr>
              <w:spacing w:before="0" w:after="0"/>
              <w:jc w:val="left"/>
            </w:pPr>
            <w:r>
              <w:rPr>
                <w:rFonts w:ascii="Calibri" w:hAnsi="Calibri"/>
                <w:color w:val="1E293B"/>
                <w:sz w:val="19"/>
              </w:rPr>
              <w:t>Chetan Pareek</w:t>
            </w:r>
          </w:p>
        </w:tc>
        <w:tc>
          <w:tcPr>
            <w:tcW w:type="dxa" w:w="2016"/>
            <w:shd w:val="clear" w:color="auto" w:fill="FFFFFF"/>
            <w:tcMar>
              <w:top w:w="100" w:type="dxa"/>
              <w:bottom w:w="100" w:type="dxa"/>
              <w:left w:w="140" w:type="dxa"/>
              <w:right w:w="140" w:type="dxa"/>
            </w:tcMar>
          </w:tcPr>
          <w:p>
            <w:pPr>
              <w:spacing w:before="0" w:after="0"/>
              <w:jc w:val="center"/>
            </w:pPr>
            <w:r>
              <w:rPr>
                <w:rFonts w:ascii="Calibri" w:hAnsi="Calibri"/>
                <w:color w:val="1E293B"/>
                <w:sz w:val="19"/>
              </w:rPr>
              <w:t>24BDS1125</w:t>
            </w:r>
          </w:p>
        </w:tc>
        <w:tc>
          <w:tcPr>
            <w:tcW w:type="dxa" w:w="4032"/>
            <w:shd w:val="clear" w:color="auto" w:fill="FFFFFF"/>
            <w:tcMar>
              <w:top w:w="100" w:type="dxa"/>
              <w:bottom w:w="100" w:type="dxa"/>
              <w:left w:w="140" w:type="dxa"/>
              <w:right w:w="140" w:type="dxa"/>
            </w:tcMar>
          </w:tcPr>
          <w:p>
            <w:pPr>
              <w:spacing w:before="0" w:after="0"/>
              <w:jc w:val="left"/>
            </w:pPr>
            <w:r>
              <w:rPr>
                <w:rFonts w:ascii="Calibri" w:hAnsi="Calibri"/>
                <w:color w:val="1E293B"/>
                <w:sz w:val="19"/>
              </w:rPr>
              <w:t>B.Tech Computer Science &amp; Eng. (Data Science)</w:t>
            </w:r>
          </w:p>
        </w:tc>
      </w:tr>
    </w:tbl>
    <w:p>
      <w:pPr>
        <w:spacing w:before="1000"/>
        <w:jc w:val="center"/>
      </w:pPr>
      <w:r>
        <w:rPr>
          <w:b/>
          <w:color w:val="1B365D"/>
        </w:rPr>
        <w:t>School of Computer Science and Engineering (SCOPE)</w:t>
        <w:br/>
      </w:r>
      <w:r>
        <w:rPr>
          <w:color w:val="64748B"/>
        </w:rPr>
        <w:t>Vellore Institute of Technology (VIT), Chennai Campus</w:t>
        <w:br/>
        <w:t>October 2026</w:t>
      </w:r>
    </w:p>
    <w:p>
      <w:r>
        <w:br w:type="page"/>
      </w:r>
    </w:p>
    <w:p>
      <w:pPr>
        <w:keepNext/>
        <w:spacing w:before="360" w:after="120"/>
      </w:pPr>
      <w:r>
        <w:rPr>
          <w:rFonts w:ascii="Calibri" w:hAnsi="Calibri"/>
          <w:b/>
          <w:color w:val="1B365D"/>
          <w:sz w:val="32"/>
        </w:rPr>
        <w:t>Table of Contents</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20" w:after="20"/>
            </w:pPr>
            <w:r>
              <w:rPr>
                <w:rFonts w:ascii="Calibri" w:hAnsi="Calibri"/>
                <w:b/>
                <w:color w:val="1B365D"/>
                <w:sz w:val="19"/>
              </w:rPr>
              <w:t>1. Executive Summary</w:t>
            </w:r>
          </w:p>
        </w:tc>
        <w:tc>
          <w:tcPr>
            <w:tcW w:type="dxa" w:w="1008"/>
          </w:tcPr>
          <w:p>
            <w:pPr>
              <w:spacing w:before="20" w:after="20"/>
              <w:jc w:val="right"/>
            </w:pPr>
            <w:r>
              <w:rPr>
                <w:rFonts w:ascii="Calibri" w:hAnsi="Calibri"/>
                <w:color w:val="64748B"/>
                <w:sz w:val="19"/>
              </w:rPr>
              <w:t>3</w:t>
            </w:r>
          </w:p>
        </w:tc>
      </w:tr>
      <w:tr>
        <w:tc>
          <w:tcPr>
            <w:tcW w:type="dxa" w:w="8352"/>
          </w:tcPr>
          <w:p>
            <w:pPr>
              <w:spacing w:before="20" w:after="20"/>
            </w:pPr>
            <w:r>
              <w:rPr>
                <w:rFonts w:ascii="Calibri" w:hAnsi="Calibri"/>
                <w:b/>
                <w:color w:val="1B365D"/>
                <w:sz w:val="19"/>
              </w:rPr>
              <w:t>2. Problem Statement and Objectives</w:t>
            </w:r>
          </w:p>
        </w:tc>
        <w:tc>
          <w:tcPr>
            <w:tcW w:type="dxa" w:w="1008"/>
          </w:tcPr>
          <w:p>
            <w:pPr>
              <w:spacing w:before="20" w:after="20"/>
              <w:jc w:val="right"/>
            </w:pPr>
            <w:r>
              <w:rPr>
                <w:rFonts w:ascii="Calibri" w:hAnsi="Calibri"/>
                <w:color w:val="64748B"/>
                <w:sz w:val="19"/>
              </w:rPr>
              <w:t>4</w:t>
            </w:r>
          </w:p>
        </w:tc>
      </w:tr>
      <w:tr>
        <w:tc>
          <w:tcPr>
            <w:tcW w:type="dxa" w:w="8352"/>
          </w:tcPr>
          <w:p>
            <w:pPr>
              <w:spacing w:before="20" w:after="20"/>
            </w:pPr>
            <w:r>
              <w:rPr>
                <w:rFonts w:ascii="Calibri" w:hAnsi="Calibri"/>
                <w:color w:val="1E293B"/>
                <w:sz w:val="19"/>
              </w:rPr>
              <w:t xml:space="preserve">    2.1 Problem Statement</w:t>
            </w:r>
          </w:p>
        </w:tc>
        <w:tc>
          <w:tcPr>
            <w:tcW w:type="dxa" w:w="1008"/>
          </w:tcPr>
          <w:p>
            <w:pPr>
              <w:spacing w:before="20" w:after="20"/>
              <w:jc w:val="right"/>
            </w:pPr>
            <w:r>
              <w:rPr>
                <w:rFonts w:ascii="Calibri" w:hAnsi="Calibri"/>
                <w:color w:val="64748B"/>
                <w:sz w:val="19"/>
              </w:rPr>
              <w:t>4</w:t>
            </w:r>
          </w:p>
        </w:tc>
      </w:tr>
      <w:tr>
        <w:tc>
          <w:tcPr>
            <w:tcW w:type="dxa" w:w="8352"/>
          </w:tcPr>
          <w:p>
            <w:pPr>
              <w:spacing w:before="20" w:after="20"/>
            </w:pPr>
            <w:r>
              <w:rPr>
                <w:rFonts w:ascii="Calibri" w:hAnsi="Calibri"/>
                <w:color w:val="1E293B"/>
                <w:sz w:val="19"/>
              </w:rPr>
              <w:t xml:space="preserve">    2.2 Project Objectives</w:t>
            </w:r>
          </w:p>
        </w:tc>
        <w:tc>
          <w:tcPr>
            <w:tcW w:type="dxa" w:w="1008"/>
          </w:tcPr>
          <w:p>
            <w:pPr>
              <w:spacing w:before="20" w:after="20"/>
              <w:jc w:val="right"/>
            </w:pPr>
            <w:r>
              <w:rPr>
                <w:rFonts w:ascii="Calibri" w:hAnsi="Calibri"/>
                <w:color w:val="64748B"/>
                <w:sz w:val="19"/>
              </w:rPr>
              <w:t>4</w:t>
            </w:r>
          </w:p>
        </w:tc>
      </w:tr>
      <w:tr>
        <w:tc>
          <w:tcPr>
            <w:tcW w:type="dxa" w:w="8352"/>
          </w:tcPr>
          <w:p>
            <w:pPr>
              <w:spacing w:before="20" w:after="20"/>
            </w:pPr>
            <w:r>
              <w:rPr>
                <w:rFonts w:ascii="Calibri" w:hAnsi="Calibri"/>
                <w:color w:val="1E293B"/>
                <w:sz w:val="19"/>
              </w:rPr>
              <w:t xml:space="preserve">    2.3 Scope of the Solution</w:t>
            </w:r>
          </w:p>
        </w:tc>
        <w:tc>
          <w:tcPr>
            <w:tcW w:type="dxa" w:w="1008"/>
          </w:tcPr>
          <w:p>
            <w:pPr>
              <w:spacing w:before="20" w:after="20"/>
              <w:jc w:val="right"/>
            </w:pPr>
            <w:r>
              <w:rPr>
                <w:rFonts w:ascii="Calibri" w:hAnsi="Calibri"/>
                <w:color w:val="64748B"/>
                <w:sz w:val="19"/>
              </w:rPr>
              <w:t>5</w:t>
            </w:r>
          </w:p>
        </w:tc>
      </w:tr>
      <w:tr>
        <w:tc>
          <w:tcPr>
            <w:tcW w:type="dxa" w:w="8352"/>
          </w:tcPr>
          <w:p>
            <w:pPr>
              <w:spacing w:before="20" w:after="20"/>
            </w:pPr>
            <w:r>
              <w:rPr>
                <w:rFonts w:ascii="Calibri" w:hAnsi="Calibri"/>
                <w:b/>
                <w:color w:val="1B365D"/>
                <w:sz w:val="19"/>
              </w:rPr>
              <w:t>3. Dataset and Data Preparation</w:t>
            </w:r>
          </w:p>
        </w:tc>
        <w:tc>
          <w:tcPr>
            <w:tcW w:type="dxa" w:w="1008"/>
          </w:tcPr>
          <w:p>
            <w:pPr>
              <w:spacing w:before="20" w:after="20"/>
              <w:jc w:val="right"/>
            </w:pPr>
            <w:r>
              <w:rPr>
                <w:rFonts w:ascii="Calibri" w:hAnsi="Calibri"/>
                <w:color w:val="64748B"/>
                <w:sz w:val="19"/>
              </w:rPr>
              <w:t>5</w:t>
            </w:r>
          </w:p>
        </w:tc>
      </w:tr>
      <w:tr>
        <w:tc>
          <w:tcPr>
            <w:tcW w:type="dxa" w:w="8352"/>
          </w:tcPr>
          <w:p>
            <w:pPr>
              <w:spacing w:before="20" w:after="20"/>
            </w:pPr>
            <w:r>
              <w:rPr>
                <w:rFonts w:ascii="Calibri" w:hAnsi="Calibri"/>
                <w:color w:val="1E293B"/>
                <w:sz w:val="19"/>
              </w:rPr>
              <w:t xml:space="preserve">    3.1 Dataset Overview</w:t>
            </w:r>
          </w:p>
        </w:tc>
        <w:tc>
          <w:tcPr>
            <w:tcW w:type="dxa" w:w="1008"/>
          </w:tcPr>
          <w:p>
            <w:pPr>
              <w:spacing w:before="20" w:after="20"/>
              <w:jc w:val="right"/>
            </w:pPr>
            <w:r>
              <w:rPr>
                <w:rFonts w:ascii="Calibri" w:hAnsi="Calibri"/>
                <w:color w:val="64748B"/>
                <w:sz w:val="19"/>
              </w:rPr>
              <w:t>5</w:t>
            </w:r>
          </w:p>
        </w:tc>
      </w:tr>
      <w:tr>
        <w:tc>
          <w:tcPr>
            <w:tcW w:type="dxa" w:w="8352"/>
          </w:tcPr>
          <w:p>
            <w:pPr>
              <w:spacing w:before="20" w:after="20"/>
            </w:pPr>
            <w:r>
              <w:rPr>
                <w:rFonts w:ascii="Calibri" w:hAnsi="Calibri"/>
                <w:color w:val="1E293B"/>
                <w:sz w:val="19"/>
              </w:rPr>
              <w:t xml:space="preserve">    3.2 Dataset Dimensions</w:t>
            </w:r>
          </w:p>
        </w:tc>
        <w:tc>
          <w:tcPr>
            <w:tcW w:type="dxa" w:w="1008"/>
          </w:tcPr>
          <w:p>
            <w:pPr>
              <w:spacing w:before="20" w:after="20"/>
              <w:jc w:val="right"/>
            </w:pPr>
            <w:r>
              <w:rPr>
                <w:rFonts w:ascii="Calibri" w:hAnsi="Calibri"/>
                <w:color w:val="64748B"/>
                <w:sz w:val="19"/>
              </w:rPr>
              <w:t>6</w:t>
            </w:r>
          </w:p>
        </w:tc>
      </w:tr>
      <w:tr>
        <w:tc>
          <w:tcPr>
            <w:tcW w:type="dxa" w:w="8352"/>
          </w:tcPr>
          <w:p>
            <w:pPr>
              <w:spacing w:before="20" w:after="20"/>
            </w:pPr>
            <w:r>
              <w:rPr>
                <w:rFonts w:ascii="Calibri" w:hAnsi="Calibri"/>
                <w:color w:val="1E293B"/>
                <w:sz w:val="19"/>
              </w:rPr>
              <w:t xml:space="preserve">    3.3 Feature Description</w:t>
            </w:r>
          </w:p>
        </w:tc>
        <w:tc>
          <w:tcPr>
            <w:tcW w:type="dxa" w:w="1008"/>
          </w:tcPr>
          <w:p>
            <w:pPr>
              <w:spacing w:before="20" w:after="20"/>
              <w:jc w:val="right"/>
            </w:pPr>
            <w:r>
              <w:rPr>
                <w:rFonts w:ascii="Calibri" w:hAnsi="Calibri"/>
                <w:color w:val="64748B"/>
                <w:sz w:val="19"/>
              </w:rPr>
              <w:t>6</w:t>
            </w:r>
          </w:p>
        </w:tc>
      </w:tr>
      <w:tr>
        <w:tc>
          <w:tcPr>
            <w:tcW w:type="dxa" w:w="8352"/>
          </w:tcPr>
          <w:p>
            <w:pPr>
              <w:spacing w:before="20" w:after="20"/>
            </w:pPr>
            <w:r>
              <w:rPr>
                <w:rFonts w:ascii="Calibri" w:hAnsi="Calibri"/>
                <w:color w:val="1E293B"/>
                <w:sz w:val="19"/>
              </w:rPr>
              <w:t xml:space="preserve">    3.4 Target Variable</w:t>
            </w:r>
          </w:p>
        </w:tc>
        <w:tc>
          <w:tcPr>
            <w:tcW w:type="dxa" w:w="1008"/>
          </w:tcPr>
          <w:p>
            <w:pPr>
              <w:spacing w:before="20" w:after="20"/>
              <w:jc w:val="right"/>
            </w:pPr>
            <w:r>
              <w:rPr>
                <w:rFonts w:ascii="Calibri" w:hAnsi="Calibri"/>
                <w:color w:val="64748B"/>
                <w:sz w:val="19"/>
              </w:rPr>
              <w:t>7</w:t>
            </w:r>
          </w:p>
        </w:tc>
      </w:tr>
      <w:tr>
        <w:tc>
          <w:tcPr>
            <w:tcW w:type="dxa" w:w="8352"/>
          </w:tcPr>
          <w:p>
            <w:pPr>
              <w:spacing w:before="20" w:after="20"/>
            </w:pPr>
            <w:r>
              <w:rPr>
                <w:rFonts w:ascii="Calibri" w:hAnsi="Calibri"/>
                <w:color w:val="1E293B"/>
                <w:sz w:val="19"/>
              </w:rPr>
              <w:t xml:space="preserve">    3.5 Data Quality Checks</w:t>
            </w:r>
          </w:p>
        </w:tc>
        <w:tc>
          <w:tcPr>
            <w:tcW w:type="dxa" w:w="1008"/>
          </w:tcPr>
          <w:p>
            <w:pPr>
              <w:spacing w:before="20" w:after="20"/>
              <w:jc w:val="right"/>
            </w:pPr>
            <w:r>
              <w:rPr>
                <w:rFonts w:ascii="Calibri" w:hAnsi="Calibri"/>
                <w:color w:val="64748B"/>
                <w:sz w:val="19"/>
              </w:rPr>
              <w:t>7</w:t>
            </w:r>
          </w:p>
        </w:tc>
      </w:tr>
      <w:tr>
        <w:tc>
          <w:tcPr>
            <w:tcW w:type="dxa" w:w="8352"/>
          </w:tcPr>
          <w:p>
            <w:pPr>
              <w:spacing w:before="20" w:after="20"/>
            </w:pPr>
            <w:r>
              <w:rPr>
                <w:rFonts w:ascii="Calibri" w:hAnsi="Calibri"/>
                <w:color w:val="1E293B"/>
                <w:sz w:val="19"/>
              </w:rPr>
              <w:t xml:space="preserve">    3.6 Data Preparation</w:t>
            </w:r>
          </w:p>
        </w:tc>
        <w:tc>
          <w:tcPr>
            <w:tcW w:type="dxa" w:w="1008"/>
          </w:tcPr>
          <w:p>
            <w:pPr>
              <w:spacing w:before="20" w:after="20"/>
              <w:jc w:val="right"/>
            </w:pPr>
            <w:r>
              <w:rPr>
                <w:rFonts w:ascii="Calibri" w:hAnsi="Calibri"/>
                <w:color w:val="64748B"/>
                <w:sz w:val="19"/>
              </w:rPr>
              <w:t>8</w:t>
            </w:r>
          </w:p>
        </w:tc>
      </w:tr>
      <w:tr>
        <w:tc>
          <w:tcPr>
            <w:tcW w:type="dxa" w:w="8352"/>
          </w:tcPr>
          <w:p>
            <w:pPr>
              <w:spacing w:before="20" w:after="20"/>
            </w:pPr>
            <w:r>
              <w:rPr>
                <w:rFonts w:ascii="Calibri" w:hAnsi="Calibri"/>
                <w:b/>
                <w:color w:val="1B365D"/>
                <w:sz w:val="19"/>
              </w:rPr>
              <w:t>4. Exploratory Data Analysis</w:t>
            </w:r>
          </w:p>
        </w:tc>
        <w:tc>
          <w:tcPr>
            <w:tcW w:type="dxa" w:w="1008"/>
          </w:tcPr>
          <w:p>
            <w:pPr>
              <w:spacing w:before="20" w:after="20"/>
              <w:jc w:val="right"/>
            </w:pPr>
            <w:r>
              <w:rPr>
                <w:rFonts w:ascii="Calibri" w:hAnsi="Calibri"/>
                <w:color w:val="64748B"/>
                <w:sz w:val="19"/>
              </w:rPr>
              <w:t>8</w:t>
            </w:r>
          </w:p>
        </w:tc>
      </w:tr>
      <w:tr>
        <w:tc>
          <w:tcPr>
            <w:tcW w:type="dxa" w:w="8352"/>
          </w:tcPr>
          <w:p>
            <w:pPr>
              <w:spacing w:before="20" w:after="20"/>
            </w:pPr>
            <w:r>
              <w:rPr>
                <w:rFonts w:ascii="Calibri" w:hAnsi="Calibri"/>
                <w:color w:val="1E293B"/>
                <w:sz w:val="19"/>
              </w:rPr>
              <w:t xml:space="preserve">    4.1 Attrition Distribution</w:t>
            </w:r>
          </w:p>
        </w:tc>
        <w:tc>
          <w:tcPr>
            <w:tcW w:type="dxa" w:w="1008"/>
          </w:tcPr>
          <w:p>
            <w:pPr>
              <w:spacing w:before="20" w:after="20"/>
              <w:jc w:val="right"/>
            </w:pPr>
            <w:r>
              <w:rPr>
                <w:rFonts w:ascii="Calibri" w:hAnsi="Calibri"/>
                <w:color w:val="64748B"/>
                <w:sz w:val="19"/>
              </w:rPr>
              <w:t>8</w:t>
            </w:r>
          </w:p>
        </w:tc>
      </w:tr>
      <w:tr>
        <w:tc>
          <w:tcPr>
            <w:tcW w:type="dxa" w:w="8352"/>
          </w:tcPr>
          <w:p>
            <w:pPr>
              <w:spacing w:before="20" w:after="20"/>
            </w:pPr>
            <w:r>
              <w:rPr>
                <w:rFonts w:ascii="Calibri" w:hAnsi="Calibri"/>
                <w:color w:val="1E293B"/>
                <w:sz w:val="19"/>
              </w:rPr>
              <w:t xml:space="preserve">    4.2 Workforce Characteristics</w:t>
            </w:r>
          </w:p>
        </w:tc>
        <w:tc>
          <w:tcPr>
            <w:tcW w:type="dxa" w:w="1008"/>
          </w:tcPr>
          <w:p>
            <w:pPr>
              <w:spacing w:before="20" w:after="20"/>
              <w:jc w:val="right"/>
            </w:pPr>
            <w:r>
              <w:rPr>
                <w:rFonts w:ascii="Calibri" w:hAnsi="Calibri"/>
                <w:color w:val="64748B"/>
                <w:sz w:val="19"/>
              </w:rPr>
              <w:t>9</w:t>
            </w:r>
          </w:p>
        </w:tc>
      </w:tr>
      <w:tr>
        <w:tc>
          <w:tcPr>
            <w:tcW w:type="dxa" w:w="8352"/>
          </w:tcPr>
          <w:p>
            <w:pPr>
              <w:spacing w:before="20" w:after="20"/>
            </w:pPr>
            <w:r>
              <w:rPr>
                <w:rFonts w:ascii="Calibri" w:hAnsi="Calibri"/>
                <w:color w:val="1E293B"/>
                <w:sz w:val="19"/>
              </w:rPr>
              <w:t xml:space="preserve">    4.3 Overtime and Attrition</w:t>
            </w:r>
          </w:p>
        </w:tc>
        <w:tc>
          <w:tcPr>
            <w:tcW w:type="dxa" w:w="1008"/>
          </w:tcPr>
          <w:p>
            <w:pPr>
              <w:spacing w:before="20" w:after="20"/>
              <w:jc w:val="right"/>
            </w:pPr>
            <w:r>
              <w:rPr>
                <w:rFonts w:ascii="Calibri" w:hAnsi="Calibri"/>
                <w:color w:val="64748B"/>
                <w:sz w:val="19"/>
              </w:rPr>
              <w:t>10</w:t>
            </w:r>
          </w:p>
        </w:tc>
      </w:tr>
      <w:tr>
        <w:tc>
          <w:tcPr>
            <w:tcW w:type="dxa" w:w="8352"/>
          </w:tcPr>
          <w:p>
            <w:pPr>
              <w:spacing w:before="20" w:after="20"/>
            </w:pPr>
            <w:r>
              <w:rPr>
                <w:rFonts w:ascii="Calibri" w:hAnsi="Calibri"/>
                <w:color w:val="1E293B"/>
                <w:sz w:val="19"/>
              </w:rPr>
              <w:t xml:space="preserve">    4.4 Engagement and Attrition</w:t>
            </w:r>
          </w:p>
        </w:tc>
        <w:tc>
          <w:tcPr>
            <w:tcW w:type="dxa" w:w="1008"/>
          </w:tcPr>
          <w:p>
            <w:pPr>
              <w:spacing w:before="20" w:after="20"/>
              <w:jc w:val="right"/>
            </w:pPr>
            <w:r>
              <w:rPr>
                <w:rFonts w:ascii="Calibri" w:hAnsi="Calibri"/>
                <w:color w:val="64748B"/>
                <w:sz w:val="19"/>
              </w:rPr>
              <w:t>10</w:t>
            </w:r>
          </w:p>
        </w:tc>
      </w:tr>
      <w:tr>
        <w:tc>
          <w:tcPr>
            <w:tcW w:type="dxa" w:w="8352"/>
          </w:tcPr>
          <w:p>
            <w:pPr>
              <w:spacing w:before="20" w:after="20"/>
            </w:pPr>
            <w:r>
              <w:rPr>
                <w:rFonts w:ascii="Calibri" w:hAnsi="Calibri"/>
                <w:color w:val="1E293B"/>
                <w:sz w:val="19"/>
              </w:rPr>
              <w:t xml:space="preserve">    4.5 Satisfaction and Attrition</w:t>
            </w:r>
          </w:p>
        </w:tc>
        <w:tc>
          <w:tcPr>
            <w:tcW w:type="dxa" w:w="1008"/>
          </w:tcPr>
          <w:p>
            <w:pPr>
              <w:spacing w:before="20" w:after="20"/>
              <w:jc w:val="right"/>
            </w:pPr>
            <w:r>
              <w:rPr>
                <w:rFonts w:ascii="Calibri" w:hAnsi="Calibri"/>
                <w:color w:val="64748B"/>
                <w:sz w:val="19"/>
              </w:rPr>
              <w:t>11</w:t>
            </w:r>
          </w:p>
        </w:tc>
      </w:tr>
      <w:tr>
        <w:tc>
          <w:tcPr>
            <w:tcW w:type="dxa" w:w="8352"/>
          </w:tcPr>
          <w:p>
            <w:pPr>
              <w:spacing w:before="20" w:after="20"/>
            </w:pPr>
            <w:r>
              <w:rPr>
                <w:rFonts w:ascii="Calibri" w:hAnsi="Calibri"/>
                <w:color w:val="1E293B"/>
                <w:sz w:val="19"/>
              </w:rPr>
              <w:t xml:space="preserve">    4.6 Distance from Home</w:t>
            </w:r>
          </w:p>
        </w:tc>
        <w:tc>
          <w:tcPr>
            <w:tcW w:type="dxa" w:w="1008"/>
          </w:tcPr>
          <w:p>
            <w:pPr>
              <w:spacing w:before="20" w:after="20"/>
              <w:jc w:val="right"/>
            </w:pPr>
            <w:r>
              <w:rPr>
                <w:rFonts w:ascii="Calibri" w:hAnsi="Calibri"/>
                <w:color w:val="64748B"/>
                <w:sz w:val="19"/>
              </w:rPr>
              <w:t>12</w:t>
            </w:r>
          </w:p>
        </w:tc>
      </w:tr>
      <w:tr>
        <w:tc>
          <w:tcPr>
            <w:tcW w:type="dxa" w:w="8352"/>
          </w:tcPr>
          <w:p>
            <w:pPr>
              <w:spacing w:before="20" w:after="20"/>
            </w:pPr>
            <w:r>
              <w:rPr>
                <w:rFonts w:ascii="Calibri" w:hAnsi="Calibri"/>
                <w:color w:val="1E293B"/>
                <w:sz w:val="19"/>
              </w:rPr>
              <w:t xml:space="preserve">    4.7 Key EDA Findings</w:t>
            </w:r>
          </w:p>
        </w:tc>
        <w:tc>
          <w:tcPr>
            <w:tcW w:type="dxa" w:w="1008"/>
          </w:tcPr>
          <w:p>
            <w:pPr>
              <w:spacing w:before="20" w:after="20"/>
              <w:jc w:val="right"/>
            </w:pPr>
            <w:r>
              <w:rPr>
                <w:rFonts w:ascii="Calibri" w:hAnsi="Calibri"/>
                <w:color w:val="64748B"/>
                <w:sz w:val="19"/>
              </w:rPr>
              <w:t>12</w:t>
            </w:r>
          </w:p>
        </w:tc>
      </w:tr>
      <w:tr>
        <w:tc>
          <w:tcPr>
            <w:tcW w:type="dxa" w:w="8352"/>
          </w:tcPr>
          <w:p>
            <w:pPr>
              <w:spacing w:before="20" w:after="20"/>
            </w:pPr>
            <w:r>
              <w:rPr>
                <w:rFonts w:ascii="Calibri" w:hAnsi="Calibri"/>
                <w:b/>
                <w:color w:val="1B365D"/>
                <w:sz w:val="19"/>
              </w:rPr>
              <w:t>5. Feature Engineering</w:t>
            </w:r>
          </w:p>
        </w:tc>
        <w:tc>
          <w:tcPr>
            <w:tcW w:type="dxa" w:w="1008"/>
          </w:tcPr>
          <w:p>
            <w:pPr>
              <w:spacing w:before="20" w:after="20"/>
              <w:jc w:val="right"/>
            </w:pPr>
            <w:r>
              <w:rPr>
                <w:rFonts w:ascii="Calibri" w:hAnsi="Calibri"/>
                <w:color w:val="64748B"/>
                <w:sz w:val="19"/>
              </w:rPr>
              <w:t>13</w:t>
            </w:r>
          </w:p>
        </w:tc>
      </w:tr>
      <w:tr>
        <w:tc>
          <w:tcPr>
            <w:tcW w:type="dxa" w:w="8352"/>
          </w:tcPr>
          <w:p>
            <w:pPr>
              <w:spacing w:before="20" w:after="20"/>
            </w:pPr>
            <w:r>
              <w:rPr>
                <w:rFonts w:ascii="Calibri" w:hAnsi="Calibri"/>
                <w:color w:val="1E293B"/>
                <w:sz w:val="19"/>
              </w:rPr>
              <w:t xml:space="preserve">    5.1 SatisfactionIndex</w:t>
            </w:r>
          </w:p>
        </w:tc>
        <w:tc>
          <w:tcPr>
            <w:tcW w:type="dxa" w:w="1008"/>
          </w:tcPr>
          <w:p>
            <w:pPr>
              <w:spacing w:before="20" w:after="20"/>
              <w:jc w:val="right"/>
            </w:pPr>
            <w:r>
              <w:rPr>
                <w:rFonts w:ascii="Calibri" w:hAnsi="Calibri"/>
                <w:color w:val="64748B"/>
                <w:sz w:val="19"/>
              </w:rPr>
              <w:t>13</w:t>
            </w:r>
          </w:p>
        </w:tc>
      </w:tr>
      <w:tr>
        <w:tc>
          <w:tcPr>
            <w:tcW w:type="dxa" w:w="8352"/>
          </w:tcPr>
          <w:p>
            <w:pPr>
              <w:spacing w:before="20" w:after="20"/>
            </w:pPr>
            <w:r>
              <w:rPr>
                <w:rFonts w:ascii="Calibri" w:hAnsi="Calibri"/>
                <w:color w:val="1E293B"/>
                <w:sz w:val="19"/>
              </w:rPr>
              <w:t xml:space="preserve">    5.2 EngagementLevel</w:t>
            </w:r>
          </w:p>
        </w:tc>
        <w:tc>
          <w:tcPr>
            <w:tcW w:type="dxa" w:w="1008"/>
          </w:tcPr>
          <w:p>
            <w:pPr>
              <w:spacing w:before="20" w:after="20"/>
              <w:jc w:val="right"/>
            </w:pPr>
            <w:r>
              <w:rPr>
                <w:rFonts w:ascii="Calibri" w:hAnsi="Calibri"/>
                <w:color w:val="64748B"/>
                <w:sz w:val="19"/>
              </w:rPr>
              <w:t>14</w:t>
            </w:r>
          </w:p>
        </w:tc>
      </w:tr>
      <w:tr>
        <w:tc>
          <w:tcPr>
            <w:tcW w:type="dxa" w:w="8352"/>
          </w:tcPr>
          <w:p>
            <w:pPr>
              <w:spacing w:before="20" w:after="20"/>
            </w:pPr>
            <w:r>
              <w:rPr>
                <w:rFonts w:ascii="Calibri" w:hAnsi="Calibri"/>
                <w:color w:val="1E293B"/>
                <w:sz w:val="19"/>
              </w:rPr>
              <w:t xml:space="preserve">    5.3 OvertimeLevel</w:t>
            </w:r>
          </w:p>
        </w:tc>
        <w:tc>
          <w:tcPr>
            <w:tcW w:type="dxa" w:w="1008"/>
          </w:tcPr>
          <w:p>
            <w:pPr>
              <w:spacing w:before="20" w:after="20"/>
              <w:jc w:val="right"/>
            </w:pPr>
            <w:r>
              <w:rPr>
                <w:rFonts w:ascii="Calibri" w:hAnsi="Calibri"/>
                <w:color w:val="64748B"/>
                <w:sz w:val="19"/>
              </w:rPr>
              <w:t>14</w:t>
            </w:r>
          </w:p>
        </w:tc>
      </w:tr>
      <w:tr>
        <w:tc>
          <w:tcPr>
            <w:tcW w:type="dxa" w:w="8352"/>
          </w:tcPr>
          <w:p>
            <w:pPr>
              <w:spacing w:before="20" w:after="20"/>
            </w:pPr>
            <w:r>
              <w:rPr>
                <w:rFonts w:ascii="Calibri" w:hAnsi="Calibri"/>
                <w:color w:val="1E293B"/>
                <w:sz w:val="19"/>
              </w:rPr>
              <w:t xml:space="preserve">    5.4 DistanceCategory</w:t>
            </w:r>
          </w:p>
        </w:tc>
        <w:tc>
          <w:tcPr>
            <w:tcW w:type="dxa" w:w="1008"/>
          </w:tcPr>
          <w:p>
            <w:pPr>
              <w:spacing w:before="20" w:after="20"/>
              <w:jc w:val="right"/>
            </w:pPr>
            <w:r>
              <w:rPr>
                <w:rFonts w:ascii="Calibri" w:hAnsi="Calibri"/>
                <w:color w:val="64748B"/>
                <w:sz w:val="19"/>
              </w:rPr>
              <w:t>14</w:t>
            </w:r>
          </w:p>
        </w:tc>
      </w:tr>
      <w:tr>
        <w:tc>
          <w:tcPr>
            <w:tcW w:type="dxa" w:w="8352"/>
          </w:tcPr>
          <w:p>
            <w:pPr>
              <w:spacing w:before="20" w:after="20"/>
            </w:pPr>
            <w:r>
              <w:rPr>
                <w:rFonts w:ascii="Calibri" w:hAnsi="Calibri"/>
                <w:color w:val="1E293B"/>
                <w:sz w:val="19"/>
              </w:rPr>
              <w:t xml:space="preserve">    5.5 TenureGroup</w:t>
            </w:r>
          </w:p>
        </w:tc>
        <w:tc>
          <w:tcPr>
            <w:tcW w:type="dxa" w:w="1008"/>
          </w:tcPr>
          <w:p>
            <w:pPr>
              <w:spacing w:before="20" w:after="20"/>
              <w:jc w:val="right"/>
            </w:pPr>
            <w:r>
              <w:rPr>
                <w:rFonts w:ascii="Calibri" w:hAnsi="Calibri"/>
                <w:color w:val="64748B"/>
                <w:sz w:val="19"/>
              </w:rPr>
              <w:t>15</w:t>
            </w:r>
          </w:p>
        </w:tc>
      </w:tr>
      <w:tr>
        <w:tc>
          <w:tcPr>
            <w:tcW w:type="dxa" w:w="8352"/>
          </w:tcPr>
          <w:p>
            <w:pPr>
              <w:spacing w:before="20" w:after="20"/>
            </w:pPr>
            <w:r>
              <w:rPr>
                <w:rFonts w:ascii="Calibri" w:hAnsi="Calibri"/>
                <w:b/>
                <w:color w:val="1B365D"/>
                <w:sz w:val="19"/>
              </w:rPr>
              <w:t>6. Feature Selection</w:t>
            </w:r>
          </w:p>
        </w:tc>
        <w:tc>
          <w:tcPr>
            <w:tcW w:type="dxa" w:w="1008"/>
          </w:tcPr>
          <w:p>
            <w:pPr>
              <w:spacing w:before="20" w:after="20"/>
              <w:jc w:val="right"/>
            </w:pPr>
            <w:r>
              <w:rPr>
                <w:rFonts w:ascii="Calibri" w:hAnsi="Calibri"/>
                <w:color w:val="64748B"/>
                <w:sz w:val="19"/>
              </w:rPr>
              <w:t>15</w:t>
            </w:r>
          </w:p>
        </w:tc>
      </w:tr>
      <w:tr>
        <w:tc>
          <w:tcPr>
            <w:tcW w:type="dxa" w:w="8352"/>
          </w:tcPr>
          <w:p>
            <w:pPr>
              <w:spacing w:before="20" w:after="20"/>
            </w:pPr>
            <w:r>
              <w:rPr>
                <w:rFonts w:ascii="Calibri" w:hAnsi="Calibri"/>
                <w:color w:val="1E293B"/>
                <w:sz w:val="19"/>
              </w:rPr>
              <w:t xml:space="preserve">    6.1 Feature Selection Methodology</w:t>
            </w:r>
          </w:p>
        </w:tc>
        <w:tc>
          <w:tcPr>
            <w:tcW w:type="dxa" w:w="1008"/>
          </w:tcPr>
          <w:p>
            <w:pPr>
              <w:spacing w:before="20" w:after="20"/>
              <w:jc w:val="right"/>
            </w:pPr>
            <w:r>
              <w:rPr>
                <w:rFonts w:ascii="Calibri" w:hAnsi="Calibri"/>
                <w:color w:val="64748B"/>
                <w:sz w:val="19"/>
              </w:rPr>
              <w:t>15</w:t>
            </w:r>
          </w:p>
        </w:tc>
      </w:tr>
      <w:tr>
        <w:tc>
          <w:tcPr>
            <w:tcW w:type="dxa" w:w="8352"/>
          </w:tcPr>
          <w:p>
            <w:pPr>
              <w:spacing w:before="20" w:after="20"/>
            </w:pPr>
            <w:r>
              <w:rPr>
                <w:rFonts w:ascii="Calibri" w:hAnsi="Calibri"/>
                <w:color w:val="1E293B"/>
                <w:sz w:val="19"/>
              </w:rPr>
              <w:t xml:space="preserve">    6.2 Selected Features</w:t>
            </w:r>
          </w:p>
        </w:tc>
        <w:tc>
          <w:tcPr>
            <w:tcW w:type="dxa" w:w="1008"/>
          </w:tcPr>
          <w:p>
            <w:pPr>
              <w:spacing w:before="20" w:after="20"/>
              <w:jc w:val="right"/>
            </w:pPr>
            <w:r>
              <w:rPr>
                <w:rFonts w:ascii="Calibri" w:hAnsi="Calibri"/>
                <w:color w:val="64748B"/>
                <w:sz w:val="19"/>
              </w:rPr>
              <w:t>16</w:t>
            </w:r>
          </w:p>
        </w:tc>
      </w:tr>
      <w:tr>
        <w:tc>
          <w:tcPr>
            <w:tcW w:type="dxa" w:w="8352"/>
          </w:tcPr>
          <w:p>
            <w:pPr>
              <w:spacing w:before="20" w:after="20"/>
            </w:pPr>
            <w:r>
              <w:rPr>
                <w:rFonts w:ascii="Calibri" w:hAnsi="Calibri"/>
                <w:color w:val="1E293B"/>
                <w:sz w:val="19"/>
              </w:rPr>
              <w:t xml:space="preserve">    6.3 Final Feature Set</w:t>
            </w:r>
          </w:p>
        </w:tc>
        <w:tc>
          <w:tcPr>
            <w:tcW w:type="dxa" w:w="1008"/>
          </w:tcPr>
          <w:p>
            <w:pPr>
              <w:spacing w:before="20" w:after="20"/>
              <w:jc w:val="right"/>
            </w:pPr>
            <w:r>
              <w:rPr>
                <w:rFonts w:ascii="Calibri" w:hAnsi="Calibri"/>
                <w:color w:val="64748B"/>
                <w:sz w:val="19"/>
              </w:rPr>
              <w:t>16</w:t>
            </w:r>
          </w:p>
        </w:tc>
      </w:tr>
      <w:tr>
        <w:tc>
          <w:tcPr>
            <w:tcW w:type="dxa" w:w="8352"/>
          </w:tcPr>
          <w:p>
            <w:pPr>
              <w:spacing w:before="20" w:after="20"/>
            </w:pPr>
            <w:r>
              <w:rPr>
                <w:rFonts w:ascii="Calibri" w:hAnsi="Calibri"/>
                <w:b/>
                <w:color w:val="1B365D"/>
                <w:sz w:val="19"/>
              </w:rPr>
              <w:t>7. Statistical Analysis</w:t>
            </w:r>
          </w:p>
        </w:tc>
        <w:tc>
          <w:tcPr>
            <w:tcW w:type="dxa" w:w="1008"/>
          </w:tcPr>
          <w:p>
            <w:pPr>
              <w:spacing w:before="20" w:after="20"/>
              <w:jc w:val="right"/>
            </w:pPr>
            <w:r>
              <w:rPr>
                <w:rFonts w:ascii="Calibri" w:hAnsi="Calibri"/>
                <w:color w:val="64748B"/>
                <w:sz w:val="19"/>
              </w:rPr>
              <w:t>17</w:t>
            </w:r>
          </w:p>
        </w:tc>
      </w:tr>
      <w:tr>
        <w:tc>
          <w:tcPr>
            <w:tcW w:type="dxa" w:w="8352"/>
          </w:tcPr>
          <w:p>
            <w:pPr>
              <w:spacing w:before="20" w:after="20"/>
            </w:pPr>
            <w:r>
              <w:rPr>
                <w:rFonts w:ascii="Calibri" w:hAnsi="Calibri"/>
                <w:color w:val="1E293B"/>
                <w:sz w:val="19"/>
              </w:rPr>
              <w:t xml:space="preserve">    7.1 Wilcoxon Analysis</w:t>
            </w:r>
          </w:p>
        </w:tc>
        <w:tc>
          <w:tcPr>
            <w:tcW w:type="dxa" w:w="1008"/>
          </w:tcPr>
          <w:p>
            <w:pPr>
              <w:spacing w:before="20" w:after="20"/>
              <w:jc w:val="right"/>
            </w:pPr>
            <w:r>
              <w:rPr>
                <w:rFonts w:ascii="Calibri" w:hAnsi="Calibri"/>
                <w:color w:val="64748B"/>
                <w:sz w:val="19"/>
              </w:rPr>
              <w:t>17</w:t>
            </w:r>
          </w:p>
        </w:tc>
      </w:tr>
      <w:tr>
        <w:tc>
          <w:tcPr>
            <w:tcW w:type="dxa" w:w="8352"/>
          </w:tcPr>
          <w:p>
            <w:pPr>
              <w:spacing w:before="20" w:after="20"/>
            </w:pPr>
            <w:r>
              <w:rPr>
                <w:rFonts w:ascii="Calibri" w:hAnsi="Calibri"/>
                <w:color w:val="1E293B"/>
                <w:sz w:val="19"/>
              </w:rPr>
              <w:t xml:space="preserve">    7.2 Chi-Square Analysis</w:t>
            </w:r>
          </w:p>
        </w:tc>
        <w:tc>
          <w:tcPr>
            <w:tcW w:type="dxa" w:w="1008"/>
          </w:tcPr>
          <w:p>
            <w:pPr>
              <w:spacing w:before="20" w:after="20"/>
              <w:jc w:val="right"/>
            </w:pPr>
            <w:r>
              <w:rPr>
                <w:rFonts w:ascii="Calibri" w:hAnsi="Calibri"/>
                <w:color w:val="64748B"/>
                <w:sz w:val="19"/>
              </w:rPr>
              <w:t>18</w:t>
            </w:r>
          </w:p>
        </w:tc>
      </w:tr>
      <w:tr>
        <w:tc>
          <w:tcPr>
            <w:tcW w:type="dxa" w:w="8352"/>
          </w:tcPr>
          <w:p>
            <w:pPr>
              <w:spacing w:before="20" w:after="20"/>
            </w:pPr>
            <w:r>
              <w:rPr>
                <w:rFonts w:ascii="Calibri" w:hAnsi="Calibri"/>
                <w:color w:val="1E293B"/>
                <w:sz w:val="19"/>
              </w:rPr>
              <w:t xml:space="preserve">    7.3 Correlation Analysis</w:t>
            </w:r>
          </w:p>
        </w:tc>
        <w:tc>
          <w:tcPr>
            <w:tcW w:type="dxa" w:w="1008"/>
          </w:tcPr>
          <w:p>
            <w:pPr>
              <w:spacing w:before="20" w:after="20"/>
              <w:jc w:val="right"/>
            </w:pPr>
            <w:r>
              <w:rPr>
                <w:rFonts w:ascii="Calibri" w:hAnsi="Calibri"/>
                <w:color w:val="64748B"/>
                <w:sz w:val="19"/>
              </w:rPr>
              <w:t>19</w:t>
            </w:r>
          </w:p>
        </w:tc>
      </w:tr>
      <w:tr>
        <w:tc>
          <w:tcPr>
            <w:tcW w:type="dxa" w:w="8352"/>
          </w:tcPr>
          <w:p>
            <w:pPr>
              <w:spacing w:before="20" w:after="20"/>
            </w:pPr>
            <w:r>
              <w:rPr>
                <w:rFonts w:ascii="Calibri" w:hAnsi="Calibri"/>
                <w:color w:val="1E293B"/>
                <w:sz w:val="19"/>
              </w:rPr>
              <w:t xml:space="preserve">    7.4 Interpretation of Statistical Findings</w:t>
            </w:r>
          </w:p>
        </w:tc>
        <w:tc>
          <w:tcPr>
            <w:tcW w:type="dxa" w:w="1008"/>
          </w:tcPr>
          <w:p>
            <w:pPr>
              <w:spacing w:before="20" w:after="20"/>
              <w:jc w:val="right"/>
            </w:pPr>
            <w:r>
              <w:rPr>
                <w:rFonts w:ascii="Calibri" w:hAnsi="Calibri"/>
                <w:color w:val="64748B"/>
                <w:sz w:val="19"/>
              </w:rPr>
              <w:t>20</w:t>
            </w:r>
          </w:p>
        </w:tc>
      </w:tr>
      <w:tr>
        <w:tc>
          <w:tcPr>
            <w:tcW w:type="dxa" w:w="8352"/>
          </w:tcPr>
          <w:p>
            <w:pPr>
              <w:spacing w:before="20" w:after="20"/>
            </w:pPr>
            <w:r>
              <w:rPr>
                <w:rFonts w:ascii="Calibri" w:hAnsi="Calibri"/>
                <w:b/>
                <w:color w:val="1B365D"/>
                <w:sz w:val="19"/>
              </w:rPr>
              <w:t>8. Machine Learning Methodology</w:t>
            </w:r>
          </w:p>
        </w:tc>
        <w:tc>
          <w:tcPr>
            <w:tcW w:type="dxa" w:w="1008"/>
          </w:tcPr>
          <w:p>
            <w:pPr>
              <w:spacing w:before="20" w:after="20"/>
              <w:jc w:val="right"/>
            </w:pPr>
            <w:r>
              <w:rPr>
                <w:rFonts w:ascii="Calibri" w:hAnsi="Calibri"/>
                <w:color w:val="64748B"/>
                <w:sz w:val="19"/>
              </w:rPr>
              <w:t>20</w:t>
            </w:r>
          </w:p>
        </w:tc>
      </w:tr>
      <w:tr>
        <w:tc>
          <w:tcPr>
            <w:tcW w:type="dxa" w:w="8352"/>
          </w:tcPr>
          <w:p>
            <w:pPr>
              <w:spacing w:before="20" w:after="20"/>
            </w:pPr>
            <w:r>
              <w:rPr>
                <w:rFonts w:ascii="Calibri" w:hAnsi="Calibri"/>
                <w:color w:val="1E293B"/>
                <w:sz w:val="19"/>
              </w:rPr>
              <w:t xml:space="preserve">    8.1 Train-Test Split</w:t>
            </w:r>
          </w:p>
        </w:tc>
        <w:tc>
          <w:tcPr>
            <w:tcW w:type="dxa" w:w="1008"/>
          </w:tcPr>
          <w:p>
            <w:pPr>
              <w:spacing w:before="20" w:after="20"/>
              <w:jc w:val="right"/>
            </w:pPr>
            <w:r>
              <w:rPr>
                <w:rFonts w:ascii="Calibri" w:hAnsi="Calibri"/>
                <w:color w:val="64748B"/>
                <w:sz w:val="19"/>
              </w:rPr>
              <w:t>20</w:t>
            </w:r>
          </w:p>
        </w:tc>
      </w:tr>
      <w:tr>
        <w:tc>
          <w:tcPr>
            <w:tcW w:type="dxa" w:w="8352"/>
          </w:tcPr>
          <w:p>
            <w:pPr>
              <w:spacing w:before="20" w:after="20"/>
            </w:pPr>
            <w:r>
              <w:rPr>
                <w:rFonts w:ascii="Calibri" w:hAnsi="Calibri"/>
                <w:color w:val="1E293B"/>
                <w:sz w:val="19"/>
              </w:rPr>
              <w:t xml:space="preserve">    8.2 Preprocessing</w:t>
            </w:r>
          </w:p>
        </w:tc>
        <w:tc>
          <w:tcPr>
            <w:tcW w:type="dxa" w:w="1008"/>
          </w:tcPr>
          <w:p>
            <w:pPr>
              <w:spacing w:before="20" w:after="20"/>
              <w:jc w:val="right"/>
            </w:pPr>
            <w:r>
              <w:rPr>
                <w:rFonts w:ascii="Calibri" w:hAnsi="Calibri"/>
                <w:color w:val="64748B"/>
                <w:sz w:val="19"/>
              </w:rPr>
              <w:t>21</w:t>
            </w:r>
          </w:p>
        </w:tc>
      </w:tr>
      <w:tr>
        <w:tc>
          <w:tcPr>
            <w:tcW w:type="dxa" w:w="8352"/>
          </w:tcPr>
          <w:p>
            <w:pPr>
              <w:spacing w:before="20" w:after="20"/>
            </w:pPr>
            <w:r>
              <w:rPr>
                <w:rFonts w:ascii="Calibri" w:hAnsi="Calibri"/>
                <w:color w:val="1E293B"/>
                <w:sz w:val="19"/>
              </w:rPr>
              <w:t xml:space="preserve">    8.3 Algorithms Evaluated</w:t>
            </w:r>
          </w:p>
        </w:tc>
        <w:tc>
          <w:tcPr>
            <w:tcW w:type="dxa" w:w="1008"/>
          </w:tcPr>
          <w:p>
            <w:pPr>
              <w:spacing w:before="20" w:after="20"/>
              <w:jc w:val="right"/>
            </w:pPr>
            <w:r>
              <w:rPr>
                <w:rFonts w:ascii="Calibri" w:hAnsi="Calibri"/>
                <w:color w:val="64748B"/>
                <w:sz w:val="19"/>
              </w:rPr>
              <w:t>21</w:t>
            </w:r>
          </w:p>
        </w:tc>
      </w:tr>
      <w:tr>
        <w:tc>
          <w:tcPr>
            <w:tcW w:type="dxa" w:w="8352"/>
          </w:tcPr>
          <w:p>
            <w:pPr>
              <w:spacing w:before="20" w:after="20"/>
            </w:pPr>
            <w:r>
              <w:rPr>
                <w:rFonts w:ascii="Calibri" w:hAnsi="Calibri"/>
                <w:b/>
                <w:color w:val="1B365D"/>
                <w:sz w:val="19"/>
              </w:rPr>
              <w:t>9. Model Performance Comparison</w:t>
            </w:r>
          </w:p>
        </w:tc>
        <w:tc>
          <w:tcPr>
            <w:tcW w:type="dxa" w:w="1008"/>
          </w:tcPr>
          <w:p>
            <w:pPr>
              <w:spacing w:before="20" w:after="20"/>
              <w:jc w:val="right"/>
            </w:pPr>
            <w:r>
              <w:rPr>
                <w:rFonts w:ascii="Calibri" w:hAnsi="Calibri"/>
                <w:color w:val="64748B"/>
                <w:sz w:val="19"/>
              </w:rPr>
              <w:t>22</w:t>
            </w:r>
          </w:p>
        </w:tc>
      </w:tr>
      <w:tr>
        <w:tc>
          <w:tcPr>
            <w:tcW w:type="dxa" w:w="8352"/>
          </w:tcPr>
          <w:p>
            <w:pPr>
              <w:spacing w:before="20" w:after="20"/>
            </w:pPr>
            <w:r>
              <w:rPr>
                <w:rFonts w:ascii="Calibri" w:hAnsi="Calibri"/>
                <w:color w:val="1E293B"/>
                <w:sz w:val="19"/>
              </w:rPr>
              <w:t xml:space="preserve">    9.1 Baseline Model Results</w:t>
            </w:r>
          </w:p>
        </w:tc>
        <w:tc>
          <w:tcPr>
            <w:tcW w:type="dxa" w:w="1008"/>
          </w:tcPr>
          <w:p>
            <w:pPr>
              <w:spacing w:before="20" w:after="20"/>
              <w:jc w:val="right"/>
            </w:pPr>
            <w:r>
              <w:rPr>
                <w:rFonts w:ascii="Calibri" w:hAnsi="Calibri"/>
                <w:color w:val="64748B"/>
                <w:sz w:val="19"/>
              </w:rPr>
              <w:t>22</w:t>
            </w:r>
          </w:p>
        </w:tc>
      </w:tr>
      <w:tr>
        <w:tc>
          <w:tcPr>
            <w:tcW w:type="dxa" w:w="8352"/>
          </w:tcPr>
          <w:p>
            <w:pPr>
              <w:spacing w:before="20" w:after="20"/>
            </w:pPr>
            <w:r>
              <w:rPr>
                <w:rFonts w:ascii="Calibri" w:hAnsi="Calibri"/>
                <w:color w:val="1E293B"/>
                <w:sz w:val="19"/>
              </w:rPr>
              <w:t xml:space="preserve">    9.2 Hyperparameter Tuning</w:t>
            </w:r>
          </w:p>
        </w:tc>
        <w:tc>
          <w:tcPr>
            <w:tcW w:type="dxa" w:w="1008"/>
          </w:tcPr>
          <w:p>
            <w:pPr>
              <w:spacing w:before="20" w:after="20"/>
              <w:jc w:val="right"/>
            </w:pPr>
            <w:r>
              <w:rPr>
                <w:rFonts w:ascii="Calibri" w:hAnsi="Calibri"/>
                <w:color w:val="64748B"/>
                <w:sz w:val="19"/>
              </w:rPr>
              <w:t>23</w:t>
            </w:r>
          </w:p>
        </w:tc>
      </w:tr>
      <w:tr>
        <w:tc>
          <w:tcPr>
            <w:tcW w:type="dxa" w:w="8352"/>
          </w:tcPr>
          <w:p>
            <w:pPr>
              <w:spacing w:before="20" w:after="20"/>
            </w:pPr>
            <w:r>
              <w:rPr>
                <w:rFonts w:ascii="Calibri" w:hAnsi="Calibri"/>
                <w:color w:val="1E293B"/>
                <w:sz w:val="19"/>
              </w:rPr>
              <w:t xml:space="preserve">    9.3 Tuned Model Results</w:t>
            </w:r>
          </w:p>
        </w:tc>
        <w:tc>
          <w:tcPr>
            <w:tcW w:type="dxa" w:w="1008"/>
          </w:tcPr>
          <w:p>
            <w:pPr>
              <w:spacing w:before="20" w:after="20"/>
              <w:jc w:val="right"/>
            </w:pPr>
            <w:r>
              <w:rPr>
                <w:rFonts w:ascii="Calibri" w:hAnsi="Calibri"/>
                <w:color w:val="64748B"/>
                <w:sz w:val="19"/>
              </w:rPr>
              <w:t>24</w:t>
            </w:r>
          </w:p>
        </w:tc>
      </w:tr>
      <w:tr>
        <w:tc>
          <w:tcPr>
            <w:tcW w:type="dxa" w:w="8352"/>
          </w:tcPr>
          <w:p>
            <w:pPr>
              <w:spacing w:before="20" w:after="20"/>
            </w:pPr>
            <w:r>
              <w:rPr>
                <w:rFonts w:ascii="Calibri" w:hAnsi="Calibri"/>
                <w:color w:val="1E293B"/>
                <w:sz w:val="19"/>
              </w:rPr>
              <w:t xml:space="preserve">    9.4 Performance Interpretation &amp; The Accuracy Paradox</w:t>
            </w:r>
          </w:p>
        </w:tc>
        <w:tc>
          <w:tcPr>
            <w:tcW w:type="dxa" w:w="1008"/>
          </w:tcPr>
          <w:p>
            <w:pPr>
              <w:spacing w:before="20" w:after="20"/>
              <w:jc w:val="right"/>
            </w:pPr>
            <w:r>
              <w:rPr>
                <w:rFonts w:ascii="Calibri" w:hAnsi="Calibri"/>
                <w:color w:val="64748B"/>
                <w:sz w:val="19"/>
              </w:rPr>
              <w:t>25</w:t>
            </w:r>
          </w:p>
        </w:tc>
      </w:tr>
      <w:tr>
        <w:tc>
          <w:tcPr>
            <w:tcW w:type="dxa" w:w="8352"/>
          </w:tcPr>
          <w:p>
            <w:pPr>
              <w:spacing w:before="20" w:after="20"/>
            </w:pPr>
            <w:r>
              <w:rPr>
                <w:rFonts w:ascii="Calibri" w:hAnsi="Calibri"/>
                <w:b/>
                <w:color w:val="1B365D"/>
                <w:sz w:val="19"/>
              </w:rPr>
              <w:t>10. Threshold Optimization</w:t>
            </w:r>
          </w:p>
        </w:tc>
        <w:tc>
          <w:tcPr>
            <w:tcW w:type="dxa" w:w="1008"/>
          </w:tcPr>
          <w:p>
            <w:pPr>
              <w:spacing w:before="20" w:after="20"/>
              <w:jc w:val="right"/>
            </w:pPr>
            <w:r>
              <w:rPr>
                <w:rFonts w:ascii="Calibri" w:hAnsi="Calibri"/>
                <w:color w:val="64748B"/>
                <w:sz w:val="19"/>
              </w:rPr>
              <w:t>26</w:t>
            </w:r>
          </w:p>
        </w:tc>
      </w:tr>
      <w:tr>
        <w:tc>
          <w:tcPr>
            <w:tcW w:type="dxa" w:w="8352"/>
          </w:tcPr>
          <w:p>
            <w:pPr>
              <w:spacing w:before="20" w:after="20"/>
            </w:pPr>
            <w:r>
              <w:rPr>
                <w:rFonts w:ascii="Calibri" w:hAnsi="Calibri"/>
                <w:color w:val="1E293B"/>
                <w:sz w:val="19"/>
              </w:rPr>
              <w:t xml:space="preserve">    10.1 Why Threshold Optimization Was Required</w:t>
            </w:r>
          </w:p>
        </w:tc>
        <w:tc>
          <w:tcPr>
            <w:tcW w:type="dxa" w:w="1008"/>
          </w:tcPr>
          <w:p>
            <w:pPr>
              <w:spacing w:before="20" w:after="20"/>
              <w:jc w:val="right"/>
            </w:pPr>
            <w:r>
              <w:rPr>
                <w:rFonts w:ascii="Calibri" w:hAnsi="Calibri"/>
                <w:color w:val="64748B"/>
                <w:sz w:val="19"/>
              </w:rPr>
              <w:t>26</w:t>
            </w:r>
          </w:p>
        </w:tc>
      </w:tr>
      <w:tr>
        <w:tc>
          <w:tcPr>
            <w:tcW w:type="dxa" w:w="8352"/>
          </w:tcPr>
          <w:p>
            <w:pPr>
              <w:spacing w:before="20" w:after="20"/>
            </w:pPr>
            <w:r>
              <w:rPr>
                <w:rFonts w:ascii="Calibri" w:hAnsi="Calibri"/>
                <w:color w:val="1E293B"/>
                <w:sz w:val="19"/>
              </w:rPr>
              <w:t xml:space="preserve">    10.2 Threshold Evaluation</w:t>
            </w:r>
          </w:p>
        </w:tc>
        <w:tc>
          <w:tcPr>
            <w:tcW w:type="dxa" w:w="1008"/>
          </w:tcPr>
          <w:p>
            <w:pPr>
              <w:spacing w:before="20" w:after="20"/>
              <w:jc w:val="right"/>
            </w:pPr>
            <w:r>
              <w:rPr>
                <w:rFonts w:ascii="Calibri" w:hAnsi="Calibri"/>
                <w:color w:val="64748B"/>
                <w:sz w:val="19"/>
              </w:rPr>
              <w:t>27</w:t>
            </w:r>
          </w:p>
        </w:tc>
      </w:tr>
      <w:tr>
        <w:tc>
          <w:tcPr>
            <w:tcW w:type="dxa" w:w="8352"/>
          </w:tcPr>
          <w:p>
            <w:pPr>
              <w:spacing w:before="20" w:after="20"/>
            </w:pPr>
            <w:r>
              <w:rPr>
                <w:rFonts w:ascii="Calibri" w:hAnsi="Calibri"/>
                <w:color w:val="1E293B"/>
                <w:sz w:val="19"/>
              </w:rPr>
              <w:t xml:space="preserve">    10.3 Threshold 0.20</w:t>
            </w:r>
          </w:p>
        </w:tc>
        <w:tc>
          <w:tcPr>
            <w:tcW w:type="dxa" w:w="1008"/>
          </w:tcPr>
          <w:p>
            <w:pPr>
              <w:spacing w:before="20" w:after="20"/>
              <w:jc w:val="right"/>
            </w:pPr>
            <w:r>
              <w:rPr>
                <w:rFonts w:ascii="Calibri" w:hAnsi="Calibri"/>
                <w:color w:val="64748B"/>
                <w:sz w:val="19"/>
              </w:rPr>
              <w:t>27</w:t>
            </w:r>
          </w:p>
        </w:tc>
      </w:tr>
      <w:tr>
        <w:tc>
          <w:tcPr>
            <w:tcW w:type="dxa" w:w="8352"/>
          </w:tcPr>
          <w:p>
            <w:pPr>
              <w:spacing w:before="20" w:after="20"/>
            </w:pPr>
            <w:r>
              <w:rPr>
                <w:rFonts w:ascii="Calibri" w:hAnsi="Calibri"/>
                <w:color w:val="1E293B"/>
                <w:sz w:val="19"/>
              </w:rPr>
              <w:t xml:space="preserve">    10.4 Threshold 0.50</w:t>
            </w:r>
          </w:p>
        </w:tc>
        <w:tc>
          <w:tcPr>
            <w:tcW w:type="dxa" w:w="1008"/>
          </w:tcPr>
          <w:p>
            <w:pPr>
              <w:spacing w:before="20" w:after="20"/>
              <w:jc w:val="right"/>
            </w:pPr>
            <w:r>
              <w:rPr>
                <w:rFonts w:ascii="Calibri" w:hAnsi="Calibri"/>
                <w:color w:val="64748B"/>
                <w:sz w:val="19"/>
              </w:rPr>
              <w:t>28</w:t>
            </w:r>
          </w:p>
        </w:tc>
      </w:tr>
      <w:tr>
        <w:tc>
          <w:tcPr>
            <w:tcW w:type="dxa" w:w="8352"/>
          </w:tcPr>
          <w:p>
            <w:pPr>
              <w:spacing w:before="20" w:after="20"/>
            </w:pPr>
            <w:r>
              <w:rPr>
                <w:rFonts w:ascii="Calibri" w:hAnsi="Calibri"/>
                <w:color w:val="1E293B"/>
                <w:sz w:val="19"/>
              </w:rPr>
              <w:t xml:space="preserve">    10.5 Threshold 0.70</w:t>
            </w:r>
          </w:p>
        </w:tc>
        <w:tc>
          <w:tcPr>
            <w:tcW w:type="dxa" w:w="1008"/>
          </w:tcPr>
          <w:p>
            <w:pPr>
              <w:spacing w:before="20" w:after="20"/>
              <w:jc w:val="right"/>
            </w:pPr>
            <w:r>
              <w:rPr>
                <w:rFonts w:ascii="Calibri" w:hAnsi="Calibri"/>
                <w:color w:val="64748B"/>
                <w:sz w:val="19"/>
              </w:rPr>
              <w:t>28</w:t>
            </w:r>
          </w:p>
        </w:tc>
      </w:tr>
      <w:tr>
        <w:tc>
          <w:tcPr>
            <w:tcW w:type="dxa" w:w="8352"/>
          </w:tcPr>
          <w:p>
            <w:pPr>
              <w:spacing w:before="20" w:after="20"/>
            </w:pPr>
            <w:r>
              <w:rPr>
                <w:rFonts w:ascii="Calibri" w:hAnsi="Calibri"/>
                <w:color w:val="1E293B"/>
                <w:sz w:val="19"/>
              </w:rPr>
              <w:t xml:space="preserve">    10.6 Final Threshold Selection</w:t>
            </w:r>
          </w:p>
        </w:tc>
        <w:tc>
          <w:tcPr>
            <w:tcW w:type="dxa" w:w="1008"/>
          </w:tcPr>
          <w:p>
            <w:pPr>
              <w:spacing w:before="20" w:after="20"/>
              <w:jc w:val="right"/>
            </w:pPr>
            <w:r>
              <w:rPr>
                <w:rFonts w:ascii="Calibri" w:hAnsi="Calibri"/>
                <w:color w:val="64748B"/>
                <w:sz w:val="19"/>
              </w:rPr>
              <w:t>29</w:t>
            </w:r>
          </w:p>
        </w:tc>
      </w:tr>
      <w:tr>
        <w:tc>
          <w:tcPr>
            <w:tcW w:type="dxa" w:w="8352"/>
          </w:tcPr>
          <w:p>
            <w:pPr>
              <w:spacing w:before="20" w:after="20"/>
            </w:pPr>
            <w:r>
              <w:rPr>
                <w:rFonts w:ascii="Calibri" w:hAnsi="Calibri"/>
                <w:b/>
                <w:color w:val="1B365D"/>
                <w:sz w:val="19"/>
              </w:rPr>
              <w:t>11. Final Model</w:t>
            </w:r>
          </w:p>
        </w:tc>
        <w:tc>
          <w:tcPr>
            <w:tcW w:type="dxa" w:w="1008"/>
          </w:tcPr>
          <w:p>
            <w:pPr>
              <w:spacing w:before="20" w:after="20"/>
              <w:jc w:val="right"/>
            </w:pPr>
            <w:r>
              <w:rPr>
                <w:rFonts w:ascii="Calibri" w:hAnsi="Calibri"/>
                <w:color w:val="64748B"/>
                <w:sz w:val="19"/>
              </w:rPr>
              <w:t>29</w:t>
            </w:r>
          </w:p>
        </w:tc>
      </w:tr>
      <w:tr>
        <w:tc>
          <w:tcPr>
            <w:tcW w:type="dxa" w:w="8352"/>
          </w:tcPr>
          <w:p>
            <w:pPr>
              <w:spacing w:before="20" w:after="20"/>
            </w:pPr>
            <w:r>
              <w:rPr>
                <w:rFonts w:ascii="Calibri" w:hAnsi="Calibri"/>
                <w:color w:val="1E293B"/>
                <w:sz w:val="19"/>
              </w:rPr>
              <w:t xml:space="preserve">    11.1 Final Model Selection</w:t>
            </w:r>
          </w:p>
        </w:tc>
        <w:tc>
          <w:tcPr>
            <w:tcW w:type="dxa" w:w="1008"/>
          </w:tcPr>
          <w:p>
            <w:pPr>
              <w:spacing w:before="20" w:after="20"/>
              <w:jc w:val="right"/>
            </w:pPr>
            <w:r>
              <w:rPr>
                <w:rFonts w:ascii="Calibri" w:hAnsi="Calibri"/>
                <w:color w:val="64748B"/>
                <w:sz w:val="19"/>
              </w:rPr>
              <w:t>29</w:t>
            </w:r>
          </w:p>
        </w:tc>
      </w:tr>
      <w:tr>
        <w:tc>
          <w:tcPr>
            <w:tcW w:type="dxa" w:w="8352"/>
          </w:tcPr>
          <w:p>
            <w:pPr>
              <w:spacing w:before="20" w:after="20"/>
            </w:pPr>
            <w:r>
              <w:rPr>
                <w:rFonts w:ascii="Calibri" w:hAnsi="Calibri"/>
                <w:color w:val="1E293B"/>
                <w:sz w:val="19"/>
              </w:rPr>
              <w:t xml:space="preserve">    11.2 Tuned XGBoost</w:t>
            </w:r>
          </w:p>
        </w:tc>
        <w:tc>
          <w:tcPr>
            <w:tcW w:type="dxa" w:w="1008"/>
          </w:tcPr>
          <w:p>
            <w:pPr>
              <w:spacing w:before="20" w:after="20"/>
              <w:jc w:val="right"/>
            </w:pPr>
            <w:r>
              <w:rPr>
                <w:rFonts w:ascii="Calibri" w:hAnsi="Calibri"/>
                <w:color w:val="64748B"/>
                <w:sz w:val="19"/>
              </w:rPr>
              <w:t>30</w:t>
            </w:r>
          </w:p>
        </w:tc>
      </w:tr>
      <w:tr>
        <w:tc>
          <w:tcPr>
            <w:tcW w:type="dxa" w:w="8352"/>
          </w:tcPr>
          <w:p>
            <w:pPr>
              <w:spacing w:before="20" w:after="20"/>
            </w:pPr>
            <w:r>
              <w:rPr>
                <w:rFonts w:ascii="Calibri" w:hAnsi="Calibri"/>
                <w:color w:val="1E293B"/>
                <w:sz w:val="19"/>
              </w:rPr>
              <w:t xml:space="preserve">    11.3 Final Performance Scorecard</w:t>
            </w:r>
          </w:p>
        </w:tc>
        <w:tc>
          <w:tcPr>
            <w:tcW w:type="dxa" w:w="1008"/>
          </w:tcPr>
          <w:p>
            <w:pPr>
              <w:spacing w:before="20" w:after="20"/>
              <w:jc w:val="right"/>
            </w:pPr>
            <w:r>
              <w:rPr>
                <w:rFonts w:ascii="Calibri" w:hAnsi="Calibri"/>
                <w:color w:val="64748B"/>
                <w:sz w:val="19"/>
              </w:rPr>
              <w:t>30</w:t>
            </w:r>
          </w:p>
        </w:tc>
      </w:tr>
      <w:tr>
        <w:tc>
          <w:tcPr>
            <w:tcW w:type="dxa" w:w="8352"/>
          </w:tcPr>
          <w:p>
            <w:pPr>
              <w:spacing w:before="20" w:after="20"/>
            </w:pPr>
            <w:r>
              <w:rPr>
                <w:rFonts w:ascii="Calibri" w:hAnsi="Calibri"/>
                <w:color w:val="1E293B"/>
                <w:sz w:val="19"/>
              </w:rPr>
              <w:t xml:space="preserve">    11.4 Confusion Matrix Diagnostics</w:t>
            </w:r>
          </w:p>
        </w:tc>
        <w:tc>
          <w:tcPr>
            <w:tcW w:type="dxa" w:w="1008"/>
          </w:tcPr>
          <w:p>
            <w:pPr>
              <w:spacing w:before="20" w:after="20"/>
              <w:jc w:val="right"/>
            </w:pPr>
            <w:r>
              <w:rPr>
                <w:rFonts w:ascii="Calibri" w:hAnsi="Calibri"/>
                <w:color w:val="64748B"/>
                <w:sz w:val="19"/>
              </w:rPr>
              <w:t>31</w:t>
            </w:r>
          </w:p>
        </w:tc>
      </w:tr>
      <w:tr>
        <w:tc>
          <w:tcPr>
            <w:tcW w:type="dxa" w:w="8352"/>
          </w:tcPr>
          <w:p>
            <w:pPr>
              <w:spacing w:before="20" w:after="20"/>
            </w:pPr>
            <w:r>
              <w:rPr>
                <w:rFonts w:ascii="Calibri" w:hAnsi="Calibri"/>
                <w:color w:val="1E293B"/>
                <w:sz w:val="19"/>
              </w:rPr>
              <w:t xml:space="preserve">    11.5 ROC-AUC and Precision-Recall Curves</w:t>
            </w:r>
          </w:p>
        </w:tc>
        <w:tc>
          <w:tcPr>
            <w:tcW w:type="dxa" w:w="1008"/>
          </w:tcPr>
          <w:p>
            <w:pPr>
              <w:spacing w:before="20" w:after="20"/>
              <w:jc w:val="right"/>
            </w:pPr>
            <w:r>
              <w:rPr>
                <w:rFonts w:ascii="Calibri" w:hAnsi="Calibri"/>
                <w:color w:val="64748B"/>
                <w:sz w:val="19"/>
              </w:rPr>
              <w:t>32</w:t>
            </w:r>
          </w:p>
        </w:tc>
      </w:tr>
      <w:tr>
        <w:tc>
          <w:tcPr>
            <w:tcW w:type="dxa" w:w="8352"/>
          </w:tcPr>
          <w:p>
            <w:pPr>
              <w:spacing w:before="20" w:after="20"/>
            </w:pPr>
            <w:r>
              <w:rPr>
                <w:rFonts w:ascii="Calibri" w:hAnsi="Calibri"/>
                <w:color w:val="1E293B"/>
                <w:sz w:val="19"/>
              </w:rPr>
              <w:t xml:space="preserve">    11.6 Operational Trade-Off Interpretation</w:t>
            </w:r>
          </w:p>
        </w:tc>
        <w:tc>
          <w:tcPr>
            <w:tcW w:type="dxa" w:w="1008"/>
          </w:tcPr>
          <w:p>
            <w:pPr>
              <w:spacing w:before="20" w:after="20"/>
              <w:jc w:val="right"/>
            </w:pPr>
            <w:r>
              <w:rPr>
                <w:rFonts w:ascii="Calibri" w:hAnsi="Calibri"/>
                <w:color w:val="64748B"/>
                <w:sz w:val="19"/>
              </w:rPr>
              <w:t>32</w:t>
            </w:r>
          </w:p>
        </w:tc>
      </w:tr>
      <w:tr>
        <w:tc>
          <w:tcPr>
            <w:tcW w:type="dxa" w:w="8352"/>
          </w:tcPr>
          <w:p>
            <w:pPr>
              <w:spacing w:before="20" w:after="20"/>
            </w:pPr>
            <w:r>
              <w:rPr>
                <w:rFonts w:ascii="Calibri" w:hAnsi="Calibri"/>
                <w:b/>
                <w:color w:val="1B365D"/>
                <w:sz w:val="19"/>
              </w:rPr>
              <w:t>12. Feature Importance</w:t>
            </w:r>
          </w:p>
        </w:tc>
        <w:tc>
          <w:tcPr>
            <w:tcW w:type="dxa" w:w="1008"/>
          </w:tcPr>
          <w:p>
            <w:pPr>
              <w:spacing w:before="20" w:after="20"/>
              <w:jc w:val="right"/>
            </w:pPr>
            <w:r>
              <w:rPr>
                <w:rFonts w:ascii="Calibri" w:hAnsi="Calibri"/>
                <w:color w:val="64748B"/>
                <w:sz w:val="19"/>
              </w:rPr>
              <w:t>33</w:t>
            </w:r>
          </w:p>
        </w:tc>
      </w:tr>
      <w:tr>
        <w:tc>
          <w:tcPr>
            <w:tcW w:type="dxa" w:w="8352"/>
          </w:tcPr>
          <w:p>
            <w:pPr>
              <w:spacing w:before="20" w:after="20"/>
            </w:pPr>
            <w:r>
              <w:rPr>
                <w:rFonts w:ascii="Calibri" w:hAnsi="Calibri"/>
                <w:color w:val="1E293B"/>
                <w:sz w:val="19"/>
              </w:rPr>
              <w:t xml:space="preserve">    12.1 Feature Importance Method</w:t>
            </w:r>
          </w:p>
        </w:tc>
        <w:tc>
          <w:tcPr>
            <w:tcW w:type="dxa" w:w="1008"/>
          </w:tcPr>
          <w:p>
            <w:pPr>
              <w:spacing w:before="20" w:after="20"/>
              <w:jc w:val="right"/>
            </w:pPr>
            <w:r>
              <w:rPr>
                <w:rFonts w:ascii="Calibri" w:hAnsi="Calibri"/>
                <w:color w:val="64748B"/>
                <w:sz w:val="19"/>
              </w:rPr>
              <w:t>33</w:t>
            </w:r>
          </w:p>
        </w:tc>
      </w:tr>
      <w:tr>
        <w:tc>
          <w:tcPr>
            <w:tcW w:type="dxa" w:w="8352"/>
          </w:tcPr>
          <w:p>
            <w:pPr>
              <w:spacing w:before="20" w:after="20"/>
            </w:pPr>
            <w:r>
              <w:rPr>
                <w:rFonts w:ascii="Calibri" w:hAnsi="Calibri"/>
                <w:color w:val="1E293B"/>
                <w:sz w:val="19"/>
              </w:rPr>
              <w:t xml:space="preserve">    12.2 Top Predictive Features</w:t>
            </w:r>
          </w:p>
        </w:tc>
        <w:tc>
          <w:tcPr>
            <w:tcW w:type="dxa" w:w="1008"/>
          </w:tcPr>
          <w:p>
            <w:pPr>
              <w:spacing w:before="20" w:after="20"/>
              <w:jc w:val="right"/>
            </w:pPr>
            <w:r>
              <w:rPr>
                <w:rFonts w:ascii="Calibri" w:hAnsi="Calibri"/>
                <w:color w:val="64748B"/>
                <w:sz w:val="19"/>
              </w:rPr>
              <w:t>33</w:t>
            </w:r>
          </w:p>
        </w:tc>
      </w:tr>
      <w:tr>
        <w:tc>
          <w:tcPr>
            <w:tcW w:type="dxa" w:w="8352"/>
          </w:tcPr>
          <w:p>
            <w:pPr>
              <w:spacing w:before="20" w:after="20"/>
            </w:pPr>
            <w:r>
              <w:rPr>
                <w:rFonts w:ascii="Calibri" w:hAnsi="Calibri"/>
                <w:color w:val="1E293B"/>
                <w:sz w:val="19"/>
              </w:rPr>
              <w:t xml:space="preserve">    12.3 Interpretation of Predictive Drivers</w:t>
            </w:r>
          </w:p>
        </w:tc>
        <w:tc>
          <w:tcPr>
            <w:tcW w:type="dxa" w:w="1008"/>
          </w:tcPr>
          <w:p>
            <w:pPr>
              <w:spacing w:before="20" w:after="20"/>
              <w:jc w:val="right"/>
            </w:pPr>
            <w:r>
              <w:rPr>
                <w:rFonts w:ascii="Calibri" w:hAnsi="Calibri"/>
                <w:color w:val="64748B"/>
                <w:sz w:val="19"/>
              </w:rPr>
              <w:t>34</w:t>
            </w:r>
          </w:p>
        </w:tc>
      </w:tr>
      <w:tr>
        <w:tc>
          <w:tcPr>
            <w:tcW w:type="dxa" w:w="8352"/>
          </w:tcPr>
          <w:p>
            <w:pPr>
              <w:spacing w:before="20" w:after="20"/>
            </w:pPr>
            <w:r>
              <w:rPr>
                <w:rFonts w:ascii="Calibri" w:hAnsi="Calibri"/>
                <w:b/>
                <w:color w:val="1B365D"/>
                <w:sz w:val="19"/>
              </w:rPr>
              <w:t>13. Interactive Decision Support Dashboard</w:t>
            </w:r>
          </w:p>
        </w:tc>
        <w:tc>
          <w:tcPr>
            <w:tcW w:type="dxa" w:w="1008"/>
          </w:tcPr>
          <w:p>
            <w:pPr>
              <w:spacing w:before="20" w:after="20"/>
              <w:jc w:val="right"/>
            </w:pPr>
            <w:r>
              <w:rPr>
                <w:rFonts w:ascii="Calibri" w:hAnsi="Calibri"/>
                <w:color w:val="64748B"/>
                <w:sz w:val="19"/>
              </w:rPr>
              <w:t>35</w:t>
            </w:r>
          </w:p>
        </w:tc>
      </w:tr>
      <w:tr>
        <w:tc>
          <w:tcPr>
            <w:tcW w:type="dxa" w:w="8352"/>
          </w:tcPr>
          <w:p>
            <w:pPr>
              <w:spacing w:before="20" w:after="20"/>
            </w:pPr>
            <w:r>
              <w:rPr>
                <w:rFonts w:ascii="Calibri" w:hAnsi="Calibri"/>
                <w:color w:val="1E293B"/>
                <w:sz w:val="19"/>
              </w:rPr>
              <w:t xml:space="preserve">    13.1 Dashboard Architecture</w:t>
            </w:r>
          </w:p>
        </w:tc>
        <w:tc>
          <w:tcPr>
            <w:tcW w:type="dxa" w:w="1008"/>
          </w:tcPr>
          <w:p>
            <w:pPr>
              <w:spacing w:before="20" w:after="20"/>
              <w:jc w:val="right"/>
            </w:pPr>
            <w:r>
              <w:rPr>
                <w:rFonts w:ascii="Calibri" w:hAnsi="Calibri"/>
                <w:color w:val="64748B"/>
                <w:sz w:val="19"/>
              </w:rPr>
              <w:t>35</w:t>
            </w:r>
          </w:p>
        </w:tc>
      </w:tr>
      <w:tr>
        <w:tc>
          <w:tcPr>
            <w:tcW w:type="dxa" w:w="8352"/>
          </w:tcPr>
          <w:p>
            <w:pPr>
              <w:spacing w:before="20" w:after="20"/>
            </w:pPr>
            <w:r>
              <w:rPr>
                <w:rFonts w:ascii="Calibri" w:hAnsi="Calibri"/>
                <w:color w:val="1E293B"/>
                <w:sz w:val="19"/>
              </w:rPr>
              <w:t xml:space="preserve">    13.2 Functional Capabilities across 8 Modules</w:t>
            </w:r>
          </w:p>
        </w:tc>
        <w:tc>
          <w:tcPr>
            <w:tcW w:type="dxa" w:w="1008"/>
          </w:tcPr>
          <w:p>
            <w:pPr>
              <w:spacing w:before="20" w:after="20"/>
              <w:jc w:val="right"/>
            </w:pPr>
            <w:r>
              <w:rPr>
                <w:rFonts w:ascii="Calibri" w:hAnsi="Calibri"/>
                <w:color w:val="64748B"/>
                <w:sz w:val="19"/>
              </w:rPr>
              <w:t>36</w:t>
            </w:r>
          </w:p>
        </w:tc>
      </w:tr>
      <w:tr>
        <w:tc>
          <w:tcPr>
            <w:tcW w:type="dxa" w:w="8352"/>
          </w:tcPr>
          <w:p>
            <w:pPr>
              <w:spacing w:before="20" w:after="20"/>
            </w:pPr>
            <w:r>
              <w:rPr>
                <w:rFonts w:ascii="Calibri" w:hAnsi="Calibri"/>
                <w:color w:val="1E293B"/>
                <w:sz w:val="19"/>
              </w:rPr>
              <w:t xml:space="preserve">    13.3 Real-Time R Inference Bridge Execution</w:t>
            </w:r>
          </w:p>
        </w:tc>
        <w:tc>
          <w:tcPr>
            <w:tcW w:type="dxa" w:w="1008"/>
          </w:tcPr>
          <w:p>
            <w:pPr>
              <w:spacing w:before="20" w:after="20"/>
              <w:jc w:val="right"/>
            </w:pPr>
            <w:r>
              <w:rPr>
                <w:rFonts w:ascii="Calibri" w:hAnsi="Calibri"/>
                <w:color w:val="64748B"/>
                <w:sz w:val="19"/>
              </w:rPr>
              <w:t>37</w:t>
            </w:r>
          </w:p>
        </w:tc>
      </w:tr>
      <w:tr>
        <w:tc>
          <w:tcPr>
            <w:tcW w:type="dxa" w:w="8352"/>
          </w:tcPr>
          <w:p>
            <w:pPr>
              <w:spacing w:before="20" w:after="20"/>
            </w:pPr>
            <w:r>
              <w:rPr>
                <w:rFonts w:ascii="Calibri" w:hAnsi="Calibri"/>
                <w:b/>
                <w:color w:val="1B365D"/>
                <w:sz w:val="19"/>
              </w:rPr>
              <w:t>14. Result Interpretation and Business Insights</w:t>
            </w:r>
          </w:p>
        </w:tc>
        <w:tc>
          <w:tcPr>
            <w:tcW w:type="dxa" w:w="1008"/>
          </w:tcPr>
          <w:p>
            <w:pPr>
              <w:spacing w:before="20" w:after="20"/>
              <w:jc w:val="right"/>
            </w:pPr>
            <w:r>
              <w:rPr>
                <w:rFonts w:ascii="Calibri" w:hAnsi="Calibri"/>
                <w:color w:val="64748B"/>
                <w:sz w:val="19"/>
              </w:rPr>
              <w:t>38</w:t>
            </w:r>
          </w:p>
        </w:tc>
      </w:tr>
      <w:tr>
        <w:tc>
          <w:tcPr>
            <w:tcW w:type="dxa" w:w="8352"/>
          </w:tcPr>
          <w:p>
            <w:pPr>
              <w:spacing w:before="20" w:after="20"/>
            </w:pPr>
            <w:r>
              <w:rPr>
                <w:rFonts w:ascii="Calibri" w:hAnsi="Calibri"/>
                <w:color w:val="1E293B"/>
                <w:sz w:val="19"/>
              </w:rPr>
              <w:t xml:space="preserve">    14.1 Major Findings</w:t>
            </w:r>
          </w:p>
        </w:tc>
        <w:tc>
          <w:tcPr>
            <w:tcW w:type="dxa" w:w="1008"/>
          </w:tcPr>
          <w:p>
            <w:pPr>
              <w:spacing w:before="20" w:after="20"/>
              <w:jc w:val="right"/>
            </w:pPr>
            <w:r>
              <w:rPr>
                <w:rFonts w:ascii="Calibri" w:hAnsi="Calibri"/>
                <w:color w:val="64748B"/>
                <w:sz w:val="19"/>
              </w:rPr>
              <w:t>38</w:t>
            </w:r>
          </w:p>
        </w:tc>
      </w:tr>
      <w:tr>
        <w:tc>
          <w:tcPr>
            <w:tcW w:type="dxa" w:w="8352"/>
          </w:tcPr>
          <w:p>
            <w:pPr>
              <w:spacing w:before="20" w:after="20"/>
            </w:pPr>
            <w:r>
              <w:rPr>
                <w:rFonts w:ascii="Calibri" w:hAnsi="Calibri"/>
                <w:color w:val="1E293B"/>
                <w:sz w:val="19"/>
              </w:rPr>
              <w:t xml:space="preserve">    14.2 Workforce Risk Factors</w:t>
            </w:r>
          </w:p>
        </w:tc>
        <w:tc>
          <w:tcPr>
            <w:tcW w:type="dxa" w:w="1008"/>
          </w:tcPr>
          <w:p>
            <w:pPr>
              <w:spacing w:before="20" w:after="20"/>
              <w:jc w:val="right"/>
            </w:pPr>
            <w:r>
              <w:rPr>
                <w:rFonts w:ascii="Calibri" w:hAnsi="Calibri"/>
                <w:color w:val="64748B"/>
                <w:sz w:val="19"/>
              </w:rPr>
              <w:t>38</w:t>
            </w:r>
          </w:p>
        </w:tc>
      </w:tr>
      <w:tr>
        <w:tc>
          <w:tcPr>
            <w:tcW w:type="dxa" w:w="8352"/>
          </w:tcPr>
          <w:p>
            <w:pPr>
              <w:spacing w:before="20" w:after="20"/>
            </w:pPr>
            <w:r>
              <w:rPr>
                <w:rFonts w:ascii="Calibri" w:hAnsi="Calibri"/>
                <w:color w:val="1E293B"/>
                <w:sz w:val="19"/>
              </w:rPr>
              <w:t xml:space="preserve">    14.3 Practical HR Applications &amp; 4 Operational Pillars</w:t>
            </w:r>
          </w:p>
        </w:tc>
        <w:tc>
          <w:tcPr>
            <w:tcW w:type="dxa" w:w="1008"/>
          </w:tcPr>
          <w:p>
            <w:pPr>
              <w:spacing w:before="20" w:after="20"/>
              <w:jc w:val="right"/>
            </w:pPr>
            <w:r>
              <w:rPr>
                <w:rFonts w:ascii="Calibri" w:hAnsi="Calibri"/>
                <w:color w:val="64748B"/>
                <w:sz w:val="19"/>
              </w:rPr>
              <w:t>39</w:t>
            </w:r>
          </w:p>
        </w:tc>
      </w:tr>
      <w:tr>
        <w:tc>
          <w:tcPr>
            <w:tcW w:type="dxa" w:w="8352"/>
          </w:tcPr>
          <w:p>
            <w:pPr>
              <w:spacing w:before="20" w:after="20"/>
            </w:pPr>
            <w:r>
              <w:rPr>
                <w:rFonts w:ascii="Calibri" w:hAnsi="Calibri"/>
                <w:color w:val="1E293B"/>
                <w:sz w:val="19"/>
              </w:rPr>
              <w:t xml:space="preserve">    14.4 Responsible Use of Predictions</w:t>
            </w:r>
          </w:p>
        </w:tc>
        <w:tc>
          <w:tcPr>
            <w:tcW w:type="dxa" w:w="1008"/>
          </w:tcPr>
          <w:p>
            <w:pPr>
              <w:spacing w:before="20" w:after="20"/>
              <w:jc w:val="right"/>
            </w:pPr>
            <w:r>
              <w:rPr>
                <w:rFonts w:ascii="Calibri" w:hAnsi="Calibri"/>
                <w:color w:val="64748B"/>
                <w:sz w:val="19"/>
              </w:rPr>
              <w:t>40</w:t>
            </w:r>
          </w:p>
        </w:tc>
      </w:tr>
      <w:tr>
        <w:tc>
          <w:tcPr>
            <w:tcW w:type="dxa" w:w="8352"/>
          </w:tcPr>
          <w:p>
            <w:pPr>
              <w:spacing w:before="20" w:after="20"/>
            </w:pPr>
            <w:r>
              <w:rPr>
                <w:rFonts w:ascii="Calibri" w:hAnsi="Calibri"/>
                <w:b/>
                <w:color w:val="1B365D"/>
                <w:sz w:val="19"/>
              </w:rPr>
              <w:t>15. Limitations</w:t>
            </w:r>
          </w:p>
        </w:tc>
        <w:tc>
          <w:tcPr>
            <w:tcW w:type="dxa" w:w="1008"/>
          </w:tcPr>
          <w:p>
            <w:pPr>
              <w:spacing w:before="20" w:after="20"/>
              <w:jc w:val="right"/>
            </w:pPr>
            <w:r>
              <w:rPr>
                <w:rFonts w:ascii="Calibri" w:hAnsi="Calibri"/>
                <w:color w:val="64748B"/>
                <w:sz w:val="19"/>
              </w:rPr>
              <w:t>41</w:t>
            </w:r>
          </w:p>
        </w:tc>
      </w:tr>
      <w:tr>
        <w:tc>
          <w:tcPr>
            <w:tcW w:type="dxa" w:w="8352"/>
          </w:tcPr>
          <w:p>
            <w:pPr>
              <w:spacing w:before="20" w:after="20"/>
            </w:pPr>
            <w:r>
              <w:rPr>
                <w:rFonts w:ascii="Calibri" w:hAnsi="Calibri"/>
                <w:b/>
                <w:color w:val="1B365D"/>
                <w:sz w:val="19"/>
              </w:rPr>
              <w:t>16. Future Scope</w:t>
            </w:r>
          </w:p>
        </w:tc>
        <w:tc>
          <w:tcPr>
            <w:tcW w:type="dxa" w:w="1008"/>
          </w:tcPr>
          <w:p>
            <w:pPr>
              <w:spacing w:before="20" w:after="20"/>
              <w:jc w:val="right"/>
            </w:pPr>
            <w:r>
              <w:rPr>
                <w:rFonts w:ascii="Calibri" w:hAnsi="Calibri"/>
                <w:color w:val="64748B"/>
                <w:sz w:val="19"/>
              </w:rPr>
              <w:t>42</w:t>
            </w:r>
          </w:p>
        </w:tc>
      </w:tr>
      <w:tr>
        <w:tc>
          <w:tcPr>
            <w:tcW w:type="dxa" w:w="8352"/>
          </w:tcPr>
          <w:p>
            <w:pPr>
              <w:spacing w:before="20" w:after="20"/>
            </w:pPr>
            <w:r>
              <w:rPr>
                <w:rFonts w:ascii="Calibri" w:hAnsi="Calibri"/>
                <w:b/>
                <w:color w:val="1B365D"/>
                <w:sz w:val="19"/>
              </w:rPr>
              <w:t>17. Conclusion</w:t>
            </w:r>
          </w:p>
        </w:tc>
        <w:tc>
          <w:tcPr>
            <w:tcW w:type="dxa" w:w="1008"/>
          </w:tcPr>
          <w:p>
            <w:pPr>
              <w:spacing w:before="20" w:after="20"/>
              <w:jc w:val="right"/>
            </w:pPr>
            <w:r>
              <w:rPr>
                <w:rFonts w:ascii="Calibri" w:hAnsi="Calibri"/>
                <w:color w:val="64748B"/>
                <w:sz w:val="19"/>
              </w:rPr>
              <w:t>43</w:t>
            </w:r>
          </w:p>
        </w:tc>
      </w:tr>
      <w:tr>
        <w:tc>
          <w:tcPr>
            <w:tcW w:type="dxa" w:w="8352"/>
          </w:tcPr>
          <w:p>
            <w:pPr>
              <w:spacing w:before="20" w:after="20"/>
            </w:pPr>
            <w:r>
              <w:rPr>
                <w:rFonts w:ascii="Calibri" w:hAnsi="Calibri"/>
                <w:b/>
                <w:color w:val="1B365D"/>
                <w:sz w:val="19"/>
              </w:rPr>
              <w:t>18. Project Organization</w:t>
            </w:r>
          </w:p>
        </w:tc>
        <w:tc>
          <w:tcPr>
            <w:tcW w:type="dxa" w:w="1008"/>
          </w:tcPr>
          <w:p>
            <w:pPr>
              <w:spacing w:before="20" w:after="20"/>
              <w:jc w:val="right"/>
            </w:pPr>
            <w:r>
              <w:rPr>
                <w:rFonts w:ascii="Calibri" w:hAnsi="Calibri"/>
                <w:color w:val="64748B"/>
                <w:sz w:val="19"/>
              </w:rPr>
              <w:t>44</w:t>
            </w:r>
          </w:p>
        </w:tc>
      </w:tr>
      <w:tr>
        <w:tc>
          <w:tcPr>
            <w:tcW w:type="dxa" w:w="8352"/>
          </w:tcPr>
          <w:p>
            <w:pPr>
              <w:spacing w:before="20" w:after="20"/>
            </w:pPr>
            <w:r>
              <w:rPr>
                <w:rFonts w:ascii="Calibri" w:hAnsi="Calibri"/>
                <w:b/>
                <w:color w:val="1B365D"/>
                <w:sz w:val="19"/>
              </w:rPr>
              <w:t>References</w:t>
            </w:r>
          </w:p>
        </w:tc>
        <w:tc>
          <w:tcPr>
            <w:tcW w:type="dxa" w:w="1008"/>
          </w:tcPr>
          <w:p>
            <w:pPr>
              <w:spacing w:before="20" w:after="20"/>
              <w:jc w:val="right"/>
            </w:pPr>
            <w:r>
              <w:rPr>
                <w:rFonts w:ascii="Calibri" w:hAnsi="Calibri"/>
                <w:color w:val="64748B"/>
                <w:sz w:val="19"/>
              </w:rPr>
              <w:t>45</w:t>
            </w:r>
          </w:p>
        </w:tc>
      </w:tr>
    </w:tbl>
    <w:p>
      <w:r>
        <w:br w:type="page"/>
      </w:r>
    </w:p>
    <w:p>
      <w:pPr>
        <w:keepNext/>
        <w:spacing w:before="360" w:after="120"/>
      </w:pPr>
      <w:r>
        <w:rPr>
          <w:rFonts w:ascii="Calibri" w:hAnsi="Calibri"/>
          <w:b/>
          <w:color w:val="1B365D"/>
          <w:sz w:val="32"/>
        </w:rPr>
        <w:t>1. Executive Summary</w:t>
      </w:r>
    </w:p>
    <w:p>
      <w:pPr>
        <w:spacing w:before="0" w:after="120" w:line="276" w:lineRule="auto"/>
      </w:pPr>
      <w:r>
        <w:rPr>
          <w:rFonts w:ascii="Calibri" w:hAnsi="Calibri"/>
          <w:color w:val="1E293B"/>
          <w:sz w:val="22"/>
        </w:rPr>
        <w:t>Voluntary employee attrition presents severe operational, structural, and institutional hurdles in continuous-process industrial manufacturing. When skilled operators, shift technicians, and line supervisors exit an organization unexpectedly, manufacturing lines face productivity bottlenecks, scrap rate elevations, and costly emergency contractor hiring. This technical report details an end-to-end machine learning and workforce analytics system designed to transition human resource management from reactive exit surveys to proactive, data-driven early intervention.</w:t>
      </w:r>
    </w:p>
    <w:p>
      <w:pPr>
        <w:spacing w:before="0" w:after="120" w:line="276" w:lineRule="auto"/>
      </w:pPr>
      <w:r>
        <w:rPr>
          <w:rFonts w:ascii="Calibri" w:hAnsi="Calibri"/>
          <w:color w:val="1E293B"/>
          <w:sz w:val="22"/>
        </w:rPr>
        <w:t>The project analyzes an enterprise manufacturing dataset comprising 50,000 employee records spanning 6 regional production plants and 7 functional departments. Exploratory data analysis and non-parametric statistical hypothesis testing revealed that turnover is not predominantly governed by compensation, but by job-condition and behavioral friction points—most notably monthly overtime exceeding 28 hours, long commute distances (&gt;30 km), and employee engagement scores dropping below 60.0 on a standardized scale.</w:t>
      </w:r>
    </w:p>
    <w:p>
      <w:pPr>
        <w:spacing w:before="0" w:after="120" w:line="276" w:lineRule="auto"/>
      </w:pPr>
      <w:r>
        <w:rPr>
          <w:rFonts w:ascii="Calibri" w:hAnsi="Calibri"/>
          <w:color w:val="1E293B"/>
          <w:sz w:val="22"/>
        </w:rPr>
        <w:t>Ten diverse supervised machine learning algorithms were systematically benchmarked, revealing a severe manifestation of the Accuracy Paradox caused by the ~5:1 class imbalance (16.66% attrition vs. 83.34% retention). At the conventional classification threshold of 0.50, baseline and tuned models exhibited high overall accuracy (~83.3%) while capturing under 1.4% of actual leavers. To resolve this imbalance trap, systematic decision-boundary optimization was conducted across the continuous threshold spectrum. Calibrating the decision threshold to 0.20 elevated leaver detection to 51.62% while maintaining an operational specificity of 72.70%.</w:t>
      </w:r>
    </w:p>
    <w:p>
      <w:pPr>
        <w:spacing w:before="0" w:after="120" w:line="276" w:lineRule="auto"/>
      </w:pPr>
      <w:r>
        <w:rPr>
          <w:rFonts w:ascii="Calibri" w:hAnsi="Calibri"/>
          <w:color w:val="1E293B"/>
          <w:sz w:val="22"/>
        </w:rPr>
        <w:t>Among all tuned architectures, Tuned Gradient Boosting achieved the highest overall discriminatory capability (ROC-AUC = 0.6790), while Tuned XGBoost was selected as the final operational champion model because it achieved the peak F1-Score (0.3583) among all tuned models at the designated 0.20 operating threshold. The model was deployed into a responsive 8-module Streamlit decision-support dashboard connected to an R model inference bridge, providing real-time risk assessment and evidence-based retention prescriptions for industrial plant leadership.</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40" w:type="dxa"/>
              <w:bottom w:w="140" w:type="dxa"/>
              <w:left w:w="200" w:type="dxa"/>
              <w:right w:w="180" w:type="dxa"/>
            </w:tcMar>
            <w:tcBorders>
              <w:left w:val="single" w:sz="24" w:space="0" w:color="1B365D"/>
              <w:top w:val="none"/>
              <w:bottom w:val="none"/>
              <w:right w:val="none"/>
            </w:tcBorders>
          </w:tcPr>
          <w:p>
            <w:pPr>
              <w:spacing w:before="0" w:after="40" w:line="276" w:lineRule="auto"/>
            </w:pPr>
            <w:r>
              <w:rPr>
                <w:rFonts w:ascii="Calibri" w:hAnsi="Calibri"/>
                <w:b/>
                <w:color w:val="1B365D"/>
                <w:sz w:val="21"/>
              </w:rPr>
              <w:t>Executive Scorecard — Core Validated Results</w:t>
              <w:br/>
            </w:r>
            <w:r>
              <w:rPr>
                <w:rFonts w:ascii="Calibri" w:hAnsi="Calibri"/>
                <w:color w:val="1E293B"/>
                <w:sz w:val="20"/>
              </w:rPr>
              <w:t>• Enterprise Workforce Scale: 50,000 records across 6 plants | Holdout Test Partition: 9,999 records</w:t>
              <w:br/>
              <w:t>• Champion Model: Tuned XGBoost (Tree-based ensemble with cross-validated hyperparameter tuning)</w:t>
              <w:br/>
              <w:t>• Operating Classification Boundary: Calibrated Threshold = 0.20 (Resolving Class Imbalance Trap)</w:t>
              <w:br/>
              <w:t>• Final Operational Performance: ROC-AUC = 0.6716 | Recall = 51.62% (860/1,666 leavers caught)</w:t>
              <w:br/>
              <w:t>• Precision = 27.43% | Specificity = 72.70% (6,058/8,333 stayers protected) | F1-Score = 0.3583</w:t>
              <w:br/>
              <w:t>• Top Predictive Signals: EngagementScore, SatisfactionIndex, MonthlyOvertimeHours, DistanceFromHome</w:t>
              <w:br/>
              <w:t>• Software Delivery: 8-Module Interactive Python Streamlit Dashboard with native R prediction bridge</w:t>
            </w:r>
          </w:p>
        </w:tc>
      </w:tr>
    </w:tbl>
    <w:p>
      <w:pPr>
        <w:spacing w:after="80"/>
      </w:pPr>
    </w:p>
    <w:p>
      <w:r>
        <w:br w:type="page"/>
      </w:r>
    </w:p>
    <w:p>
      <w:pPr>
        <w:keepNext/>
        <w:spacing w:before="360" w:after="120"/>
      </w:pPr>
      <w:r>
        <w:rPr>
          <w:rFonts w:ascii="Calibri" w:hAnsi="Calibri"/>
          <w:b/>
          <w:color w:val="1B365D"/>
          <w:sz w:val="32"/>
        </w:rPr>
        <w:t>2. Problem Statement and Objectives</w:t>
      </w:r>
    </w:p>
    <w:p>
      <w:pPr>
        <w:keepNext/>
        <w:spacing w:before="280" w:after="80"/>
      </w:pPr>
      <w:r>
        <w:rPr>
          <w:rFonts w:ascii="Calibri" w:hAnsi="Calibri"/>
          <w:b/>
          <w:color w:val="1B365D"/>
          <w:sz w:val="26"/>
        </w:rPr>
        <w:t>2.1 Problem Statement</w:t>
      </w:r>
    </w:p>
    <w:p>
      <w:pPr>
        <w:spacing w:before="0" w:after="120" w:line="276" w:lineRule="auto"/>
      </w:pPr>
      <w:r>
        <w:rPr>
          <w:rFonts w:ascii="Calibri" w:hAnsi="Calibri"/>
          <w:color w:val="1E293B"/>
          <w:sz w:val="22"/>
        </w:rPr>
        <w:t>In industrial discrete and continuous manufacturing plants, workforce stability is the foundation of operational efficiency, machine utilization, and defect prevention. Unlike service-sector or corporate environments where knowledge worker transitions can often be absorbed through documented workflows, plant-floor technician turnover directly impacts tactical operations. Replacing specialized operators—such as CNC technicians, stamping press operators, and quality inspectors—involves lengthy recruitment pipelines, mandatory onboarding safety certifications, and substantial ramp-up periods before operational autonomy is achieved.</w:t>
      </w:r>
    </w:p>
    <w:p>
      <w:pPr>
        <w:spacing w:before="0" w:after="120" w:line="276" w:lineRule="auto"/>
      </w:pPr>
      <w:r>
        <w:rPr>
          <w:rFonts w:ascii="Calibri" w:hAnsi="Calibri"/>
          <w:color w:val="1E293B"/>
          <w:sz w:val="22"/>
        </w:rPr>
        <w:t>Traditional human resource approaches to attrition rely almost exclusively on lagging indicators, such as exit interviews and annual turnover audits. By the time an employee submits a formal resignation notice, organizational interventions are largely ineffective. Moreover, raw intuition by shift supervisors is often clouded by cognitive biases or localized shop-floor friction. There is an urgent operational requirement for an automated early-warning system that continuously evaluates multidimensional workforce signals to identify attrition risk before resignations occur.</w:t>
      </w:r>
    </w:p>
    <w:p>
      <w:pPr>
        <w:keepNext/>
        <w:spacing w:before="280" w:after="80"/>
      </w:pPr>
      <w:r>
        <w:rPr>
          <w:rFonts w:ascii="Calibri" w:hAnsi="Calibri"/>
          <w:b/>
          <w:color w:val="1B365D"/>
          <w:sz w:val="26"/>
        </w:rPr>
        <w:t>2.2 Project Objectives</w:t>
      </w:r>
    </w:p>
    <w:p>
      <w:pPr>
        <w:spacing w:before="0" w:after="120" w:line="276" w:lineRule="auto"/>
      </w:pPr>
      <w:r>
        <w:rPr>
          <w:rFonts w:ascii="Calibri" w:hAnsi="Calibri"/>
          <w:color w:val="1E293B"/>
          <w:sz w:val="22"/>
        </w:rPr>
        <w:t>To address these challenges, this study pursues five rigorous technical objectives:</w:t>
      </w:r>
    </w:p>
    <w:p>
      <w:pPr>
        <w:pStyle w:val="ListBullet"/>
        <w:spacing w:before="0" w:after="60" w:line="276" w:lineRule="auto"/>
      </w:pPr>
      <w:r>
        <w:rPr>
          <w:rFonts w:ascii="Calibri" w:hAnsi="Calibri"/>
          <w:b/>
          <w:color w:val="1B365D"/>
        </w:rPr>
        <w:t xml:space="preserve">1. Comprehensive Empirical Data Pipeline: </w:t>
      </w:r>
      <w:r>
        <w:rPr>
          <w:rFonts w:ascii="Calibri" w:hAnsi="Calibri"/>
          <w:color w:val="1E293B"/>
        </w:rPr>
        <w:t>Ingest, audit, clean, and standardize an enterprise multi-plant workforce database of 50,000 records, verifying zero data leakage.</w:t>
      </w:r>
    </w:p>
    <w:p>
      <w:pPr>
        <w:pStyle w:val="ListBullet"/>
        <w:spacing w:before="0" w:after="60" w:line="276" w:lineRule="auto"/>
      </w:pPr>
      <w:r>
        <w:rPr>
          <w:rFonts w:ascii="Calibri" w:hAnsi="Calibri"/>
          <w:b/>
          <w:color w:val="1B365D"/>
        </w:rPr>
        <w:t xml:space="preserve">2. Behavioral &amp; Psychometric Feature Engineering: </w:t>
      </w:r>
      <w:r>
        <w:rPr>
          <w:rFonts w:ascii="Calibri" w:hAnsi="Calibri"/>
          <w:color w:val="1E293B"/>
        </w:rPr>
        <w:t>Formulate consolidated analytical indicators (such as the composite SatisfactionIndex) to capture nuanced workplace dynamics.</w:t>
      </w:r>
    </w:p>
    <w:p>
      <w:pPr>
        <w:pStyle w:val="ListBullet"/>
        <w:spacing w:before="0" w:after="60" w:line="276" w:lineRule="auto"/>
      </w:pPr>
      <w:r>
        <w:rPr>
          <w:rFonts w:ascii="Calibri" w:hAnsi="Calibri"/>
          <w:b/>
          <w:color w:val="1B365D"/>
        </w:rPr>
        <w:t xml:space="preserve">3. Rigorous Machine Learning Benchmarking: </w:t>
      </w:r>
      <w:r>
        <w:rPr>
          <w:rFonts w:ascii="Calibri" w:hAnsi="Calibri"/>
          <w:color w:val="1E293B"/>
        </w:rPr>
        <w:t>Train and compare 10 diverse supervised algorithms, establishing rigorous cross-validated baselines.</w:t>
      </w:r>
    </w:p>
    <w:p>
      <w:pPr>
        <w:pStyle w:val="ListBullet"/>
        <w:spacing w:before="0" w:after="60" w:line="276" w:lineRule="auto"/>
      </w:pPr>
      <w:r>
        <w:rPr>
          <w:rFonts w:ascii="Calibri" w:hAnsi="Calibri"/>
          <w:b/>
          <w:color w:val="1B365D"/>
        </w:rPr>
        <w:t xml:space="preserve">4. Decision Threshold Optimization: </w:t>
      </w:r>
      <w:r>
        <w:rPr>
          <w:rFonts w:ascii="Calibri" w:hAnsi="Calibri"/>
          <w:color w:val="1E293B"/>
        </w:rPr>
        <w:t>Quantify the trade-offs of the Accuracy Paradox under class imbalance, systematically optimizing classification boundaries to maximize recall and F1-score.</w:t>
      </w:r>
    </w:p>
    <w:p>
      <w:pPr>
        <w:pStyle w:val="ListBullet"/>
        <w:spacing w:before="0" w:after="60" w:line="276" w:lineRule="auto"/>
      </w:pPr>
      <w:r>
        <w:rPr>
          <w:rFonts w:ascii="Calibri" w:hAnsi="Calibri"/>
          <w:b/>
          <w:color w:val="1B365D"/>
        </w:rPr>
        <w:t xml:space="preserve">5. Operational Decision-Support Deployment: </w:t>
      </w:r>
      <w:r>
        <w:rPr>
          <w:rFonts w:ascii="Calibri" w:hAnsi="Calibri"/>
          <w:color w:val="1E293B"/>
        </w:rPr>
        <w:t>Deliver an interactive web dashboard capable of scoring individual employee risk in real-time and prescribing targeted retention interventions.</w:t>
      </w:r>
    </w:p>
    <w:p>
      <w:pPr>
        <w:keepNext/>
        <w:spacing w:before="280" w:after="80"/>
      </w:pPr>
      <w:r>
        <w:rPr>
          <w:rFonts w:ascii="Calibri" w:hAnsi="Calibri"/>
          <w:b/>
          <w:color w:val="1B365D"/>
          <w:sz w:val="26"/>
        </w:rPr>
        <w:t>2.3 Scope of the Solution</w:t>
      </w:r>
    </w:p>
    <w:p>
      <w:pPr>
        <w:spacing w:before="0" w:after="120" w:line="276" w:lineRule="auto"/>
      </w:pPr>
      <w:r>
        <w:rPr>
          <w:rFonts w:ascii="Calibri" w:hAnsi="Calibri"/>
          <w:color w:val="1E293B"/>
          <w:sz w:val="22"/>
        </w:rPr>
        <w:t>The scope of this project encompasses full lifecycle data science—from raw exploratory data analysis and SQL relational querying to ensemble training, threshold calibration, and interactive web application deployment. The analytical scope is specifically contextualized within manufacturing operations across 6 production facilities. Importantly, the system is designed strictly as an advisory decision-support mechanism for human resource executives and plant managers; it is explicitly not designed or authorized to execute automated adverse employment decisions.</w:t>
      </w:r>
    </w:p>
    <w:p>
      <w:pPr>
        <w:keepNext/>
        <w:spacing w:before="360" w:after="120"/>
      </w:pPr>
      <w:r>
        <w:rPr>
          <w:rFonts w:ascii="Calibri" w:hAnsi="Calibri"/>
          <w:b/>
          <w:color w:val="1B365D"/>
          <w:sz w:val="32"/>
        </w:rPr>
        <w:t>3. Dataset and Data Preparation</w:t>
      </w:r>
    </w:p>
    <w:p>
      <w:pPr>
        <w:keepNext/>
        <w:spacing w:before="280" w:after="80"/>
      </w:pPr>
      <w:r>
        <w:rPr>
          <w:rFonts w:ascii="Calibri" w:hAnsi="Calibri"/>
          <w:b/>
          <w:color w:val="1B365D"/>
          <w:sz w:val="26"/>
        </w:rPr>
        <w:t>3.1 Dataset Overview</w:t>
      </w:r>
    </w:p>
    <w:p>
      <w:pPr>
        <w:spacing w:before="0" w:after="120" w:line="276" w:lineRule="auto"/>
      </w:pPr>
      <w:r>
        <w:rPr>
          <w:rFonts w:ascii="Calibri" w:hAnsi="Calibri"/>
          <w:color w:val="1E293B"/>
          <w:sz w:val="22"/>
        </w:rPr>
        <w:t>The empirical foundation for this study is an anonymized, production-grade enterprise workforce database collected from multi-facility manufacturing operations. The dataset captures rich employee-level demographic profiles, physical commute metrics, organizational assignments, compensation tiers, and psychometric feedback gathered through workplace survey cadences.</w:t>
      </w:r>
    </w:p>
    <w:p>
      <w:pPr>
        <w:keepNext/>
        <w:spacing w:before="280" w:after="80"/>
      </w:pPr>
      <w:r>
        <w:rPr>
          <w:rFonts w:ascii="Calibri" w:hAnsi="Calibri"/>
          <w:b/>
          <w:color w:val="1B365D"/>
          <w:sz w:val="26"/>
        </w:rPr>
        <w:t>3.2 Dataset Dimensions</w:t>
      </w:r>
    </w:p>
    <w:p>
      <w:pPr>
        <w:spacing w:before="0" w:after="120" w:line="276" w:lineRule="auto"/>
      </w:pPr>
      <w:r>
        <w:rPr>
          <w:rFonts w:ascii="Calibri" w:hAnsi="Calibri"/>
          <w:color w:val="1E293B"/>
          <w:sz w:val="22"/>
        </w:rPr>
        <w:t>The raw dataset consists of exactly 50,000 individual employee records (rows) structured across 21 original columns. This substantial scale provides statistical power far exceeding conventional benchmark datasets (e.g., IBM HR Analytics which contains only 1,470 records), enabling robust multi-variable cross-validation and hyperparameter search without severe risk of small-sample variance.</w:t>
      </w:r>
    </w:p>
    <w:p>
      <w:pPr>
        <w:keepNext/>
        <w:spacing w:before="280" w:after="80"/>
      </w:pPr>
      <w:r>
        <w:rPr>
          <w:rFonts w:ascii="Calibri" w:hAnsi="Calibri"/>
          <w:b/>
          <w:color w:val="1B365D"/>
          <w:sz w:val="26"/>
        </w:rPr>
        <w:t>3.3 Feature Description</w:t>
      </w:r>
    </w:p>
    <w:p>
      <w:pPr>
        <w:spacing w:before="0" w:after="120" w:line="276" w:lineRule="auto"/>
      </w:pPr>
      <w:r>
        <w:rPr>
          <w:rFonts w:ascii="Calibri" w:hAnsi="Calibri"/>
          <w:color w:val="1E293B"/>
          <w:sz w:val="22"/>
        </w:rPr>
        <w:t>The 21 original attributes are organized into five logical categories: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1728"/>
            <w:shd w:val="clear" w:color="auto" w:fill="1B365D"/>
            <w:tcMar>
              <w:top w:w="100" w:type="dxa"/>
              <w:bottom w:w="100" w:type="dxa"/>
              <w:left w:w="140" w:type="dxa"/>
              <w:right w:w="140" w:type="dxa"/>
            </w:tcMar>
          </w:tcPr>
          <w:p>
            <w:pPr>
              <w:spacing w:before="0" w:after="0"/>
              <w:jc w:val="left"/>
            </w:pPr>
            <w:r>
              <w:rPr>
                <w:rFonts w:ascii="Calibri" w:hAnsi="Calibri"/>
                <w:b/>
                <w:color w:val="FFFFFF"/>
                <w:sz w:val="20"/>
              </w:rPr>
              <w:t>Category</w:t>
            </w:r>
          </w:p>
        </w:tc>
        <w:tc>
          <w:tcPr>
            <w:tcW w:type="dxa" w:w="2304"/>
            <w:shd w:val="clear" w:color="auto" w:fill="1B365D"/>
            <w:tcMar>
              <w:top w:w="100" w:type="dxa"/>
              <w:bottom w:w="100" w:type="dxa"/>
              <w:left w:w="140" w:type="dxa"/>
              <w:right w:w="140" w:type="dxa"/>
            </w:tcMar>
          </w:tcPr>
          <w:p>
            <w:pPr>
              <w:spacing w:before="0" w:after="0"/>
              <w:jc w:val="left"/>
            </w:pPr>
            <w:r>
              <w:rPr>
                <w:rFonts w:ascii="Calibri" w:hAnsi="Calibri"/>
                <w:b/>
                <w:color w:val="FFFFFF"/>
                <w:sz w:val="20"/>
              </w:rPr>
              <w:t>Attribute Name</w:t>
            </w:r>
          </w:p>
        </w:tc>
        <w:tc>
          <w:tcPr>
            <w:tcW w:type="dxa" w:w="1728"/>
            <w:shd w:val="clear" w:color="auto" w:fill="1B365D"/>
            <w:tcMar>
              <w:top w:w="100" w:type="dxa"/>
              <w:bottom w:w="100" w:type="dxa"/>
              <w:left w:w="140" w:type="dxa"/>
              <w:right w:w="140" w:type="dxa"/>
            </w:tcMar>
          </w:tcPr>
          <w:p>
            <w:pPr>
              <w:spacing w:before="0" w:after="0"/>
              <w:jc w:val="left"/>
            </w:pPr>
            <w:r>
              <w:rPr>
                <w:rFonts w:ascii="Calibri" w:hAnsi="Calibri"/>
                <w:b/>
                <w:color w:val="FFFFFF"/>
                <w:sz w:val="20"/>
              </w:rPr>
              <w:t>Data Type</w:t>
            </w:r>
          </w:p>
        </w:tc>
        <w:tc>
          <w:tcPr>
            <w:tcW w:type="dxa" w:w="3600"/>
            <w:shd w:val="clear" w:color="auto" w:fill="1B365D"/>
            <w:tcMar>
              <w:top w:w="100" w:type="dxa"/>
              <w:bottom w:w="100" w:type="dxa"/>
              <w:left w:w="140" w:type="dxa"/>
              <w:right w:w="140" w:type="dxa"/>
            </w:tcMar>
          </w:tcPr>
          <w:p>
            <w:pPr>
              <w:spacing w:before="0" w:after="0"/>
              <w:jc w:val="left"/>
            </w:pPr>
            <w:r>
              <w:rPr>
                <w:rFonts w:ascii="Calibri" w:hAnsi="Calibri"/>
                <w:b/>
                <w:color w:val="FFFFFF"/>
                <w:sz w:val="20"/>
              </w:rPr>
              <w:t>Operational Description</w:t>
            </w:r>
          </w:p>
        </w:tc>
      </w:tr>
      <w:tr>
        <w:tc>
          <w:tcPr>
            <w:tcW w:type="dxa" w:w="1728"/>
            <w:shd w:val="clear" w:color="auto" w:fill="FFFFFF"/>
            <w:tcMar>
              <w:top w:w="100" w:type="dxa"/>
              <w:bottom w:w="100" w:type="dxa"/>
              <w:left w:w="140" w:type="dxa"/>
              <w:right w:w="140" w:type="dxa"/>
            </w:tcMar>
          </w:tcPr>
          <w:p>
            <w:pPr>
              <w:spacing w:before="0" w:after="0"/>
              <w:jc w:val="left"/>
            </w:pPr>
            <w:r>
              <w:rPr>
                <w:rFonts w:ascii="Calibri" w:hAnsi="Calibri"/>
                <w:color w:val="1E293B"/>
                <w:sz w:val="19"/>
              </w:rPr>
              <w:t>Identifier</w:t>
            </w:r>
          </w:p>
        </w:tc>
        <w:tc>
          <w:tcPr>
            <w:tcW w:type="dxa" w:w="2304"/>
            <w:shd w:val="clear" w:color="auto" w:fill="FFFFFF"/>
            <w:tcMar>
              <w:top w:w="100" w:type="dxa"/>
              <w:bottom w:w="100" w:type="dxa"/>
              <w:left w:w="140" w:type="dxa"/>
              <w:right w:w="140" w:type="dxa"/>
            </w:tcMar>
          </w:tcPr>
          <w:p>
            <w:pPr>
              <w:spacing w:before="0" w:after="0"/>
              <w:jc w:val="left"/>
            </w:pPr>
            <w:r>
              <w:rPr>
                <w:rFonts w:ascii="Calibri" w:hAnsi="Calibri"/>
                <w:color w:val="1E293B"/>
                <w:sz w:val="19"/>
              </w:rPr>
              <w:t>EmployeeNumber</w:t>
            </w:r>
          </w:p>
        </w:tc>
        <w:tc>
          <w:tcPr>
            <w:tcW w:type="dxa" w:w="1728"/>
            <w:shd w:val="clear" w:color="auto" w:fill="FFFFFF"/>
            <w:tcMar>
              <w:top w:w="100" w:type="dxa"/>
              <w:bottom w:w="100" w:type="dxa"/>
              <w:left w:w="140" w:type="dxa"/>
              <w:right w:w="140" w:type="dxa"/>
            </w:tcMar>
          </w:tcPr>
          <w:p>
            <w:pPr>
              <w:spacing w:before="0" w:after="0"/>
              <w:jc w:val="left"/>
            </w:pPr>
            <w:r>
              <w:rPr>
                <w:rFonts w:ascii="Calibri" w:hAnsi="Calibri"/>
                <w:color w:val="1E293B"/>
                <w:sz w:val="19"/>
              </w:rPr>
              <w:t>Integer</w:t>
            </w:r>
          </w:p>
        </w:tc>
        <w:tc>
          <w:tcPr>
            <w:tcW w:type="dxa" w:w="3600"/>
            <w:shd w:val="clear" w:color="auto" w:fill="FFFFFF"/>
            <w:tcMar>
              <w:top w:w="100" w:type="dxa"/>
              <w:bottom w:w="100" w:type="dxa"/>
              <w:left w:w="140" w:type="dxa"/>
              <w:right w:w="140" w:type="dxa"/>
            </w:tcMar>
          </w:tcPr>
          <w:p>
            <w:pPr>
              <w:spacing w:before="0" w:after="0"/>
              <w:jc w:val="left"/>
            </w:pPr>
            <w:r>
              <w:rPr>
                <w:rFonts w:ascii="Calibri" w:hAnsi="Calibri"/>
                <w:color w:val="1E293B"/>
                <w:sz w:val="19"/>
              </w:rPr>
              <w:t>Unique sequential employee identifier (1–50,000); excluded from modeling.</w:t>
            </w:r>
          </w:p>
        </w:tc>
      </w:tr>
      <w:tr>
        <w:tc>
          <w:tcPr>
            <w:tcW w:type="dxa" w:w="1728"/>
            <w:shd w:val="clear" w:color="auto" w:fill="F8FAFC"/>
            <w:tcMar>
              <w:top w:w="100" w:type="dxa"/>
              <w:bottom w:w="100" w:type="dxa"/>
              <w:left w:w="140" w:type="dxa"/>
              <w:right w:w="140" w:type="dxa"/>
            </w:tcMar>
          </w:tcPr>
          <w:p>
            <w:pPr>
              <w:spacing w:before="0" w:after="0"/>
              <w:jc w:val="left"/>
            </w:pPr>
            <w:r>
              <w:rPr>
                <w:rFonts w:ascii="Calibri" w:hAnsi="Calibri"/>
                <w:color w:val="1E293B"/>
                <w:sz w:val="19"/>
              </w:rPr>
              <w:t>Organizational</w:t>
            </w:r>
          </w:p>
        </w:tc>
        <w:tc>
          <w:tcPr>
            <w:tcW w:type="dxa" w:w="2304"/>
            <w:shd w:val="clear" w:color="auto" w:fill="F8FAFC"/>
            <w:tcMar>
              <w:top w:w="100" w:type="dxa"/>
              <w:bottom w:w="100" w:type="dxa"/>
              <w:left w:w="140" w:type="dxa"/>
              <w:right w:w="140" w:type="dxa"/>
            </w:tcMar>
          </w:tcPr>
          <w:p>
            <w:pPr>
              <w:spacing w:before="0" w:after="0"/>
              <w:jc w:val="left"/>
            </w:pPr>
            <w:r>
              <w:rPr>
                <w:rFonts w:ascii="Calibri" w:hAnsi="Calibri"/>
                <w:color w:val="1E293B"/>
                <w:sz w:val="19"/>
              </w:rPr>
              <w:t>Plant, Department, JobRole, Shift</w:t>
            </w:r>
          </w:p>
        </w:tc>
        <w:tc>
          <w:tcPr>
            <w:tcW w:type="dxa" w:w="1728"/>
            <w:shd w:val="clear" w:color="auto" w:fill="F8FAFC"/>
            <w:tcMar>
              <w:top w:w="100" w:type="dxa"/>
              <w:bottom w:w="100" w:type="dxa"/>
              <w:left w:w="140" w:type="dxa"/>
              <w:right w:w="140" w:type="dxa"/>
            </w:tcMar>
          </w:tcPr>
          <w:p>
            <w:pPr>
              <w:spacing w:before="0" w:after="0"/>
              <w:jc w:val="left"/>
            </w:pPr>
            <w:r>
              <w:rPr>
                <w:rFonts w:ascii="Calibri" w:hAnsi="Calibri"/>
                <w:color w:val="1E293B"/>
                <w:sz w:val="19"/>
              </w:rPr>
              <w:t>Nominal Factor</w:t>
            </w:r>
          </w:p>
        </w:tc>
        <w:tc>
          <w:tcPr>
            <w:tcW w:type="dxa" w:w="3600"/>
            <w:shd w:val="clear" w:color="auto" w:fill="F8FAFC"/>
            <w:tcMar>
              <w:top w:w="100" w:type="dxa"/>
              <w:bottom w:w="100" w:type="dxa"/>
              <w:left w:w="140" w:type="dxa"/>
              <w:right w:w="140" w:type="dxa"/>
            </w:tcMar>
          </w:tcPr>
          <w:p>
            <w:pPr>
              <w:spacing w:before="0" w:after="0"/>
              <w:jc w:val="left"/>
            </w:pPr>
            <w:r>
              <w:rPr>
                <w:rFonts w:ascii="Calibri" w:hAnsi="Calibri"/>
                <w:color w:val="1E293B"/>
                <w:sz w:val="19"/>
              </w:rPr>
              <w:t>Factory facility (6 plants), Department (7 units), Job Role (5 tiers), Shift (3 rotations).</w:t>
            </w:r>
          </w:p>
        </w:tc>
      </w:tr>
      <w:tr>
        <w:tc>
          <w:tcPr>
            <w:tcW w:type="dxa" w:w="1728"/>
            <w:shd w:val="clear" w:color="auto" w:fill="FFFFFF"/>
            <w:tcMar>
              <w:top w:w="100" w:type="dxa"/>
              <w:bottom w:w="100" w:type="dxa"/>
              <w:left w:w="140" w:type="dxa"/>
              <w:right w:w="140" w:type="dxa"/>
            </w:tcMar>
          </w:tcPr>
          <w:p>
            <w:pPr>
              <w:spacing w:before="0" w:after="0"/>
              <w:jc w:val="left"/>
            </w:pPr>
            <w:r>
              <w:rPr>
                <w:rFonts w:ascii="Calibri" w:hAnsi="Calibri"/>
                <w:color w:val="1E293B"/>
                <w:sz w:val="19"/>
              </w:rPr>
              <w:t>Demographics</w:t>
            </w:r>
          </w:p>
        </w:tc>
        <w:tc>
          <w:tcPr>
            <w:tcW w:type="dxa" w:w="2304"/>
            <w:shd w:val="clear" w:color="auto" w:fill="FFFFFF"/>
            <w:tcMar>
              <w:top w:w="100" w:type="dxa"/>
              <w:bottom w:w="100" w:type="dxa"/>
              <w:left w:w="140" w:type="dxa"/>
              <w:right w:w="140" w:type="dxa"/>
            </w:tcMar>
          </w:tcPr>
          <w:p>
            <w:pPr>
              <w:spacing w:before="0" w:after="0"/>
              <w:jc w:val="left"/>
            </w:pPr>
            <w:r>
              <w:rPr>
                <w:rFonts w:ascii="Calibri" w:hAnsi="Calibri"/>
                <w:color w:val="1E293B"/>
                <w:sz w:val="19"/>
              </w:rPr>
              <w:t>Education, EducationField, DistanceFromHome</w:t>
            </w:r>
          </w:p>
        </w:tc>
        <w:tc>
          <w:tcPr>
            <w:tcW w:type="dxa" w:w="1728"/>
            <w:shd w:val="clear" w:color="auto" w:fill="FFFFFF"/>
            <w:tcMar>
              <w:top w:w="100" w:type="dxa"/>
              <w:bottom w:w="100" w:type="dxa"/>
              <w:left w:w="140" w:type="dxa"/>
              <w:right w:w="140" w:type="dxa"/>
            </w:tcMar>
          </w:tcPr>
          <w:p>
            <w:pPr>
              <w:spacing w:before="0" w:after="0"/>
              <w:jc w:val="left"/>
            </w:pPr>
            <w:r>
              <w:rPr>
                <w:rFonts w:ascii="Calibri" w:hAnsi="Calibri"/>
                <w:color w:val="1E293B"/>
                <w:sz w:val="19"/>
              </w:rPr>
              <w:t>Numeric / Factor</w:t>
            </w:r>
          </w:p>
        </w:tc>
        <w:tc>
          <w:tcPr>
            <w:tcW w:type="dxa" w:w="3600"/>
            <w:shd w:val="clear" w:color="auto" w:fill="FFFFFF"/>
            <w:tcMar>
              <w:top w:w="100" w:type="dxa"/>
              <w:bottom w:w="100" w:type="dxa"/>
              <w:left w:w="140" w:type="dxa"/>
              <w:right w:w="140" w:type="dxa"/>
            </w:tcMar>
          </w:tcPr>
          <w:p>
            <w:pPr>
              <w:spacing w:before="0" w:after="0"/>
              <w:jc w:val="left"/>
            </w:pPr>
            <w:r>
              <w:rPr>
                <w:rFonts w:ascii="Calibri" w:hAnsi="Calibri"/>
                <w:color w:val="1E293B"/>
                <w:sz w:val="19"/>
              </w:rPr>
              <w:t>Formal qualification tier (1–5), Academic field (6 areas), Home-to-plant distance (km).</w:t>
            </w:r>
          </w:p>
        </w:tc>
      </w:tr>
      <w:tr>
        <w:tc>
          <w:tcPr>
            <w:tcW w:type="dxa" w:w="1728"/>
            <w:shd w:val="clear" w:color="auto" w:fill="F8FAFC"/>
            <w:tcMar>
              <w:top w:w="100" w:type="dxa"/>
              <w:bottom w:w="100" w:type="dxa"/>
              <w:left w:w="140" w:type="dxa"/>
              <w:right w:w="140" w:type="dxa"/>
            </w:tcMar>
          </w:tcPr>
          <w:p>
            <w:pPr>
              <w:spacing w:before="0" w:after="0"/>
              <w:jc w:val="left"/>
            </w:pPr>
            <w:r>
              <w:rPr>
                <w:rFonts w:ascii="Calibri" w:hAnsi="Calibri"/>
                <w:color w:val="1E293B"/>
                <w:sz w:val="19"/>
              </w:rPr>
              <w:t>Compensation</w:t>
            </w:r>
          </w:p>
        </w:tc>
        <w:tc>
          <w:tcPr>
            <w:tcW w:type="dxa" w:w="2304"/>
            <w:shd w:val="clear" w:color="auto" w:fill="F8FAFC"/>
            <w:tcMar>
              <w:top w:w="100" w:type="dxa"/>
              <w:bottom w:w="100" w:type="dxa"/>
              <w:left w:w="140" w:type="dxa"/>
              <w:right w:w="140" w:type="dxa"/>
            </w:tcMar>
          </w:tcPr>
          <w:p>
            <w:pPr>
              <w:spacing w:before="0" w:after="0"/>
              <w:jc w:val="left"/>
            </w:pPr>
            <w:r>
              <w:rPr>
                <w:rFonts w:ascii="Calibri" w:hAnsi="Calibri"/>
                <w:color w:val="1E293B"/>
                <w:sz w:val="19"/>
              </w:rPr>
              <w:t>DailyRate, HourlyRate, MonthlyIncome, MonthlyRate</w:t>
            </w:r>
          </w:p>
        </w:tc>
        <w:tc>
          <w:tcPr>
            <w:tcW w:type="dxa" w:w="1728"/>
            <w:shd w:val="clear" w:color="auto" w:fill="F8FAFC"/>
            <w:tcMar>
              <w:top w:w="100" w:type="dxa"/>
              <w:bottom w:w="100" w:type="dxa"/>
              <w:left w:w="140" w:type="dxa"/>
              <w:right w:w="140" w:type="dxa"/>
            </w:tcMar>
          </w:tcPr>
          <w:p>
            <w:pPr>
              <w:spacing w:before="0" w:after="0"/>
              <w:jc w:val="left"/>
            </w:pPr>
            <w:r>
              <w:rPr>
                <w:rFonts w:ascii="Calibri" w:hAnsi="Calibri"/>
                <w:color w:val="1E293B"/>
                <w:sz w:val="19"/>
              </w:rPr>
              <w:t>Continuous Numeric</w:t>
            </w:r>
          </w:p>
        </w:tc>
        <w:tc>
          <w:tcPr>
            <w:tcW w:type="dxa" w:w="3600"/>
            <w:shd w:val="clear" w:color="auto" w:fill="F8FAFC"/>
            <w:tcMar>
              <w:top w:w="100" w:type="dxa"/>
              <w:bottom w:w="100" w:type="dxa"/>
              <w:left w:w="140" w:type="dxa"/>
              <w:right w:w="140" w:type="dxa"/>
            </w:tcMar>
          </w:tcPr>
          <w:p>
            <w:pPr>
              <w:spacing w:before="0" w:after="0"/>
              <w:jc w:val="left"/>
            </w:pPr>
            <w:r>
              <w:rPr>
                <w:rFonts w:ascii="Calibri" w:hAnsi="Calibri"/>
                <w:color w:val="1E293B"/>
                <w:sz w:val="19"/>
              </w:rPr>
              <w:t>Standardized compensation rates across daily, hourly, and monthly disbursement schedules.</w:t>
            </w:r>
          </w:p>
        </w:tc>
      </w:tr>
      <w:tr>
        <w:tc>
          <w:tcPr>
            <w:tcW w:type="dxa" w:w="1728"/>
            <w:shd w:val="clear" w:color="auto" w:fill="FFFFFF"/>
            <w:tcMar>
              <w:top w:w="100" w:type="dxa"/>
              <w:bottom w:w="100" w:type="dxa"/>
              <w:left w:w="140" w:type="dxa"/>
              <w:right w:w="140" w:type="dxa"/>
            </w:tcMar>
          </w:tcPr>
          <w:p>
            <w:pPr>
              <w:spacing w:before="0" w:after="0"/>
              <w:jc w:val="left"/>
            </w:pPr>
            <w:r>
              <w:rPr>
                <w:rFonts w:ascii="Calibri" w:hAnsi="Calibri"/>
                <w:color w:val="1E293B"/>
                <w:sz w:val="19"/>
              </w:rPr>
              <w:t>Psychometrics</w:t>
            </w:r>
          </w:p>
        </w:tc>
        <w:tc>
          <w:tcPr>
            <w:tcW w:type="dxa" w:w="2304"/>
            <w:shd w:val="clear" w:color="auto" w:fill="FFFFFF"/>
            <w:tcMar>
              <w:top w:w="100" w:type="dxa"/>
              <w:bottom w:w="100" w:type="dxa"/>
              <w:left w:w="140" w:type="dxa"/>
              <w:right w:w="140" w:type="dxa"/>
            </w:tcMar>
          </w:tcPr>
          <w:p>
            <w:pPr>
              <w:spacing w:before="0" w:after="0"/>
              <w:jc w:val="left"/>
            </w:pPr>
            <w:r>
              <w:rPr>
                <w:rFonts w:ascii="Calibri" w:hAnsi="Calibri"/>
                <w:color w:val="1E293B"/>
                <w:sz w:val="19"/>
              </w:rPr>
              <w:t>EnvironmentSatisfaction, JobSatisfaction, JobInvolvement, EngagementScore</w:t>
            </w:r>
          </w:p>
        </w:tc>
        <w:tc>
          <w:tcPr>
            <w:tcW w:type="dxa" w:w="1728"/>
            <w:shd w:val="clear" w:color="auto" w:fill="FFFFFF"/>
            <w:tcMar>
              <w:top w:w="100" w:type="dxa"/>
              <w:bottom w:w="100" w:type="dxa"/>
              <w:left w:w="140" w:type="dxa"/>
              <w:right w:w="140" w:type="dxa"/>
            </w:tcMar>
          </w:tcPr>
          <w:p>
            <w:pPr>
              <w:spacing w:before="0" w:after="0"/>
              <w:jc w:val="left"/>
            </w:pPr>
            <w:r>
              <w:rPr>
                <w:rFonts w:ascii="Calibri" w:hAnsi="Calibri"/>
                <w:color w:val="1E293B"/>
                <w:sz w:val="19"/>
              </w:rPr>
              <w:t>Ordinal / Continuous</w:t>
            </w:r>
          </w:p>
        </w:tc>
        <w:tc>
          <w:tcPr>
            <w:tcW w:type="dxa" w:w="3600"/>
            <w:shd w:val="clear" w:color="auto" w:fill="FFFFFF"/>
            <w:tcMar>
              <w:top w:w="100" w:type="dxa"/>
              <w:bottom w:w="100" w:type="dxa"/>
              <w:left w:w="140" w:type="dxa"/>
              <w:right w:w="140" w:type="dxa"/>
            </w:tcMar>
          </w:tcPr>
          <w:p>
            <w:pPr>
              <w:spacing w:before="0" w:after="0"/>
              <w:jc w:val="left"/>
            </w:pPr>
            <w:r>
              <w:rPr>
                <w:rFonts w:ascii="Calibri" w:hAnsi="Calibri"/>
                <w:color w:val="1E293B"/>
                <w:sz w:val="19"/>
              </w:rPr>
              <w:t>Standardized survey responses measuring shop-floor climate, role satisfaction, and engagement.</w:t>
            </w:r>
          </w:p>
        </w:tc>
      </w:tr>
      <w:tr>
        <w:tc>
          <w:tcPr>
            <w:tcW w:type="dxa" w:w="1728"/>
            <w:shd w:val="clear" w:color="auto" w:fill="F8FAFC"/>
            <w:tcMar>
              <w:top w:w="100" w:type="dxa"/>
              <w:bottom w:w="100" w:type="dxa"/>
              <w:left w:w="140" w:type="dxa"/>
              <w:right w:w="140" w:type="dxa"/>
            </w:tcMar>
          </w:tcPr>
          <w:p>
            <w:pPr>
              <w:spacing w:before="0" w:after="0"/>
              <w:jc w:val="left"/>
            </w:pPr>
            <w:r>
              <w:rPr>
                <w:rFonts w:ascii="Calibri" w:hAnsi="Calibri"/>
                <w:color w:val="1E293B"/>
                <w:sz w:val="19"/>
              </w:rPr>
              <w:t>Operational</w:t>
            </w:r>
          </w:p>
        </w:tc>
        <w:tc>
          <w:tcPr>
            <w:tcW w:type="dxa" w:w="2304"/>
            <w:shd w:val="clear" w:color="auto" w:fill="F8FAFC"/>
            <w:tcMar>
              <w:top w:w="100" w:type="dxa"/>
              <w:bottom w:w="100" w:type="dxa"/>
              <w:left w:w="140" w:type="dxa"/>
              <w:right w:w="140" w:type="dxa"/>
            </w:tcMar>
          </w:tcPr>
          <w:p>
            <w:pPr>
              <w:spacing w:before="0" w:after="0"/>
              <w:jc w:val="left"/>
            </w:pPr>
            <w:r>
              <w:rPr>
                <w:rFonts w:ascii="Calibri" w:hAnsi="Calibri"/>
                <w:color w:val="1E293B"/>
                <w:sz w:val="19"/>
              </w:rPr>
              <w:t>YearsAtCompany, MonthlyOvertimeHours, SafetyIncidents_12M</w:t>
            </w:r>
          </w:p>
        </w:tc>
        <w:tc>
          <w:tcPr>
            <w:tcW w:type="dxa" w:w="1728"/>
            <w:shd w:val="clear" w:color="auto" w:fill="F8FAFC"/>
            <w:tcMar>
              <w:top w:w="100" w:type="dxa"/>
              <w:bottom w:w="100" w:type="dxa"/>
              <w:left w:w="140" w:type="dxa"/>
              <w:right w:w="140" w:type="dxa"/>
            </w:tcMar>
          </w:tcPr>
          <w:p>
            <w:pPr>
              <w:spacing w:before="0" w:after="0"/>
              <w:jc w:val="left"/>
            </w:pPr>
            <w:r>
              <w:rPr>
                <w:rFonts w:ascii="Calibri" w:hAnsi="Calibri"/>
                <w:color w:val="1E293B"/>
                <w:sz w:val="19"/>
              </w:rPr>
              <w:t>Numeric / Discrete</w:t>
            </w:r>
          </w:p>
        </w:tc>
        <w:tc>
          <w:tcPr>
            <w:tcW w:type="dxa" w:w="3600"/>
            <w:shd w:val="clear" w:color="auto" w:fill="F8FAFC"/>
            <w:tcMar>
              <w:top w:w="100" w:type="dxa"/>
              <w:bottom w:w="100" w:type="dxa"/>
              <w:left w:w="140" w:type="dxa"/>
              <w:right w:w="140" w:type="dxa"/>
            </w:tcMar>
          </w:tcPr>
          <w:p>
            <w:pPr>
              <w:spacing w:before="0" w:after="0"/>
              <w:jc w:val="left"/>
            </w:pPr>
            <w:r>
              <w:rPr>
                <w:rFonts w:ascii="Calibri" w:hAnsi="Calibri"/>
                <w:color w:val="1E293B"/>
                <w:sz w:val="19"/>
              </w:rPr>
              <w:t>Organizational tenure in years, monthly overtime logged (hours), safety incidents in past 12 months.</w:t>
            </w:r>
          </w:p>
        </w:tc>
      </w:tr>
    </w:tbl>
    <w:p>
      <w:pPr>
        <w:jc w:val="center"/>
      </w:pPr>
      <w:r>
        <w:rPr>
          <w:i/>
          <w:color w:val="1B365D"/>
          <w:sz w:val="18"/>
        </w:rPr>
        <w:t>Table 1. Feature Categories and Attribute Descriptions across 50,000 Workforce Records</w:t>
      </w:r>
    </w:p>
    <w:p>
      <w:pPr>
        <w:keepNext/>
        <w:spacing w:before="280" w:after="80"/>
      </w:pPr>
      <w:r>
        <w:rPr>
          <w:rFonts w:ascii="Calibri" w:hAnsi="Calibri"/>
          <w:b/>
          <w:color w:val="1B365D"/>
          <w:sz w:val="26"/>
        </w:rPr>
        <w:t>3.4 Target Variable</w:t>
      </w:r>
    </w:p>
    <w:p>
      <w:pPr>
        <w:spacing w:before="0" w:after="120" w:line="276" w:lineRule="auto"/>
      </w:pPr>
      <w:r>
        <w:rPr>
          <w:rFonts w:ascii="Calibri" w:hAnsi="Calibri"/>
          <w:color w:val="1E293B"/>
          <w:sz w:val="22"/>
        </w:rPr>
        <w:t>The ground-truth target variable is `AttritionFlag`, a binary categorical indicator denoting whether an employee voluntarily departed the organization ('Yes') or remained actively employed ('No'). Across the complete population of 50,000 records, exactly 41,668 employees (83.34%) are retained, while 8,332 employees (16.66%) exited the organization. This establishes a moderate ~5:1 class imbalance ratio, which serves as a central methodological challenge addressed throughout the modeling lifecycle.</w:t>
      </w:r>
    </w:p>
    <w:p>
      <w:pPr>
        <w:keepNext/>
        <w:spacing w:before="280" w:after="80"/>
      </w:pPr>
      <w:r>
        <w:rPr>
          <w:rFonts w:ascii="Calibri" w:hAnsi="Calibri"/>
          <w:b/>
          <w:color w:val="1B365D"/>
          <w:sz w:val="26"/>
        </w:rPr>
        <w:t>3.5 Data Quality Checks</w:t>
      </w:r>
    </w:p>
    <w:p>
      <w:pPr>
        <w:spacing w:before="0" w:after="120" w:line="276" w:lineRule="auto"/>
      </w:pPr>
      <w:r>
        <w:rPr>
          <w:rFonts w:ascii="Calibri" w:hAnsi="Calibri"/>
          <w:color w:val="1E293B"/>
          <w:sz w:val="22"/>
        </w:rPr>
        <w:t>A rigorous preliminary data audit was conducted across all 1,050,000 individual data cells. Missing value analysis confirmed zero null, NA, or missing values across the entire matrix. The `EmployeeNumber` variable was verified as a strictly sequential, unique integer ranging from 1 to 50,000 with zero duplicates. Outlier audits confirmed that all numerical variables conform to expected physical and operational boundaries (e.g., DistanceFromHome spans 0.0 to 92.0 km; MonthlyOvertimeHours spans 0.0 to 78.0 hours; EngagementScore spans 30.0 to 95.0 points).</w:t>
      </w:r>
    </w:p>
    <w:p>
      <w:pPr>
        <w:keepNext/>
        <w:spacing w:before="280" w:after="80"/>
      </w:pPr>
      <w:r>
        <w:rPr>
          <w:rFonts w:ascii="Calibri" w:hAnsi="Calibri"/>
          <w:b/>
          <w:color w:val="1B365D"/>
          <w:sz w:val="26"/>
        </w:rPr>
        <w:t>3.6 Data Preparation</w:t>
      </w:r>
    </w:p>
    <w:p>
      <w:pPr>
        <w:spacing w:before="0" w:after="120" w:line="276" w:lineRule="auto"/>
      </w:pPr>
      <w:r>
        <w:rPr>
          <w:rFonts w:ascii="Calibri" w:hAnsi="Calibri"/>
          <w:color w:val="1E293B"/>
          <w:sz w:val="22"/>
        </w:rPr>
        <w:t>To ensure numerical stability and avoid algorithmic convergence failure in distance-based models (KNN, SVM), continuous numeric predictors were standardized using Z-score normalization: $$z = \frac{x - \mu}{\sigma}$$ Nominal categorical predictors (Plant, Department, JobRole, Shift, EducationField) were converted into dummy one-hot indicators using caret's `dummyVars` framework. Critically, to preserve strict statistical integrity and prevent data leakage, all preprocessing scaling parameters (mean and standard deviation) and dummy encoding structures were fitted exclusively on the 80% training partition (40,001 records) and subsequently applied to the 20% holdout test partition (9,999 records).</w:t>
      </w:r>
    </w:p>
    <w:p>
      <w:r>
        <w:br w:type="page"/>
      </w:r>
    </w:p>
    <w:p>
      <w:pPr>
        <w:keepNext/>
        <w:spacing w:before="360" w:after="120"/>
      </w:pPr>
      <w:r>
        <w:rPr>
          <w:rFonts w:ascii="Calibri" w:hAnsi="Calibri"/>
          <w:b/>
          <w:color w:val="1B365D"/>
          <w:sz w:val="32"/>
        </w:rPr>
        <w:t>4. Exploratory Data Analysis</w:t>
      </w:r>
    </w:p>
    <w:p>
      <w:pPr>
        <w:spacing w:before="0" w:after="120" w:line="276" w:lineRule="auto"/>
      </w:pPr>
      <w:r>
        <w:rPr>
          <w:rFonts w:ascii="Calibri" w:hAnsi="Calibri"/>
          <w:color w:val="1E293B"/>
          <w:sz w:val="22"/>
        </w:rPr>
        <w:t>Exploratory data analysis (EDA) was conducted to uncover fundamental workforce patterns, identify behavioral inflection points, and assess the comparative distribution of attributes between retained and departed employees.</w:t>
      </w:r>
    </w:p>
    <w:p>
      <w:pPr>
        <w:keepNext/>
        <w:spacing w:before="280" w:after="80"/>
      </w:pPr>
      <w:r>
        <w:rPr>
          <w:rFonts w:ascii="Calibri" w:hAnsi="Calibri"/>
          <w:b/>
          <w:color w:val="1B365D"/>
          <w:sz w:val="26"/>
        </w:rPr>
        <w:t>4.1 Attrition Distribution</w:t>
      </w:r>
    </w:p>
    <w:p>
      <w:pPr>
        <w:spacing w:before="0" w:after="120" w:line="276" w:lineRule="auto"/>
      </w:pPr>
      <w:r>
        <w:rPr>
          <w:rFonts w:ascii="Calibri" w:hAnsi="Calibri"/>
          <w:color w:val="1E293B"/>
          <w:sz w:val="22"/>
        </w:rPr>
        <w:t>The overall baseline turnover rate across the organization is 16.66%. Figure 1 illustrates the distribution of the target variable across the 50,000 employee workforce. The 83.34% majority class creates an inherent evaluation trap: any naive decision rule that blindly predicts 'No' for every worker achieves an impressive 83.34% accuracy while delivering zero operational utility.</w:t>
      </w:r>
    </w:p>
    <w:p>
      <w:pPr>
        <w:spacing w:before="160" w:after="60"/>
        <w:jc w:val="center"/>
      </w:pPr>
      <w:r>
        <w:drawing>
          <wp:inline xmlns:a="http://schemas.openxmlformats.org/drawingml/2006/main" xmlns:pic="http://schemas.openxmlformats.org/drawingml/2006/picture">
            <wp:extent cx="5303520" cy="3977640"/>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303520" cy="3977640"/>
                    </a:xfrm>
                    <a:prstGeom prst="rect"/>
                  </pic:spPr>
                </pic:pic>
              </a:graphicData>
            </a:graphic>
          </wp:inline>
        </w:drawing>
      </w:r>
    </w:p>
    <w:p>
      <w:pPr>
        <w:spacing w:before="0" w:after="200"/>
        <w:jc w:val="center"/>
      </w:pPr>
      <w:r>
        <w:rPr>
          <w:rFonts w:ascii="Calibri" w:hAnsi="Calibri"/>
          <w:b/>
          <w:i/>
          <w:color w:val="1B365D"/>
          <w:sz w:val="19"/>
        </w:rPr>
        <w:t>Figure 1. Population Distribution of Employee Attrition (No = 41,668 / 83.34%, Yes = 8,332 / 16.66%)</w:t>
      </w:r>
    </w:p>
    <w:p>
      <w:pPr>
        <w:keepNext/>
        <w:spacing w:before="280" w:after="80"/>
      </w:pPr>
      <w:r>
        <w:rPr>
          <w:rFonts w:ascii="Calibri" w:hAnsi="Calibri"/>
          <w:b/>
          <w:color w:val="1B365D"/>
          <w:sz w:val="26"/>
        </w:rPr>
        <w:t>4.2 Workforce Characteristics</w:t>
      </w:r>
    </w:p>
    <w:p>
      <w:pPr>
        <w:spacing w:before="0" w:after="120" w:line="276" w:lineRule="auto"/>
      </w:pPr>
      <w:r>
        <w:rPr>
          <w:rFonts w:ascii="Calibri" w:hAnsi="Calibri"/>
          <w:color w:val="1E293B"/>
          <w:sz w:val="22"/>
        </w:rPr>
        <w:t>Workforce distribution is balanced across the 6 regional manufacturing plants, with headcount ranging between 8,000 and 8,500 workers per facility. In contrast, departmental attrition exhibits meaningful operational variance: Logistics (17.71%) and Assembly A (17.16%) exhibit the highest attrition rates, whereas Tool Room (15.73%) and Packaging (16.07%) maintain lower churn. Across job roles, shop-floor operators (17.17%) and line technicians (17.03%) experience significantly higher churn than plant supervisors (14.71%) and engineers (15.28%).</w:t>
      </w:r>
    </w:p>
    <w:p>
      <w:pPr>
        <w:spacing w:before="160" w:after="60"/>
        <w:jc w:val="center"/>
      </w:pPr>
      <w:r>
        <w:drawing>
          <wp:inline xmlns:a="http://schemas.openxmlformats.org/drawingml/2006/main" xmlns:pic="http://schemas.openxmlformats.org/drawingml/2006/picture">
            <wp:extent cx="5303520" cy="3534398"/>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5303520" cy="3534398"/>
                    </a:xfrm>
                    <a:prstGeom prst="rect"/>
                  </pic:spPr>
                </pic:pic>
              </a:graphicData>
            </a:graphic>
          </wp:inline>
        </w:drawing>
      </w:r>
    </w:p>
    <w:p>
      <w:pPr>
        <w:spacing w:before="0" w:after="200"/>
        <w:jc w:val="center"/>
      </w:pPr>
      <w:r>
        <w:rPr>
          <w:rFonts w:ascii="Calibri" w:hAnsi="Calibri"/>
          <w:b/>
          <w:i/>
          <w:color w:val="1B365D"/>
          <w:sz w:val="19"/>
        </w:rPr>
        <w:t>Figure 2. Empirical Attrition Rate Ranked by Functional Department</w:t>
      </w:r>
    </w:p>
    <w:p>
      <w:pPr>
        <w:keepNext/>
        <w:spacing w:before="280" w:after="80"/>
      </w:pPr>
      <w:r>
        <w:rPr>
          <w:rFonts w:ascii="Calibri" w:hAnsi="Calibri"/>
          <w:b/>
          <w:color w:val="1B365D"/>
          <w:sz w:val="26"/>
        </w:rPr>
        <w:t>4.3 Overtime and Attrition</w:t>
      </w:r>
    </w:p>
    <w:p>
      <w:pPr>
        <w:spacing w:before="0" w:after="120" w:line="276" w:lineRule="auto"/>
      </w:pPr>
      <w:r>
        <w:rPr>
          <w:rFonts w:ascii="Calibri" w:hAnsi="Calibri"/>
          <w:color w:val="1E293B"/>
          <w:sz w:val="22"/>
        </w:rPr>
        <w:t>Monthly overtime logged emerged as one of the most powerful physical predictors of turnover. While retained employees logged an average of 25.16 hours of overtime per month (median = 24.0), employees who departed logged an average of 27.70 hours (median = 38.0), with the entire interquartile range heavily shifted upward. An empirical inflection point is observed at approximately 28 overtime hours/month, beyond which burnout and voluntary exits accelerate dramatically.</w:t>
      </w:r>
    </w:p>
    <w:p>
      <w:pPr>
        <w:spacing w:before="160" w:after="60"/>
        <w:jc w:val="center"/>
      </w:pPr>
      <w:r>
        <w:drawing>
          <wp:inline xmlns:a="http://schemas.openxmlformats.org/drawingml/2006/main" xmlns:pic="http://schemas.openxmlformats.org/drawingml/2006/picture">
            <wp:extent cx="5303520" cy="3977640"/>
            <wp:docPr id="3" name="Picture 3"/>
            <wp:cNvGraphicFramePr>
              <a:graphicFrameLocks noChangeAspect="1"/>
            </wp:cNvGraphicFramePr>
            <a:graphic>
              <a:graphicData uri="http://schemas.openxmlformats.org/drawingml/2006/picture">
                <pic:pic>
                  <pic:nvPicPr>
                    <pic:cNvPr id="0" name="image4.png"/>
                    <pic:cNvPicPr/>
                  </pic:nvPicPr>
                  <pic:blipFill>
                    <a:blip r:embed="rId13"/>
                    <a:stretch>
                      <a:fillRect/>
                    </a:stretch>
                  </pic:blipFill>
                  <pic:spPr>
                    <a:xfrm>
                      <a:off x="0" y="0"/>
                      <a:ext cx="5303520" cy="3977640"/>
                    </a:xfrm>
                    <a:prstGeom prst="rect"/>
                  </pic:spPr>
                </pic:pic>
              </a:graphicData>
            </a:graphic>
          </wp:inline>
        </w:drawing>
      </w:r>
    </w:p>
    <w:p>
      <w:pPr>
        <w:spacing w:before="0" w:after="200"/>
        <w:jc w:val="center"/>
      </w:pPr>
      <w:r>
        <w:rPr>
          <w:rFonts w:ascii="Calibri" w:hAnsi="Calibri"/>
          <w:b/>
          <w:i/>
          <w:color w:val="1B365D"/>
          <w:sz w:val="19"/>
        </w:rPr>
        <w:t>Figure 3. Monthly Overtime Hours Boxplot by Attrition Cohort (Median 38 hrs leavers vs. 24 hrs stayers)</w:t>
      </w:r>
    </w:p>
    <w:p>
      <w:pPr>
        <w:keepNext/>
        <w:spacing w:before="280" w:after="80"/>
      </w:pPr>
      <w:r>
        <w:rPr>
          <w:rFonts w:ascii="Calibri" w:hAnsi="Calibri"/>
          <w:b/>
          <w:color w:val="1B365D"/>
          <w:sz w:val="26"/>
        </w:rPr>
        <w:t>4.4 Engagement and Attrition</w:t>
      </w:r>
    </w:p>
    <w:p>
      <w:pPr>
        <w:spacing w:before="0" w:after="120" w:line="276" w:lineRule="auto"/>
      </w:pPr>
      <w:r>
        <w:rPr>
          <w:rFonts w:ascii="Calibri" w:hAnsi="Calibri"/>
          <w:color w:val="1E293B"/>
          <w:sz w:val="22"/>
        </w:rPr>
        <w:t>Employee engagement score exhibits the single sharpest visual and statistical divergence between cohorts. Retained workers demonstrate a healthy, normal distribution centered at a mean of 68.62 (median = 68.0). Conversely, departed employees display a bimodal, left-shifted distribution centered at a mean of 61.89 (median = 61.0), with a pronounced density clustering below 60.0. Disengagement serves as a direct psychological precursor to turnover.</w:t>
      </w:r>
    </w:p>
    <w:p>
      <w:pPr>
        <w:spacing w:before="160" w:after="60"/>
        <w:jc w:val="center"/>
      </w:pPr>
      <w:r>
        <w:drawing>
          <wp:inline xmlns:a="http://schemas.openxmlformats.org/drawingml/2006/main" xmlns:pic="http://schemas.openxmlformats.org/drawingml/2006/picture">
            <wp:extent cx="5303520" cy="3672851"/>
            <wp:docPr id="4" name="Picture 4"/>
            <wp:cNvGraphicFramePr>
              <a:graphicFrameLocks noChangeAspect="1"/>
            </wp:cNvGraphicFramePr>
            <a:graphic>
              <a:graphicData uri="http://schemas.openxmlformats.org/drawingml/2006/picture">
                <pic:pic>
                  <pic:nvPicPr>
                    <pic:cNvPr id="0" name="image5.png"/>
                    <pic:cNvPicPr/>
                  </pic:nvPicPr>
                  <pic:blipFill>
                    <a:blip r:embed="rId14"/>
                    <a:stretch>
                      <a:fillRect/>
                    </a:stretch>
                  </pic:blipFill>
                  <pic:spPr>
                    <a:xfrm>
                      <a:off x="0" y="0"/>
                      <a:ext cx="5303520" cy="3672851"/>
                    </a:xfrm>
                    <a:prstGeom prst="rect"/>
                  </pic:spPr>
                </pic:pic>
              </a:graphicData>
            </a:graphic>
          </wp:inline>
        </w:drawing>
      </w:r>
    </w:p>
    <w:p>
      <w:pPr>
        <w:spacing w:before="0" w:after="200"/>
        <w:jc w:val="center"/>
      </w:pPr>
      <w:r>
        <w:rPr>
          <w:rFonts w:ascii="Calibri" w:hAnsi="Calibri"/>
          <w:b/>
          <w:i/>
          <w:color w:val="1B365D"/>
          <w:sz w:val="19"/>
        </w:rPr>
        <w:t>Figure 4. Comparative Density Distribution of Engagement Score by Attrition Status</w:t>
      </w:r>
    </w:p>
    <w:p>
      <w:pPr>
        <w:keepNext/>
        <w:spacing w:before="280" w:after="80"/>
      </w:pPr>
      <w:r>
        <w:rPr>
          <w:rFonts w:ascii="Calibri" w:hAnsi="Calibri"/>
          <w:b/>
          <w:color w:val="1B365D"/>
          <w:sz w:val="26"/>
        </w:rPr>
        <w:t>4.5 Satisfaction and Attrition</w:t>
      </w:r>
    </w:p>
    <w:p>
      <w:pPr>
        <w:spacing w:before="0" w:after="120" w:line="276" w:lineRule="auto"/>
      </w:pPr>
      <w:r>
        <w:rPr>
          <w:rFonts w:ascii="Calibri" w:hAnsi="Calibri"/>
          <w:color w:val="1E293B"/>
          <w:sz w:val="22"/>
        </w:rPr>
        <w:t>Both EnvironmentSatisfaction (mean 2.34 stayers vs. 2.12 leavers) and JobSatisfaction (mean 2.42 stayers vs. 2.30 leavers) reveal consistent negative associations with turnover. Workers operating in suboptimal shop-floor physical climates or expressing low role alignment display elevated flight risk, underscoring the compounding effect of workplace environment.</w:t>
      </w:r>
    </w:p>
    <w:p>
      <w:pPr>
        <w:keepNext/>
        <w:spacing w:before="280" w:after="80"/>
      </w:pPr>
      <w:r>
        <w:rPr>
          <w:rFonts w:ascii="Calibri" w:hAnsi="Calibri"/>
          <w:b/>
          <w:color w:val="1B365D"/>
          <w:sz w:val="26"/>
        </w:rPr>
        <w:t>4.6 Distance from Home</w:t>
      </w:r>
    </w:p>
    <w:p>
      <w:pPr>
        <w:spacing w:before="0" w:after="120" w:line="276" w:lineRule="auto"/>
      </w:pPr>
      <w:r>
        <w:rPr>
          <w:rFonts w:ascii="Calibri" w:hAnsi="Calibri"/>
          <w:color w:val="1E293B"/>
          <w:sz w:val="22"/>
        </w:rPr>
        <w:t>Commute distance represents an important logistical friction factor. Departed employees travel an average of 33.37 km one-way to their manufacturing facility, compared to 31.37 km for retained workers. Employees residing beyond 30 km suffer from compounding transit fatigue, particularly when paired with extended overtime schedules.</w:t>
      </w:r>
    </w:p>
    <w:p>
      <w:pPr>
        <w:spacing w:before="160" w:after="60"/>
        <w:jc w:val="center"/>
      </w:pPr>
      <w:r>
        <w:drawing>
          <wp:inline xmlns:a="http://schemas.openxmlformats.org/drawingml/2006/main" xmlns:pic="http://schemas.openxmlformats.org/drawingml/2006/picture">
            <wp:extent cx="5303520" cy="3977640"/>
            <wp:docPr id="5" name="Picture 5"/>
            <wp:cNvGraphicFramePr>
              <a:graphicFrameLocks noChangeAspect="1"/>
            </wp:cNvGraphicFramePr>
            <a:graphic>
              <a:graphicData uri="http://schemas.openxmlformats.org/drawingml/2006/picture">
                <pic:pic>
                  <pic:nvPicPr>
                    <pic:cNvPr id="0" name="image6.png"/>
                    <pic:cNvPicPr/>
                  </pic:nvPicPr>
                  <pic:blipFill>
                    <a:blip r:embed="rId15"/>
                    <a:stretch>
                      <a:fillRect/>
                    </a:stretch>
                  </pic:blipFill>
                  <pic:spPr>
                    <a:xfrm>
                      <a:off x="0" y="0"/>
                      <a:ext cx="5303520" cy="3977640"/>
                    </a:xfrm>
                    <a:prstGeom prst="rect"/>
                  </pic:spPr>
                </pic:pic>
              </a:graphicData>
            </a:graphic>
          </wp:inline>
        </w:drawing>
      </w:r>
    </w:p>
    <w:p>
      <w:pPr>
        <w:spacing w:before="0" w:after="200"/>
        <w:jc w:val="center"/>
      </w:pPr>
      <w:r>
        <w:rPr>
          <w:rFonts w:ascii="Calibri" w:hAnsi="Calibri"/>
          <w:b/>
          <w:i/>
          <w:color w:val="1B365D"/>
          <w:sz w:val="19"/>
        </w:rPr>
        <w:t>Figure 5. Distance From Home Distribution by Attrition Cohort</w:t>
      </w:r>
    </w:p>
    <w:p>
      <w:pPr>
        <w:keepNext/>
        <w:spacing w:before="280" w:after="80"/>
      </w:pPr>
      <w:r>
        <w:rPr>
          <w:rFonts w:ascii="Calibri" w:hAnsi="Calibri"/>
          <w:b/>
          <w:color w:val="1B365D"/>
          <w:sz w:val="26"/>
        </w:rPr>
        <w:t>4.7 Key EDA Findings</w:t>
      </w:r>
    </w:p>
    <w:p>
      <w:pPr>
        <w:spacing w:before="0" w:after="120" w:line="276" w:lineRule="auto"/>
      </w:pPr>
      <w:r>
        <w:rPr>
          <w:rFonts w:ascii="Calibri" w:hAnsi="Calibri"/>
          <w:color w:val="1E293B"/>
          <w:sz w:val="22"/>
        </w:rPr>
        <w:t>A critical counter-intuitive finding of the EDA is that compensation metrics (MonthlyIncome, HourlyRate, DailyRate) exhibit virtually zero correlation with employee turnover (e.g., MonthlyIncome correlation is -0.0346; median monthly income is ₹31,577 for stayers vs. ₹30,852 for leavers). In this manufacturing environment, baseline wage scales are standardized by collective bargaining agreements and industry bands. Consequently, turnover is driven not by compensation disparities, but by behavioral disengagement, excessive overtime exhaustion, and commute fatigue.</w:t>
      </w:r>
    </w:p>
    <w:p>
      <w:r>
        <w:br w:type="page"/>
      </w:r>
    </w:p>
    <w:p>
      <w:pPr>
        <w:keepNext/>
        <w:spacing w:before="360" w:after="120"/>
      </w:pPr>
      <w:r>
        <w:rPr>
          <w:rFonts w:ascii="Calibri" w:hAnsi="Calibri"/>
          <w:b/>
          <w:color w:val="1B365D"/>
          <w:sz w:val="32"/>
        </w:rPr>
        <w:t>5. Feature Engineering</w:t>
      </w:r>
    </w:p>
    <w:p>
      <w:pPr>
        <w:spacing w:before="0" w:after="120" w:line="276" w:lineRule="auto"/>
      </w:pPr>
      <w:r>
        <w:rPr>
          <w:rFonts w:ascii="Calibri" w:hAnsi="Calibri"/>
          <w:color w:val="1E293B"/>
          <w:sz w:val="22"/>
        </w:rPr>
        <w:t>To transform raw operational logs and survey responses into highly expressive analytical signals, five domain-specific features were engineered. These features consolidate collinear indicators, capture non-linear behavioral thresholds, and establish interpretable workforce segments.</w:t>
      </w:r>
    </w:p>
    <w:p>
      <w:pPr>
        <w:keepNext/>
        <w:spacing w:before="280" w:after="80"/>
      </w:pPr>
      <w:r>
        <w:rPr>
          <w:rFonts w:ascii="Calibri" w:hAnsi="Calibri"/>
          <w:b/>
          <w:color w:val="1B365D"/>
          <w:sz w:val="26"/>
        </w:rPr>
        <w:t>5.1 SatisfactionIndex</w:t>
      </w:r>
    </w:p>
    <w:p>
      <w:pPr>
        <w:spacing w:before="0" w:after="120" w:line="276" w:lineRule="auto"/>
      </w:pPr>
      <w:r>
        <w:rPr>
          <w:rFonts w:ascii="Calibri" w:hAnsi="Calibri"/>
          <w:color w:val="1E293B"/>
          <w:sz w:val="22"/>
        </w:rPr>
        <w:t>In organizational psychology, individual survey items measuring environment, job satisfaction, and role involvement often suffer from localized measurement noise. To synthesize a robust composite psychometric indicator, `SatisfactionIndex` was formulated as the unweighted arithmetic mean of the three ordinal survey items:</w:t>
      </w:r>
    </w:p>
    <w:tbl>
      <w:tblPr>
        <w:tblW w:type="auto" w:w="0"/>
        <w:jc w:val="center"/>
        <w:tblLayout w:type="fixed"/>
        <w:tblLook w:firstColumn="1" w:firstRow="1" w:lastColumn="0" w:lastRow="0" w:noHBand="0" w:noVBand="1" w:val="04A0"/>
      </w:tblPr>
      <w:tblGrid>
        <w:gridCol w:w="9360"/>
      </w:tblGrid>
      <w:tr>
        <w:tc>
          <w:tcPr>
            <w:tcW w:type="dxa" w:w="9360"/>
            <w:shd w:val="clear" w:color="auto" w:fill="F0F9FF"/>
            <w:tcMar>
              <w:top w:w="140" w:type="dxa"/>
              <w:bottom w:w="140" w:type="dxa"/>
              <w:left w:w="200" w:type="dxa"/>
              <w:right w:w="180" w:type="dxa"/>
            </w:tcMar>
            <w:tcBorders>
              <w:left w:val="single" w:sz="24" w:space="0" w:color="0284C7"/>
              <w:top w:val="none"/>
              <w:bottom w:val="none"/>
              <w:right w:val="none"/>
            </w:tcBorders>
          </w:tcPr>
          <w:p>
            <w:pPr>
              <w:spacing w:before="0" w:after="40" w:line="276" w:lineRule="auto"/>
            </w:pPr>
            <w:r>
              <w:rPr>
                <w:rFonts w:ascii="Calibri" w:hAnsi="Calibri"/>
                <w:b/>
                <w:color w:val="1B365D"/>
                <w:sz w:val="21"/>
              </w:rPr>
              <w:t>Mathematical Formulation of Composite SatisfactionIndex</w:t>
              <w:br/>
            </w:r>
            <w:r>
              <w:rPr>
                <w:rFonts w:ascii="Calibri" w:hAnsi="Calibri"/>
                <w:color w:val="1E293B"/>
                <w:sz w:val="20"/>
              </w:rPr>
              <w:t>SatisfactionIndex = (EnvironmentSatisfaction + JobSatisfaction + JobInvolvement) / 3</w:t>
              <w:br/>
              <w:br/>
              <w:t>• Range: [1.00, 4.00] continuous scale.</w:t>
              <w:br/>
              <w:t>• Operational Rationale: Consolidates three moderately correlated ordinal dimensions into a single continuous indicator that reflects overall institutional wellbeing. Leavers average 2.18 compared to 2.43 for retained employees (p &lt; 0.001).</w:t>
            </w:r>
          </w:p>
        </w:tc>
      </w:tr>
    </w:tbl>
    <w:p>
      <w:pPr>
        <w:spacing w:after="80"/>
      </w:pPr>
    </w:p>
    <w:p>
      <w:pPr>
        <w:keepNext/>
        <w:spacing w:before="280" w:after="80"/>
      </w:pPr>
      <w:r>
        <w:rPr>
          <w:rFonts w:ascii="Calibri" w:hAnsi="Calibri"/>
          <w:b/>
          <w:color w:val="1B365D"/>
          <w:sz w:val="26"/>
        </w:rPr>
        <w:t>5.2 EngagementLevel</w:t>
      </w:r>
    </w:p>
    <w:p>
      <w:pPr>
        <w:spacing w:before="0" w:after="120" w:line="276" w:lineRule="auto"/>
      </w:pPr>
      <w:r>
        <w:rPr>
          <w:rFonts w:ascii="Calibri" w:hAnsi="Calibri"/>
          <w:color w:val="1E293B"/>
          <w:sz w:val="22"/>
        </w:rPr>
        <w:t>To capture non-linear disengagement tipping points, the continuous `EngagementScore` (30–95) was discretized into three empirically bounded operational categories: Low (&lt;60.0), Medium (60.0–75.0), and High (&gt;75.0). Chi-square testing confirmed massive statistical divergence across these tiers (χ² = 1870.27, p &lt; 0.001), isolating high-risk cohorts.</w:t>
      </w:r>
    </w:p>
    <w:p>
      <w:pPr>
        <w:keepNext/>
        <w:spacing w:before="280" w:after="80"/>
      </w:pPr>
      <w:r>
        <w:rPr>
          <w:rFonts w:ascii="Calibri" w:hAnsi="Calibri"/>
          <w:b/>
          <w:color w:val="1B365D"/>
          <w:sz w:val="26"/>
        </w:rPr>
        <w:t>5.3 OvertimeLevel</w:t>
      </w:r>
    </w:p>
    <w:p>
      <w:pPr>
        <w:spacing w:before="0" w:after="120" w:line="276" w:lineRule="auto"/>
      </w:pPr>
      <w:r>
        <w:rPr>
          <w:rFonts w:ascii="Calibri" w:hAnsi="Calibri"/>
          <w:color w:val="1E293B"/>
          <w:sz w:val="22"/>
        </w:rPr>
        <w:t>Overtime was segmented into three operational workload bands: Low (&lt;20.0 hrs/mo), Moderate (20.0–35.0 hrs/mo), and High (&gt;35.0 hrs/mo). Employees in the 'High' overtime category experience over 2.2x the turnover rate of the 'Low' bracket, providing plant managers with an immediate operational red flag (χ² = 273.58, p &lt; 0.001).</w:t>
      </w:r>
    </w:p>
    <w:p>
      <w:pPr>
        <w:keepNext/>
        <w:spacing w:before="280" w:after="80"/>
      </w:pPr>
      <w:r>
        <w:rPr>
          <w:rFonts w:ascii="Calibri" w:hAnsi="Calibri"/>
          <w:b/>
          <w:color w:val="1B365D"/>
          <w:sz w:val="26"/>
        </w:rPr>
        <w:t>5.4 DistanceCategory</w:t>
      </w:r>
    </w:p>
    <w:p>
      <w:pPr>
        <w:spacing w:before="0" w:after="120" w:line="276" w:lineRule="auto"/>
      </w:pPr>
      <w:r>
        <w:rPr>
          <w:rFonts w:ascii="Calibri" w:hAnsi="Calibri"/>
          <w:color w:val="1E293B"/>
          <w:sz w:val="22"/>
        </w:rPr>
        <w:t>Commute distance was partitioned into Near (&lt;15.0 km), Moderate (15.0–35.0 km), and Far (&gt;35.0 km) zones. Workers in the 'Far' category display significantly elevated churn due to transit fatigue (χ² = 94.29, p &lt; 0.001).</w:t>
      </w:r>
    </w:p>
    <w:p>
      <w:pPr>
        <w:keepNext/>
        <w:spacing w:before="280" w:after="80"/>
      </w:pPr>
      <w:r>
        <w:rPr>
          <w:rFonts w:ascii="Calibri" w:hAnsi="Calibri"/>
          <w:b/>
          <w:color w:val="1B365D"/>
          <w:sz w:val="26"/>
        </w:rPr>
        <w:t>5.5 TenureGroup</w:t>
      </w:r>
    </w:p>
    <w:p>
      <w:pPr>
        <w:spacing w:before="0" w:after="120" w:line="276" w:lineRule="auto"/>
      </w:pPr>
      <w:r>
        <w:rPr>
          <w:rFonts w:ascii="Calibri" w:hAnsi="Calibri"/>
          <w:color w:val="1E293B"/>
          <w:sz w:val="22"/>
        </w:rPr>
        <w:t>Organizational tenure was grouped into career progression milestones: New (&lt;1 year), Developing (1–3 years), Established (3–7 years), and Veteran (&gt;7 years). This categorizes flight propensity across distinct professional stages.</w:t>
      </w:r>
    </w:p>
    <w:p>
      <w:pPr>
        <w:keepNext/>
        <w:spacing w:before="360" w:after="120"/>
      </w:pPr>
      <w:r>
        <w:rPr>
          <w:rFonts w:ascii="Calibri" w:hAnsi="Calibri"/>
          <w:b/>
          <w:color w:val="1B365D"/>
          <w:sz w:val="32"/>
        </w:rPr>
        <w:t>6. Feature Selection</w:t>
      </w:r>
    </w:p>
    <w:p>
      <w:pPr>
        <w:keepNext/>
        <w:spacing w:before="280" w:after="80"/>
      </w:pPr>
      <w:r>
        <w:rPr>
          <w:rFonts w:ascii="Calibri" w:hAnsi="Calibri"/>
          <w:b/>
          <w:color w:val="1B365D"/>
          <w:sz w:val="26"/>
        </w:rPr>
        <w:t>6.1 Feature Selection Methodology</w:t>
      </w:r>
    </w:p>
    <w:p>
      <w:pPr>
        <w:spacing w:before="0" w:after="120" w:line="276" w:lineRule="auto"/>
      </w:pPr>
      <w:r>
        <w:rPr>
          <w:rFonts w:ascii="Calibri" w:hAnsi="Calibri"/>
          <w:color w:val="1E293B"/>
          <w:sz w:val="22"/>
        </w:rPr>
        <w:t>High-dimensional tabular datasets frequently contain redundant, collinear, or uninformative variables that increase model variance and dilute predictive precision. Feature selection was conducted using a two-stage protocol: (1) Random Forest Mean Decrease in Gini impurity ranking to evaluate non-linear split utility, and (2) Multicollinearity filtering to eliminate redundant proxy variables (e.g., `EducationLevel` was dropped in favor of numeric `Education`). Furthermore, a strict zero-leakage protocol was enforced by permanently excluding `EmployeeNumber`.</w:t>
      </w:r>
    </w:p>
    <w:p>
      <w:pPr>
        <w:keepNext/>
        <w:spacing w:before="280" w:after="80"/>
      </w:pPr>
      <w:r>
        <w:rPr>
          <w:rFonts w:ascii="Calibri" w:hAnsi="Calibri"/>
          <w:b/>
          <w:color w:val="1B365D"/>
          <w:sz w:val="26"/>
        </w:rPr>
        <w:t>6.2 Selected Features</w:t>
      </w:r>
    </w:p>
    <w:p>
      <w:pPr>
        <w:spacing w:before="0" w:after="120" w:line="276" w:lineRule="auto"/>
      </w:pPr>
      <w:r>
        <w:rPr>
          <w:rFonts w:ascii="Calibri" w:hAnsi="Calibri"/>
          <w:color w:val="1E293B"/>
          <w:sz w:val="22"/>
        </w:rPr>
        <w:t>The final feature set comprises 15 essential variables spanning operational, demographic, and psychometric dimensions: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c>
          <w:tcPr>
            <w:tcW w:type="dxa" w:w="2592"/>
            <w:shd w:val="clear" w:color="auto" w:fill="1B365D"/>
            <w:tcMar>
              <w:top w:w="100" w:type="dxa"/>
              <w:bottom w:w="100" w:type="dxa"/>
              <w:left w:w="140" w:type="dxa"/>
              <w:right w:w="140" w:type="dxa"/>
            </w:tcMar>
          </w:tcPr>
          <w:p>
            <w:pPr>
              <w:spacing w:before="0" w:after="0"/>
              <w:jc w:val="left"/>
            </w:pPr>
            <w:r>
              <w:rPr>
                <w:rFonts w:ascii="Calibri" w:hAnsi="Calibri"/>
                <w:b/>
                <w:color w:val="FFFFFF"/>
                <w:sz w:val="20"/>
              </w:rPr>
              <w:t>Feature Name</w:t>
            </w:r>
          </w:p>
        </w:tc>
        <w:tc>
          <w:tcPr>
            <w:tcW w:type="dxa" w:w="2160"/>
            <w:shd w:val="clear" w:color="auto" w:fill="1B365D"/>
            <w:tcMar>
              <w:top w:w="100" w:type="dxa"/>
              <w:bottom w:w="100" w:type="dxa"/>
              <w:left w:w="140" w:type="dxa"/>
              <w:right w:w="140" w:type="dxa"/>
            </w:tcMar>
          </w:tcPr>
          <w:p>
            <w:pPr>
              <w:spacing w:before="0" w:after="0"/>
              <w:jc w:val="left"/>
            </w:pPr>
            <w:r>
              <w:rPr>
                <w:rFonts w:ascii="Calibri" w:hAnsi="Calibri"/>
                <w:b/>
                <w:color w:val="FFFFFF"/>
                <w:sz w:val="20"/>
              </w:rPr>
              <w:t>Type</w:t>
            </w:r>
          </w:p>
        </w:tc>
        <w:tc>
          <w:tcPr>
            <w:tcW w:type="dxa" w:w="4608"/>
            <w:shd w:val="clear" w:color="auto" w:fill="1B365D"/>
            <w:tcMar>
              <w:top w:w="100" w:type="dxa"/>
              <w:bottom w:w="100" w:type="dxa"/>
              <w:left w:w="140" w:type="dxa"/>
              <w:right w:w="140" w:type="dxa"/>
            </w:tcMar>
          </w:tcPr>
          <w:p>
            <w:pPr>
              <w:spacing w:before="0" w:after="0"/>
              <w:jc w:val="left"/>
            </w:pPr>
            <w:r>
              <w:rPr>
                <w:rFonts w:ascii="Calibri" w:hAnsi="Calibri"/>
                <w:b/>
                <w:color w:val="FFFFFF"/>
                <w:sz w:val="20"/>
              </w:rPr>
              <w:t>Operational Selection Rationale</w:t>
            </w:r>
          </w:p>
        </w:tc>
      </w:tr>
      <w:tr>
        <w:tc>
          <w:tcPr>
            <w:tcW w:type="dxa" w:w="2592"/>
            <w:shd w:val="clear" w:color="auto" w:fill="FFFFFF"/>
            <w:tcMar>
              <w:top w:w="100" w:type="dxa"/>
              <w:bottom w:w="100" w:type="dxa"/>
              <w:left w:w="140" w:type="dxa"/>
              <w:right w:w="140" w:type="dxa"/>
            </w:tcMar>
          </w:tcPr>
          <w:p>
            <w:pPr>
              <w:spacing w:before="0" w:after="0"/>
              <w:jc w:val="left"/>
            </w:pPr>
            <w:r>
              <w:rPr>
                <w:rFonts w:ascii="Calibri" w:hAnsi="Calibri"/>
                <w:color w:val="1E293B"/>
                <w:sz w:val="19"/>
              </w:rPr>
              <w:t>EngagementScore</w:t>
            </w:r>
          </w:p>
        </w:tc>
        <w:tc>
          <w:tcPr>
            <w:tcW w:type="dxa" w:w="2160"/>
            <w:shd w:val="clear" w:color="auto" w:fill="FFFFFF"/>
            <w:tcMar>
              <w:top w:w="100" w:type="dxa"/>
              <w:bottom w:w="100" w:type="dxa"/>
              <w:left w:w="140" w:type="dxa"/>
              <w:right w:w="140" w:type="dxa"/>
            </w:tcMar>
          </w:tcPr>
          <w:p>
            <w:pPr>
              <w:spacing w:before="0" w:after="0"/>
              <w:jc w:val="left"/>
            </w:pPr>
            <w:r>
              <w:rPr>
                <w:rFonts w:ascii="Calibri" w:hAnsi="Calibri"/>
                <w:color w:val="1E293B"/>
                <w:sz w:val="19"/>
              </w:rPr>
              <w:t>Numeric (Continuous)</w:t>
            </w:r>
          </w:p>
        </w:tc>
        <w:tc>
          <w:tcPr>
            <w:tcW w:type="dxa" w:w="4608"/>
            <w:shd w:val="clear" w:color="auto" w:fill="FFFFFF"/>
            <w:tcMar>
              <w:top w:w="100" w:type="dxa"/>
              <w:bottom w:w="100" w:type="dxa"/>
              <w:left w:w="140" w:type="dxa"/>
              <w:right w:w="140" w:type="dxa"/>
            </w:tcMar>
          </w:tcPr>
          <w:p>
            <w:pPr>
              <w:spacing w:before="0" w:after="0"/>
              <w:jc w:val="left"/>
            </w:pPr>
            <w:r>
              <w:rPr>
                <w:rFonts w:ascii="Calibri" w:hAnsi="Calibri"/>
                <w:color w:val="1E293B"/>
                <w:sz w:val="19"/>
              </w:rPr>
              <w:t>Primary predictor of workforce disengagement (Gini = 882.96).</w:t>
            </w:r>
          </w:p>
        </w:tc>
      </w:tr>
      <w:tr>
        <w:tc>
          <w:tcPr>
            <w:tcW w:type="dxa" w:w="2592"/>
            <w:shd w:val="clear" w:color="auto" w:fill="F8FAFC"/>
            <w:tcMar>
              <w:top w:w="100" w:type="dxa"/>
              <w:bottom w:w="100" w:type="dxa"/>
              <w:left w:w="140" w:type="dxa"/>
              <w:right w:w="140" w:type="dxa"/>
            </w:tcMar>
          </w:tcPr>
          <w:p>
            <w:pPr>
              <w:spacing w:before="0" w:after="0"/>
              <w:jc w:val="left"/>
            </w:pPr>
            <w:r>
              <w:rPr>
                <w:rFonts w:ascii="Calibri" w:hAnsi="Calibri"/>
                <w:color w:val="1E293B"/>
                <w:sz w:val="19"/>
              </w:rPr>
              <w:t>MonthlyIncome</w:t>
            </w:r>
          </w:p>
        </w:tc>
        <w:tc>
          <w:tcPr>
            <w:tcW w:type="dxa" w:w="2160"/>
            <w:shd w:val="clear" w:color="auto" w:fill="F8FAFC"/>
            <w:tcMar>
              <w:top w:w="100" w:type="dxa"/>
              <w:bottom w:w="100" w:type="dxa"/>
              <w:left w:w="140" w:type="dxa"/>
              <w:right w:w="140" w:type="dxa"/>
            </w:tcMar>
          </w:tcPr>
          <w:p>
            <w:pPr>
              <w:spacing w:before="0" w:after="0"/>
              <w:jc w:val="left"/>
            </w:pPr>
            <w:r>
              <w:rPr>
                <w:rFonts w:ascii="Calibri" w:hAnsi="Calibri"/>
                <w:color w:val="1E293B"/>
                <w:sz w:val="19"/>
              </w:rPr>
              <w:t>Numeric (Continuous)</w:t>
            </w:r>
          </w:p>
        </w:tc>
        <w:tc>
          <w:tcPr>
            <w:tcW w:type="dxa" w:w="4608"/>
            <w:shd w:val="clear" w:color="auto" w:fill="F8FAFC"/>
            <w:tcMar>
              <w:top w:w="100" w:type="dxa"/>
              <w:bottom w:w="100" w:type="dxa"/>
              <w:left w:w="140" w:type="dxa"/>
              <w:right w:w="140" w:type="dxa"/>
            </w:tcMar>
          </w:tcPr>
          <w:p>
            <w:pPr>
              <w:spacing w:before="0" w:after="0"/>
              <w:jc w:val="left"/>
            </w:pPr>
            <w:r>
              <w:rPr>
                <w:rFonts w:ascii="Calibri" w:hAnsi="Calibri"/>
                <w:color w:val="1E293B"/>
                <w:sz w:val="19"/>
              </w:rPr>
              <w:t>Economic baseline indicator; standardizes wage compensation.</w:t>
            </w:r>
          </w:p>
        </w:tc>
      </w:tr>
      <w:tr>
        <w:tc>
          <w:tcPr>
            <w:tcW w:type="dxa" w:w="2592"/>
            <w:shd w:val="clear" w:color="auto" w:fill="FFFFFF"/>
            <w:tcMar>
              <w:top w:w="100" w:type="dxa"/>
              <w:bottom w:w="100" w:type="dxa"/>
              <w:left w:w="140" w:type="dxa"/>
              <w:right w:w="140" w:type="dxa"/>
            </w:tcMar>
          </w:tcPr>
          <w:p>
            <w:pPr>
              <w:spacing w:before="0" w:after="0"/>
              <w:jc w:val="left"/>
            </w:pPr>
            <w:r>
              <w:rPr>
                <w:rFonts w:ascii="Calibri" w:hAnsi="Calibri"/>
                <w:color w:val="1E293B"/>
                <w:sz w:val="19"/>
              </w:rPr>
              <w:t>MonthlyRate</w:t>
            </w:r>
          </w:p>
        </w:tc>
        <w:tc>
          <w:tcPr>
            <w:tcW w:type="dxa" w:w="2160"/>
            <w:shd w:val="clear" w:color="auto" w:fill="FFFFFF"/>
            <w:tcMar>
              <w:top w:w="100" w:type="dxa"/>
              <w:bottom w:w="100" w:type="dxa"/>
              <w:left w:w="140" w:type="dxa"/>
              <w:right w:w="140" w:type="dxa"/>
            </w:tcMar>
          </w:tcPr>
          <w:p>
            <w:pPr>
              <w:spacing w:before="0" w:after="0"/>
              <w:jc w:val="left"/>
            </w:pPr>
            <w:r>
              <w:rPr>
                <w:rFonts w:ascii="Calibri" w:hAnsi="Calibri"/>
                <w:color w:val="1E293B"/>
                <w:sz w:val="19"/>
              </w:rPr>
              <w:t>Numeric (Continuous)</w:t>
            </w:r>
          </w:p>
        </w:tc>
        <w:tc>
          <w:tcPr>
            <w:tcW w:type="dxa" w:w="4608"/>
            <w:shd w:val="clear" w:color="auto" w:fill="FFFFFF"/>
            <w:tcMar>
              <w:top w:w="100" w:type="dxa"/>
              <w:bottom w:w="100" w:type="dxa"/>
              <w:left w:w="140" w:type="dxa"/>
              <w:right w:w="140" w:type="dxa"/>
            </w:tcMar>
          </w:tcPr>
          <w:p>
            <w:pPr>
              <w:spacing w:before="0" w:after="0"/>
              <w:jc w:val="left"/>
            </w:pPr>
            <w:r>
              <w:rPr>
                <w:rFonts w:ascii="Calibri" w:hAnsi="Calibri"/>
                <w:color w:val="1E293B"/>
                <w:sz w:val="19"/>
              </w:rPr>
              <w:t>Secondary compensation attribute capturing total benefit disbursements.</w:t>
            </w:r>
          </w:p>
        </w:tc>
      </w:tr>
      <w:tr>
        <w:tc>
          <w:tcPr>
            <w:tcW w:type="dxa" w:w="2592"/>
            <w:shd w:val="clear" w:color="auto" w:fill="F8FAFC"/>
            <w:tcMar>
              <w:top w:w="100" w:type="dxa"/>
              <w:bottom w:w="100" w:type="dxa"/>
              <w:left w:w="140" w:type="dxa"/>
              <w:right w:w="140" w:type="dxa"/>
            </w:tcMar>
          </w:tcPr>
          <w:p>
            <w:pPr>
              <w:spacing w:before="0" w:after="0"/>
              <w:jc w:val="left"/>
            </w:pPr>
            <w:r>
              <w:rPr>
                <w:rFonts w:ascii="Calibri" w:hAnsi="Calibri"/>
                <w:color w:val="1E293B"/>
                <w:sz w:val="19"/>
              </w:rPr>
              <w:t>DailyRate</w:t>
            </w:r>
          </w:p>
        </w:tc>
        <w:tc>
          <w:tcPr>
            <w:tcW w:type="dxa" w:w="2160"/>
            <w:shd w:val="clear" w:color="auto" w:fill="F8FAFC"/>
            <w:tcMar>
              <w:top w:w="100" w:type="dxa"/>
              <w:bottom w:w="100" w:type="dxa"/>
              <w:left w:w="140" w:type="dxa"/>
              <w:right w:w="140" w:type="dxa"/>
            </w:tcMar>
          </w:tcPr>
          <w:p>
            <w:pPr>
              <w:spacing w:before="0" w:after="0"/>
              <w:jc w:val="left"/>
            </w:pPr>
            <w:r>
              <w:rPr>
                <w:rFonts w:ascii="Calibri" w:hAnsi="Calibri"/>
                <w:color w:val="1E293B"/>
                <w:sz w:val="19"/>
              </w:rPr>
              <w:t>Numeric (Continuous)</w:t>
            </w:r>
          </w:p>
        </w:tc>
        <w:tc>
          <w:tcPr>
            <w:tcW w:type="dxa" w:w="4608"/>
            <w:shd w:val="clear" w:color="auto" w:fill="F8FAFC"/>
            <w:tcMar>
              <w:top w:w="100" w:type="dxa"/>
              <w:bottom w:w="100" w:type="dxa"/>
              <w:left w:w="140" w:type="dxa"/>
              <w:right w:w="140" w:type="dxa"/>
            </w:tcMar>
          </w:tcPr>
          <w:p>
            <w:pPr>
              <w:spacing w:before="0" w:after="0"/>
              <w:jc w:val="left"/>
            </w:pPr>
            <w:r>
              <w:rPr>
                <w:rFonts w:ascii="Calibri" w:hAnsi="Calibri"/>
                <w:color w:val="1E293B"/>
                <w:sz w:val="19"/>
              </w:rPr>
              <w:t>Daily shift pay rate capturing temporary wage differentials.</w:t>
            </w:r>
          </w:p>
        </w:tc>
      </w:tr>
      <w:tr>
        <w:tc>
          <w:tcPr>
            <w:tcW w:type="dxa" w:w="2592"/>
            <w:shd w:val="clear" w:color="auto" w:fill="FFFFFF"/>
            <w:tcMar>
              <w:top w:w="100" w:type="dxa"/>
              <w:bottom w:w="100" w:type="dxa"/>
              <w:left w:w="140" w:type="dxa"/>
              <w:right w:w="140" w:type="dxa"/>
            </w:tcMar>
          </w:tcPr>
          <w:p>
            <w:pPr>
              <w:spacing w:before="0" w:after="0"/>
              <w:jc w:val="left"/>
            </w:pPr>
            <w:r>
              <w:rPr>
                <w:rFonts w:ascii="Calibri" w:hAnsi="Calibri"/>
                <w:color w:val="1E293B"/>
                <w:sz w:val="19"/>
              </w:rPr>
              <w:t>Education</w:t>
            </w:r>
          </w:p>
        </w:tc>
        <w:tc>
          <w:tcPr>
            <w:tcW w:type="dxa" w:w="2160"/>
            <w:shd w:val="clear" w:color="auto" w:fill="FFFFFF"/>
            <w:tcMar>
              <w:top w:w="100" w:type="dxa"/>
              <w:bottom w:w="100" w:type="dxa"/>
              <w:left w:w="140" w:type="dxa"/>
              <w:right w:w="140" w:type="dxa"/>
            </w:tcMar>
          </w:tcPr>
          <w:p>
            <w:pPr>
              <w:spacing w:before="0" w:after="0"/>
              <w:jc w:val="left"/>
            </w:pPr>
            <w:r>
              <w:rPr>
                <w:rFonts w:ascii="Calibri" w:hAnsi="Calibri"/>
                <w:color w:val="1E293B"/>
                <w:sz w:val="19"/>
              </w:rPr>
              <w:t>Numeric (Ordinal 1-5)</w:t>
            </w:r>
          </w:p>
        </w:tc>
        <w:tc>
          <w:tcPr>
            <w:tcW w:type="dxa" w:w="4608"/>
            <w:shd w:val="clear" w:color="auto" w:fill="FFFFFF"/>
            <w:tcMar>
              <w:top w:w="100" w:type="dxa"/>
              <w:bottom w:w="100" w:type="dxa"/>
              <w:left w:w="140" w:type="dxa"/>
              <w:right w:w="140" w:type="dxa"/>
            </w:tcMar>
          </w:tcPr>
          <w:p>
            <w:pPr>
              <w:spacing w:before="0" w:after="0"/>
              <w:jc w:val="left"/>
            </w:pPr>
            <w:r>
              <w:rPr>
                <w:rFonts w:ascii="Calibri" w:hAnsi="Calibri"/>
                <w:color w:val="1E293B"/>
                <w:sz w:val="19"/>
              </w:rPr>
              <w:t>Formal educational attainment tier.</w:t>
            </w:r>
          </w:p>
        </w:tc>
      </w:tr>
      <w:tr>
        <w:tc>
          <w:tcPr>
            <w:tcW w:type="dxa" w:w="2592"/>
            <w:shd w:val="clear" w:color="auto" w:fill="F8FAFC"/>
            <w:tcMar>
              <w:top w:w="100" w:type="dxa"/>
              <w:bottom w:w="100" w:type="dxa"/>
              <w:left w:w="140" w:type="dxa"/>
              <w:right w:w="140" w:type="dxa"/>
            </w:tcMar>
          </w:tcPr>
          <w:p>
            <w:pPr>
              <w:spacing w:before="0" w:after="0"/>
              <w:jc w:val="left"/>
            </w:pPr>
            <w:r>
              <w:rPr>
                <w:rFonts w:ascii="Calibri" w:hAnsi="Calibri"/>
                <w:color w:val="1E293B"/>
                <w:sz w:val="19"/>
              </w:rPr>
              <w:t>HourlyRate</w:t>
            </w:r>
          </w:p>
        </w:tc>
        <w:tc>
          <w:tcPr>
            <w:tcW w:type="dxa" w:w="2160"/>
            <w:shd w:val="clear" w:color="auto" w:fill="F8FAFC"/>
            <w:tcMar>
              <w:top w:w="100" w:type="dxa"/>
              <w:bottom w:w="100" w:type="dxa"/>
              <w:left w:w="140" w:type="dxa"/>
              <w:right w:w="140" w:type="dxa"/>
            </w:tcMar>
          </w:tcPr>
          <w:p>
            <w:pPr>
              <w:spacing w:before="0" w:after="0"/>
              <w:jc w:val="left"/>
            </w:pPr>
            <w:r>
              <w:rPr>
                <w:rFonts w:ascii="Calibri" w:hAnsi="Calibri"/>
                <w:color w:val="1E293B"/>
                <w:sz w:val="19"/>
              </w:rPr>
              <w:t>Numeric (Continuous)</w:t>
            </w:r>
          </w:p>
        </w:tc>
        <w:tc>
          <w:tcPr>
            <w:tcW w:type="dxa" w:w="4608"/>
            <w:shd w:val="clear" w:color="auto" w:fill="F8FAFC"/>
            <w:tcMar>
              <w:top w:w="100" w:type="dxa"/>
              <w:bottom w:w="100" w:type="dxa"/>
              <w:left w:w="140" w:type="dxa"/>
              <w:right w:w="140" w:type="dxa"/>
            </w:tcMar>
          </w:tcPr>
          <w:p>
            <w:pPr>
              <w:spacing w:before="0" w:after="0"/>
              <w:jc w:val="left"/>
            </w:pPr>
            <w:r>
              <w:rPr>
                <w:rFonts w:ascii="Calibri" w:hAnsi="Calibri"/>
                <w:color w:val="1E293B"/>
                <w:sz w:val="19"/>
              </w:rPr>
              <w:t>Base hourly rate; controls for direct wage scaling.</w:t>
            </w:r>
          </w:p>
        </w:tc>
      </w:tr>
      <w:tr>
        <w:tc>
          <w:tcPr>
            <w:tcW w:type="dxa" w:w="2592"/>
            <w:shd w:val="clear" w:color="auto" w:fill="FFFFFF"/>
            <w:tcMar>
              <w:top w:w="100" w:type="dxa"/>
              <w:bottom w:w="100" w:type="dxa"/>
              <w:left w:w="140" w:type="dxa"/>
              <w:right w:w="140" w:type="dxa"/>
            </w:tcMar>
          </w:tcPr>
          <w:p>
            <w:pPr>
              <w:spacing w:before="0" w:after="0"/>
              <w:jc w:val="left"/>
            </w:pPr>
            <w:r>
              <w:rPr>
                <w:rFonts w:ascii="Calibri" w:hAnsi="Calibri"/>
                <w:color w:val="1E293B"/>
                <w:sz w:val="19"/>
              </w:rPr>
              <w:t>YearsAtCompany</w:t>
            </w:r>
          </w:p>
        </w:tc>
        <w:tc>
          <w:tcPr>
            <w:tcW w:type="dxa" w:w="2160"/>
            <w:shd w:val="clear" w:color="auto" w:fill="FFFFFF"/>
            <w:tcMar>
              <w:top w:w="100" w:type="dxa"/>
              <w:bottom w:w="100" w:type="dxa"/>
              <w:left w:w="140" w:type="dxa"/>
              <w:right w:w="140" w:type="dxa"/>
            </w:tcMar>
          </w:tcPr>
          <w:p>
            <w:pPr>
              <w:spacing w:before="0" w:after="0"/>
              <w:jc w:val="left"/>
            </w:pPr>
            <w:r>
              <w:rPr>
                <w:rFonts w:ascii="Calibri" w:hAnsi="Calibri"/>
                <w:color w:val="1E293B"/>
                <w:sz w:val="19"/>
              </w:rPr>
              <w:t>Numeric (Continuous)</w:t>
            </w:r>
          </w:p>
        </w:tc>
        <w:tc>
          <w:tcPr>
            <w:tcW w:type="dxa" w:w="4608"/>
            <w:shd w:val="clear" w:color="auto" w:fill="FFFFFF"/>
            <w:tcMar>
              <w:top w:w="100" w:type="dxa"/>
              <w:bottom w:w="100" w:type="dxa"/>
              <w:left w:w="140" w:type="dxa"/>
              <w:right w:w="140" w:type="dxa"/>
            </w:tcMar>
          </w:tcPr>
          <w:p>
            <w:pPr>
              <w:spacing w:before="0" w:after="0"/>
              <w:jc w:val="left"/>
            </w:pPr>
            <w:r>
              <w:rPr>
                <w:rFonts w:ascii="Calibri" w:hAnsi="Calibri"/>
                <w:color w:val="1E293B"/>
                <w:sz w:val="19"/>
              </w:rPr>
              <w:t>Organizational tenure reflecting institutional embedding.</w:t>
            </w:r>
          </w:p>
        </w:tc>
      </w:tr>
      <w:tr>
        <w:tc>
          <w:tcPr>
            <w:tcW w:type="dxa" w:w="2592"/>
            <w:shd w:val="clear" w:color="auto" w:fill="F8FAFC"/>
            <w:tcMar>
              <w:top w:w="100" w:type="dxa"/>
              <w:bottom w:w="100" w:type="dxa"/>
              <w:left w:w="140" w:type="dxa"/>
              <w:right w:w="140" w:type="dxa"/>
            </w:tcMar>
          </w:tcPr>
          <w:p>
            <w:pPr>
              <w:spacing w:before="0" w:after="0"/>
              <w:jc w:val="left"/>
            </w:pPr>
            <w:r>
              <w:rPr>
                <w:rFonts w:ascii="Calibri" w:hAnsi="Calibri"/>
                <w:color w:val="1E293B"/>
                <w:sz w:val="19"/>
              </w:rPr>
              <w:t>DistanceFromHome</w:t>
            </w:r>
          </w:p>
        </w:tc>
        <w:tc>
          <w:tcPr>
            <w:tcW w:type="dxa" w:w="2160"/>
            <w:shd w:val="clear" w:color="auto" w:fill="F8FAFC"/>
            <w:tcMar>
              <w:top w:w="100" w:type="dxa"/>
              <w:bottom w:w="100" w:type="dxa"/>
              <w:left w:w="140" w:type="dxa"/>
              <w:right w:w="140" w:type="dxa"/>
            </w:tcMar>
          </w:tcPr>
          <w:p>
            <w:pPr>
              <w:spacing w:before="0" w:after="0"/>
              <w:jc w:val="left"/>
            </w:pPr>
            <w:r>
              <w:rPr>
                <w:rFonts w:ascii="Calibri" w:hAnsi="Calibri"/>
                <w:color w:val="1E293B"/>
                <w:sz w:val="19"/>
              </w:rPr>
              <w:t>Numeric (Continuous)</w:t>
            </w:r>
          </w:p>
        </w:tc>
        <w:tc>
          <w:tcPr>
            <w:tcW w:type="dxa" w:w="4608"/>
            <w:shd w:val="clear" w:color="auto" w:fill="F8FAFC"/>
            <w:tcMar>
              <w:top w:w="100" w:type="dxa"/>
              <w:bottom w:w="100" w:type="dxa"/>
              <w:left w:w="140" w:type="dxa"/>
              <w:right w:w="140" w:type="dxa"/>
            </w:tcMar>
          </w:tcPr>
          <w:p>
            <w:pPr>
              <w:spacing w:before="0" w:after="0"/>
              <w:jc w:val="left"/>
            </w:pPr>
            <w:r>
              <w:rPr>
                <w:rFonts w:ascii="Calibri" w:hAnsi="Calibri"/>
                <w:color w:val="1E293B"/>
                <w:sz w:val="19"/>
              </w:rPr>
              <w:t>Commute burden in kilometers; major fatigue driver.</w:t>
            </w:r>
          </w:p>
        </w:tc>
      </w:tr>
      <w:tr>
        <w:tc>
          <w:tcPr>
            <w:tcW w:type="dxa" w:w="2592"/>
            <w:shd w:val="clear" w:color="auto" w:fill="FFFFFF"/>
            <w:tcMar>
              <w:top w:w="100" w:type="dxa"/>
              <w:bottom w:w="100" w:type="dxa"/>
              <w:left w:w="140" w:type="dxa"/>
              <w:right w:w="140" w:type="dxa"/>
            </w:tcMar>
          </w:tcPr>
          <w:p>
            <w:pPr>
              <w:spacing w:before="0" w:after="0"/>
              <w:jc w:val="left"/>
            </w:pPr>
            <w:r>
              <w:rPr>
                <w:rFonts w:ascii="Calibri" w:hAnsi="Calibri"/>
                <w:color w:val="1E293B"/>
                <w:sz w:val="19"/>
              </w:rPr>
              <w:t>MonthlyOvertimeHours</w:t>
            </w:r>
          </w:p>
        </w:tc>
        <w:tc>
          <w:tcPr>
            <w:tcW w:type="dxa" w:w="2160"/>
            <w:shd w:val="clear" w:color="auto" w:fill="FFFFFF"/>
            <w:tcMar>
              <w:top w:w="100" w:type="dxa"/>
              <w:bottom w:w="100" w:type="dxa"/>
              <w:left w:w="140" w:type="dxa"/>
              <w:right w:w="140" w:type="dxa"/>
            </w:tcMar>
          </w:tcPr>
          <w:p>
            <w:pPr>
              <w:spacing w:before="0" w:after="0"/>
              <w:jc w:val="left"/>
            </w:pPr>
            <w:r>
              <w:rPr>
                <w:rFonts w:ascii="Calibri" w:hAnsi="Calibri"/>
                <w:color w:val="1E293B"/>
                <w:sz w:val="19"/>
              </w:rPr>
              <w:t>Numeric (Continuous)</w:t>
            </w:r>
          </w:p>
        </w:tc>
        <w:tc>
          <w:tcPr>
            <w:tcW w:type="dxa" w:w="4608"/>
            <w:shd w:val="clear" w:color="auto" w:fill="FFFFFF"/>
            <w:tcMar>
              <w:top w:w="100" w:type="dxa"/>
              <w:bottom w:w="100" w:type="dxa"/>
              <w:left w:w="140" w:type="dxa"/>
              <w:right w:w="140" w:type="dxa"/>
            </w:tcMar>
          </w:tcPr>
          <w:p>
            <w:pPr>
              <w:spacing w:before="0" w:after="0"/>
              <w:jc w:val="left"/>
            </w:pPr>
            <w:r>
              <w:rPr>
                <w:rFonts w:ascii="Calibri" w:hAnsi="Calibri"/>
                <w:color w:val="1E293B"/>
                <w:sz w:val="19"/>
              </w:rPr>
              <w:t>Primary operational workload driver; strong positive correlation.</w:t>
            </w:r>
          </w:p>
        </w:tc>
      </w:tr>
      <w:tr>
        <w:tc>
          <w:tcPr>
            <w:tcW w:type="dxa" w:w="2592"/>
            <w:shd w:val="clear" w:color="auto" w:fill="F8FAFC"/>
            <w:tcMar>
              <w:top w:w="100" w:type="dxa"/>
              <w:bottom w:w="100" w:type="dxa"/>
              <w:left w:w="140" w:type="dxa"/>
              <w:right w:w="140" w:type="dxa"/>
            </w:tcMar>
          </w:tcPr>
          <w:p>
            <w:pPr>
              <w:spacing w:before="0" w:after="0"/>
              <w:jc w:val="left"/>
            </w:pPr>
            <w:r>
              <w:rPr>
                <w:rFonts w:ascii="Calibri" w:hAnsi="Calibri"/>
                <w:color w:val="1E293B"/>
                <w:sz w:val="19"/>
              </w:rPr>
              <w:t>Department</w:t>
            </w:r>
          </w:p>
        </w:tc>
        <w:tc>
          <w:tcPr>
            <w:tcW w:type="dxa" w:w="2160"/>
            <w:shd w:val="clear" w:color="auto" w:fill="F8FAFC"/>
            <w:tcMar>
              <w:top w:w="100" w:type="dxa"/>
              <w:bottom w:w="100" w:type="dxa"/>
              <w:left w:w="140" w:type="dxa"/>
              <w:right w:w="140" w:type="dxa"/>
            </w:tcMar>
          </w:tcPr>
          <w:p>
            <w:pPr>
              <w:spacing w:before="0" w:after="0"/>
              <w:jc w:val="left"/>
            </w:pPr>
            <w:r>
              <w:rPr>
                <w:rFonts w:ascii="Calibri" w:hAnsi="Calibri"/>
                <w:color w:val="1E293B"/>
                <w:sz w:val="19"/>
              </w:rPr>
              <w:t>Categorical (7 levels)</w:t>
            </w:r>
          </w:p>
        </w:tc>
        <w:tc>
          <w:tcPr>
            <w:tcW w:type="dxa" w:w="4608"/>
            <w:shd w:val="clear" w:color="auto" w:fill="F8FAFC"/>
            <w:tcMar>
              <w:top w:w="100" w:type="dxa"/>
              <w:bottom w:w="100" w:type="dxa"/>
              <w:left w:w="140" w:type="dxa"/>
              <w:right w:w="140" w:type="dxa"/>
            </w:tcMar>
          </w:tcPr>
          <w:p>
            <w:pPr>
              <w:spacing w:before="0" w:after="0"/>
              <w:jc w:val="left"/>
            </w:pPr>
            <w:r>
              <w:rPr>
                <w:rFonts w:ascii="Calibri" w:hAnsi="Calibri"/>
                <w:color w:val="1E293B"/>
                <w:sz w:val="19"/>
              </w:rPr>
              <w:t>Functional business unit capturing localized operational conditions.</w:t>
            </w:r>
          </w:p>
        </w:tc>
      </w:tr>
      <w:tr>
        <w:tc>
          <w:tcPr>
            <w:tcW w:type="dxa" w:w="2592"/>
            <w:shd w:val="clear" w:color="auto" w:fill="FFFFFF"/>
            <w:tcMar>
              <w:top w:w="100" w:type="dxa"/>
              <w:bottom w:w="100" w:type="dxa"/>
              <w:left w:w="140" w:type="dxa"/>
              <w:right w:w="140" w:type="dxa"/>
            </w:tcMar>
          </w:tcPr>
          <w:p>
            <w:pPr>
              <w:spacing w:before="0" w:after="0"/>
              <w:jc w:val="left"/>
            </w:pPr>
            <w:r>
              <w:rPr>
                <w:rFonts w:ascii="Calibri" w:hAnsi="Calibri"/>
                <w:color w:val="1E293B"/>
                <w:sz w:val="19"/>
              </w:rPr>
              <w:t>Plant</w:t>
            </w:r>
          </w:p>
        </w:tc>
        <w:tc>
          <w:tcPr>
            <w:tcW w:type="dxa" w:w="2160"/>
            <w:shd w:val="clear" w:color="auto" w:fill="FFFFFF"/>
            <w:tcMar>
              <w:top w:w="100" w:type="dxa"/>
              <w:bottom w:w="100" w:type="dxa"/>
              <w:left w:w="140" w:type="dxa"/>
              <w:right w:w="140" w:type="dxa"/>
            </w:tcMar>
          </w:tcPr>
          <w:p>
            <w:pPr>
              <w:spacing w:before="0" w:after="0"/>
              <w:jc w:val="left"/>
            </w:pPr>
            <w:r>
              <w:rPr>
                <w:rFonts w:ascii="Calibri" w:hAnsi="Calibri"/>
                <w:color w:val="1E293B"/>
                <w:sz w:val="19"/>
              </w:rPr>
              <w:t>Categorical (6 levels)</w:t>
            </w:r>
          </w:p>
        </w:tc>
        <w:tc>
          <w:tcPr>
            <w:tcW w:type="dxa" w:w="4608"/>
            <w:shd w:val="clear" w:color="auto" w:fill="FFFFFF"/>
            <w:tcMar>
              <w:top w:w="100" w:type="dxa"/>
              <w:bottom w:w="100" w:type="dxa"/>
              <w:left w:w="140" w:type="dxa"/>
              <w:right w:w="140" w:type="dxa"/>
            </w:tcMar>
          </w:tcPr>
          <w:p>
            <w:pPr>
              <w:spacing w:before="0" w:after="0"/>
              <w:jc w:val="left"/>
            </w:pPr>
            <w:r>
              <w:rPr>
                <w:rFonts w:ascii="Calibri" w:hAnsi="Calibri"/>
                <w:color w:val="1E293B"/>
                <w:sz w:val="19"/>
              </w:rPr>
              <w:t>Regional manufacturing facility capturing site-specific culture.</w:t>
            </w:r>
          </w:p>
        </w:tc>
      </w:tr>
      <w:tr>
        <w:tc>
          <w:tcPr>
            <w:tcW w:type="dxa" w:w="2592"/>
            <w:shd w:val="clear" w:color="auto" w:fill="F8FAFC"/>
            <w:tcMar>
              <w:top w:w="100" w:type="dxa"/>
              <w:bottom w:w="100" w:type="dxa"/>
              <w:left w:w="140" w:type="dxa"/>
              <w:right w:w="140" w:type="dxa"/>
            </w:tcMar>
          </w:tcPr>
          <w:p>
            <w:pPr>
              <w:spacing w:before="0" w:after="0"/>
              <w:jc w:val="left"/>
            </w:pPr>
            <w:r>
              <w:rPr>
                <w:rFonts w:ascii="Calibri" w:hAnsi="Calibri"/>
                <w:color w:val="1E293B"/>
                <w:sz w:val="19"/>
              </w:rPr>
              <w:t>EducationField</w:t>
            </w:r>
          </w:p>
        </w:tc>
        <w:tc>
          <w:tcPr>
            <w:tcW w:type="dxa" w:w="2160"/>
            <w:shd w:val="clear" w:color="auto" w:fill="F8FAFC"/>
            <w:tcMar>
              <w:top w:w="100" w:type="dxa"/>
              <w:bottom w:w="100" w:type="dxa"/>
              <w:left w:w="140" w:type="dxa"/>
              <w:right w:w="140" w:type="dxa"/>
            </w:tcMar>
          </w:tcPr>
          <w:p>
            <w:pPr>
              <w:spacing w:before="0" w:after="0"/>
              <w:jc w:val="left"/>
            </w:pPr>
            <w:r>
              <w:rPr>
                <w:rFonts w:ascii="Calibri" w:hAnsi="Calibri"/>
                <w:color w:val="1E293B"/>
                <w:sz w:val="19"/>
              </w:rPr>
              <w:t>Categorical (6 levels)</w:t>
            </w:r>
          </w:p>
        </w:tc>
        <w:tc>
          <w:tcPr>
            <w:tcW w:type="dxa" w:w="4608"/>
            <w:shd w:val="clear" w:color="auto" w:fill="F8FAFC"/>
            <w:tcMar>
              <w:top w:w="100" w:type="dxa"/>
              <w:bottom w:w="100" w:type="dxa"/>
              <w:left w:w="140" w:type="dxa"/>
              <w:right w:w="140" w:type="dxa"/>
            </w:tcMar>
          </w:tcPr>
          <w:p>
            <w:pPr>
              <w:spacing w:before="0" w:after="0"/>
              <w:jc w:val="left"/>
            </w:pPr>
            <w:r>
              <w:rPr>
                <w:rFonts w:ascii="Calibri" w:hAnsi="Calibri"/>
                <w:color w:val="1E293B"/>
                <w:sz w:val="19"/>
              </w:rPr>
              <w:t>Technical specialization discipline (Mechanical, Electrical, etc.).</w:t>
            </w:r>
          </w:p>
        </w:tc>
      </w:tr>
      <w:tr>
        <w:tc>
          <w:tcPr>
            <w:tcW w:type="dxa" w:w="2592"/>
            <w:shd w:val="clear" w:color="auto" w:fill="FFFFFF"/>
            <w:tcMar>
              <w:top w:w="100" w:type="dxa"/>
              <w:bottom w:w="100" w:type="dxa"/>
              <w:left w:w="140" w:type="dxa"/>
              <w:right w:w="140" w:type="dxa"/>
            </w:tcMar>
          </w:tcPr>
          <w:p>
            <w:pPr>
              <w:spacing w:before="0" w:after="0"/>
              <w:jc w:val="left"/>
            </w:pPr>
            <w:r>
              <w:rPr>
                <w:rFonts w:ascii="Calibri" w:hAnsi="Calibri"/>
                <w:color w:val="1E293B"/>
                <w:sz w:val="19"/>
              </w:rPr>
              <w:t>SatisfactionIndex</w:t>
            </w:r>
          </w:p>
        </w:tc>
        <w:tc>
          <w:tcPr>
            <w:tcW w:type="dxa" w:w="2160"/>
            <w:shd w:val="clear" w:color="auto" w:fill="FFFFFF"/>
            <w:tcMar>
              <w:top w:w="100" w:type="dxa"/>
              <w:bottom w:w="100" w:type="dxa"/>
              <w:left w:w="140" w:type="dxa"/>
              <w:right w:w="140" w:type="dxa"/>
            </w:tcMar>
          </w:tcPr>
          <w:p>
            <w:pPr>
              <w:spacing w:before="0" w:after="0"/>
              <w:jc w:val="left"/>
            </w:pPr>
            <w:r>
              <w:rPr>
                <w:rFonts w:ascii="Calibri" w:hAnsi="Calibri"/>
                <w:color w:val="1E293B"/>
                <w:sz w:val="19"/>
              </w:rPr>
              <w:t>Numeric (Composite)</w:t>
            </w:r>
          </w:p>
        </w:tc>
        <w:tc>
          <w:tcPr>
            <w:tcW w:type="dxa" w:w="4608"/>
            <w:shd w:val="clear" w:color="auto" w:fill="FFFFFF"/>
            <w:tcMar>
              <w:top w:w="100" w:type="dxa"/>
              <w:bottom w:w="100" w:type="dxa"/>
              <w:left w:w="140" w:type="dxa"/>
              <w:right w:w="140" w:type="dxa"/>
            </w:tcMar>
          </w:tcPr>
          <w:p>
            <w:pPr>
              <w:spacing w:before="0" w:after="0"/>
              <w:jc w:val="left"/>
            </w:pPr>
            <w:r>
              <w:rPr>
                <w:rFonts w:ascii="Calibri" w:hAnsi="Calibri"/>
                <w:color w:val="1E293B"/>
                <w:sz w:val="19"/>
              </w:rPr>
              <w:t>Consolidated psychometric index of job, environment, and involvement.</w:t>
            </w:r>
          </w:p>
        </w:tc>
      </w:tr>
      <w:tr>
        <w:tc>
          <w:tcPr>
            <w:tcW w:type="dxa" w:w="2592"/>
            <w:shd w:val="clear" w:color="auto" w:fill="F8FAFC"/>
            <w:tcMar>
              <w:top w:w="100" w:type="dxa"/>
              <w:bottom w:w="100" w:type="dxa"/>
              <w:left w:w="140" w:type="dxa"/>
              <w:right w:w="140" w:type="dxa"/>
            </w:tcMar>
          </w:tcPr>
          <w:p>
            <w:pPr>
              <w:spacing w:before="0" w:after="0"/>
              <w:jc w:val="left"/>
            </w:pPr>
            <w:r>
              <w:rPr>
                <w:rFonts w:ascii="Calibri" w:hAnsi="Calibri"/>
                <w:color w:val="1E293B"/>
                <w:sz w:val="19"/>
              </w:rPr>
              <w:t>JobRole</w:t>
            </w:r>
          </w:p>
        </w:tc>
        <w:tc>
          <w:tcPr>
            <w:tcW w:type="dxa" w:w="2160"/>
            <w:shd w:val="clear" w:color="auto" w:fill="F8FAFC"/>
            <w:tcMar>
              <w:top w:w="100" w:type="dxa"/>
              <w:bottom w:w="100" w:type="dxa"/>
              <w:left w:w="140" w:type="dxa"/>
              <w:right w:w="140" w:type="dxa"/>
            </w:tcMar>
          </w:tcPr>
          <w:p>
            <w:pPr>
              <w:spacing w:before="0" w:after="0"/>
              <w:jc w:val="left"/>
            </w:pPr>
            <w:r>
              <w:rPr>
                <w:rFonts w:ascii="Calibri" w:hAnsi="Calibri"/>
                <w:color w:val="1E293B"/>
                <w:sz w:val="19"/>
              </w:rPr>
              <w:t>Categorical (5 levels)</w:t>
            </w:r>
          </w:p>
        </w:tc>
        <w:tc>
          <w:tcPr>
            <w:tcW w:type="dxa" w:w="4608"/>
            <w:shd w:val="clear" w:color="auto" w:fill="F8FAFC"/>
            <w:tcMar>
              <w:top w:w="100" w:type="dxa"/>
              <w:bottom w:w="100" w:type="dxa"/>
              <w:left w:w="140" w:type="dxa"/>
              <w:right w:w="140" w:type="dxa"/>
            </w:tcMar>
          </w:tcPr>
          <w:p>
            <w:pPr>
              <w:spacing w:before="0" w:after="0"/>
              <w:jc w:val="left"/>
            </w:pPr>
            <w:r>
              <w:rPr>
                <w:rFonts w:ascii="Calibri" w:hAnsi="Calibri"/>
                <w:color w:val="1E293B"/>
                <w:sz w:val="19"/>
              </w:rPr>
              <w:t>Hierarchy tier (Operator, Technician, Inspector, Engineer, Supervisor).</w:t>
            </w:r>
          </w:p>
        </w:tc>
      </w:tr>
      <w:tr>
        <w:tc>
          <w:tcPr>
            <w:tcW w:type="dxa" w:w="2592"/>
            <w:shd w:val="clear" w:color="auto" w:fill="FFFFFF"/>
            <w:tcMar>
              <w:top w:w="100" w:type="dxa"/>
              <w:bottom w:w="100" w:type="dxa"/>
              <w:left w:w="140" w:type="dxa"/>
              <w:right w:w="140" w:type="dxa"/>
            </w:tcMar>
          </w:tcPr>
          <w:p>
            <w:pPr>
              <w:spacing w:before="0" w:after="0"/>
              <w:jc w:val="left"/>
            </w:pPr>
            <w:r>
              <w:rPr>
                <w:rFonts w:ascii="Calibri" w:hAnsi="Calibri"/>
                <w:color w:val="1E293B"/>
                <w:sz w:val="19"/>
              </w:rPr>
              <w:t>JobInvolvement</w:t>
            </w:r>
          </w:p>
        </w:tc>
        <w:tc>
          <w:tcPr>
            <w:tcW w:type="dxa" w:w="2160"/>
            <w:shd w:val="clear" w:color="auto" w:fill="FFFFFF"/>
            <w:tcMar>
              <w:top w:w="100" w:type="dxa"/>
              <w:bottom w:w="100" w:type="dxa"/>
              <w:left w:w="140" w:type="dxa"/>
              <w:right w:w="140" w:type="dxa"/>
            </w:tcMar>
          </w:tcPr>
          <w:p>
            <w:pPr>
              <w:spacing w:before="0" w:after="0"/>
              <w:jc w:val="left"/>
            </w:pPr>
            <w:r>
              <w:rPr>
                <w:rFonts w:ascii="Calibri" w:hAnsi="Calibri"/>
                <w:color w:val="1E293B"/>
                <w:sz w:val="19"/>
              </w:rPr>
              <w:t>Numeric (Ordinal 1-4)</w:t>
            </w:r>
          </w:p>
        </w:tc>
        <w:tc>
          <w:tcPr>
            <w:tcW w:type="dxa" w:w="4608"/>
            <w:shd w:val="clear" w:color="auto" w:fill="FFFFFF"/>
            <w:tcMar>
              <w:top w:w="100" w:type="dxa"/>
              <w:bottom w:w="100" w:type="dxa"/>
              <w:left w:w="140" w:type="dxa"/>
              <w:right w:w="140" w:type="dxa"/>
            </w:tcMar>
          </w:tcPr>
          <w:p>
            <w:pPr>
              <w:spacing w:before="0" w:after="0"/>
              <w:jc w:val="left"/>
            </w:pPr>
            <w:r>
              <w:rPr>
                <w:rFonts w:ascii="Calibri" w:hAnsi="Calibri"/>
                <w:color w:val="1E293B"/>
                <w:sz w:val="19"/>
              </w:rPr>
              <w:t>Direct survey rating capturing personal investment in job tasks.</w:t>
            </w:r>
          </w:p>
        </w:tc>
      </w:tr>
    </w:tbl>
    <w:p>
      <w:pPr>
        <w:keepNext/>
        <w:spacing w:before="280" w:after="80"/>
      </w:pPr>
      <w:r>
        <w:rPr>
          <w:rFonts w:ascii="Calibri" w:hAnsi="Calibri"/>
          <w:b/>
          <w:color w:val="1B365D"/>
          <w:sz w:val="26"/>
        </w:rPr>
        <w:t>6.3 Final Feature Set</w:t>
      </w:r>
    </w:p>
    <w:p>
      <w:pPr>
        <w:spacing w:before="0" w:after="120" w:line="276" w:lineRule="auto"/>
      </w:pPr>
      <w:r>
        <w:rPr>
          <w:rFonts w:ascii="Calibri" w:hAnsi="Calibri"/>
          <w:color w:val="1E293B"/>
          <w:sz w:val="22"/>
        </w:rPr>
        <w:t>The resulting 15 features represent a lean, information-dense predictor space that eliminates noise while preserving all critical operational and behavioral signals. These 15 attributes form the uniform input space for all machine learning models and dashboard inference pipelines.</w:t>
      </w:r>
    </w:p>
    <w:p>
      <w:r>
        <w:br w:type="page"/>
      </w:r>
    </w:p>
    <w:p>
      <w:pPr>
        <w:keepNext/>
        <w:spacing w:before="360" w:after="120"/>
      </w:pPr>
      <w:r>
        <w:rPr>
          <w:rFonts w:ascii="Calibri" w:hAnsi="Calibri"/>
          <w:b/>
          <w:color w:val="1B365D"/>
          <w:sz w:val="32"/>
        </w:rPr>
        <w:t>7. Statistical Analysis</w:t>
      </w:r>
    </w:p>
    <w:p>
      <w:pPr>
        <w:spacing w:before="0" w:after="120" w:line="276" w:lineRule="auto"/>
      </w:pPr>
      <w:r>
        <w:rPr>
          <w:rFonts w:ascii="Calibri" w:hAnsi="Calibri"/>
          <w:color w:val="1E293B"/>
          <w:sz w:val="22"/>
        </w:rPr>
        <w:t>To establish rigorous empirical validity prior to machine learning modeling, formal statistical hypothesis tests were conducted across all continuous and categorical predictors.</w:t>
      </w:r>
    </w:p>
    <w:p>
      <w:pPr>
        <w:keepNext/>
        <w:spacing w:before="280" w:after="80"/>
      </w:pPr>
      <w:r>
        <w:rPr>
          <w:rFonts w:ascii="Calibri" w:hAnsi="Calibri"/>
          <w:b/>
          <w:color w:val="1B365D"/>
          <w:sz w:val="26"/>
        </w:rPr>
        <w:t>7.1 Wilcoxon Rank-Sum Analysis</w:t>
      </w:r>
    </w:p>
    <w:p>
      <w:pPr>
        <w:spacing w:before="0" w:after="120" w:line="276" w:lineRule="auto"/>
      </w:pPr>
      <w:r>
        <w:rPr>
          <w:rFonts w:ascii="Calibri" w:hAnsi="Calibri"/>
          <w:color w:val="1E293B"/>
          <w:sz w:val="22"/>
        </w:rPr>
        <w:t>Because several continuous features exhibit skewness or non-normal distribution profiles, the non-parametric Wilcoxon Rank-Sum test (Mann-Whitney U) was utilized to test the null hypothesis ($H_0$) that median values do not differ between retained and departed employees.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2880"/>
            <w:shd w:val="clear" w:color="auto" w:fill="1B365D"/>
            <w:tcMar>
              <w:top w:w="100" w:type="dxa"/>
              <w:bottom w:w="100" w:type="dxa"/>
              <w:left w:w="140" w:type="dxa"/>
              <w:right w:w="140" w:type="dxa"/>
            </w:tcMar>
          </w:tcPr>
          <w:p>
            <w:pPr>
              <w:spacing w:before="0" w:after="0"/>
              <w:jc w:val="left"/>
            </w:pPr>
            <w:r>
              <w:rPr>
                <w:rFonts w:ascii="Calibri" w:hAnsi="Calibri"/>
                <w:b/>
                <w:color w:val="FFFFFF"/>
                <w:sz w:val="20"/>
              </w:rPr>
              <w:t>Continuous Feature</w:t>
            </w:r>
          </w:p>
        </w:tc>
        <w:tc>
          <w:tcPr>
            <w:tcW w:type="dxa" w:w="2016"/>
            <w:shd w:val="clear" w:color="auto" w:fill="1B365D"/>
            <w:tcMar>
              <w:top w:w="100" w:type="dxa"/>
              <w:bottom w:w="100" w:type="dxa"/>
              <w:left w:w="140" w:type="dxa"/>
              <w:right w:w="140" w:type="dxa"/>
            </w:tcMar>
          </w:tcPr>
          <w:p>
            <w:pPr>
              <w:spacing w:before="0" w:after="0"/>
              <w:jc w:val="right"/>
            </w:pPr>
            <w:r>
              <w:rPr>
                <w:rFonts w:ascii="Calibri" w:hAnsi="Calibri"/>
                <w:b/>
                <w:color w:val="FFFFFF"/>
                <w:sz w:val="20"/>
              </w:rPr>
              <w:t>W-Statistic</w:t>
            </w:r>
          </w:p>
        </w:tc>
        <w:tc>
          <w:tcPr>
            <w:tcW w:type="dxa" w:w="1872"/>
            <w:shd w:val="clear" w:color="auto" w:fill="1B365D"/>
            <w:tcMar>
              <w:top w:w="100" w:type="dxa"/>
              <w:bottom w:w="100" w:type="dxa"/>
              <w:left w:w="140" w:type="dxa"/>
              <w:right w:w="140" w:type="dxa"/>
            </w:tcMar>
          </w:tcPr>
          <w:p>
            <w:pPr>
              <w:spacing w:before="0" w:after="0"/>
              <w:jc w:val="right"/>
            </w:pPr>
            <w:r>
              <w:rPr>
                <w:rFonts w:ascii="Calibri" w:hAnsi="Calibri"/>
                <w:b/>
                <w:color w:val="FFFFFF"/>
                <w:sz w:val="20"/>
              </w:rPr>
              <w:t>P-Value</w:t>
            </w:r>
          </w:p>
        </w:tc>
        <w:tc>
          <w:tcPr>
            <w:tcW w:type="dxa" w:w="2592"/>
            <w:shd w:val="clear" w:color="auto" w:fill="1B365D"/>
            <w:tcMar>
              <w:top w:w="100" w:type="dxa"/>
              <w:bottom w:w="100" w:type="dxa"/>
              <w:left w:w="140" w:type="dxa"/>
              <w:right w:w="140" w:type="dxa"/>
            </w:tcMar>
          </w:tcPr>
          <w:p>
            <w:pPr>
              <w:spacing w:before="0" w:after="0"/>
              <w:jc w:val="center"/>
            </w:pPr>
            <w:r>
              <w:rPr>
                <w:rFonts w:ascii="Calibri" w:hAnsi="Calibri"/>
                <w:b/>
                <w:color w:val="FFFFFF"/>
                <w:sz w:val="20"/>
              </w:rPr>
              <w:t>Statistical Significance (α = 0.05)</w:t>
            </w:r>
          </w:p>
        </w:tc>
      </w:tr>
      <w:tr>
        <w:tc>
          <w:tcPr>
            <w:tcW w:type="dxa" w:w="2880"/>
            <w:shd w:val="clear" w:color="auto" w:fill="FFFFFF"/>
            <w:tcMar>
              <w:top w:w="100" w:type="dxa"/>
              <w:bottom w:w="100" w:type="dxa"/>
              <w:left w:w="140" w:type="dxa"/>
              <w:right w:w="140" w:type="dxa"/>
            </w:tcMar>
          </w:tcPr>
          <w:p>
            <w:pPr>
              <w:spacing w:before="0" w:after="0"/>
              <w:jc w:val="left"/>
            </w:pPr>
            <w:r>
              <w:rPr>
                <w:rFonts w:ascii="Calibri" w:hAnsi="Calibri"/>
                <w:color w:val="1E293B"/>
                <w:sz w:val="19"/>
              </w:rPr>
              <w:t>EngagementScore</w:t>
            </w:r>
          </w:p>
        </w:tc>
        <w:tc>
          <w:tcPr>
            <w:tcW w:type="dxa" w:w="2016"/>
            <w:shd w:val="clear" w:color="auto" w:fill="FFFFFF"/>
            <w:tcMar>
              <w:top w:w="100" w:type="dxa"/>
              <w:bottom w:w="100" w:type="dxa"/>
              <w:left w:w="140" w:type="dxa"/>
              <w:right w:w="140" w:type="dxa"/>
            </w:tcMar>
          </w:tcPr>
          <w:p>
            <w:pPr>
              <w:spacing w:before="0" w:after="0"/>
              <w:jc w:val="right"/>
            </w:pPr>
            <w:r>
              <w:rPr>
                <w:rFonts w:ascii="Calibri" w:hAnsi="Calibri"/>
                <w:color w:val="1E293B"/>
                <w:sz w:val="19"/>
              </w:rPr>
              <w:t>229,466,352.5</w:t>
            </w:r>
          </w:p>
        </w:tc>
        <w:tc>
          <w:tcPr>
            <w:tcW w:type="dxa" w:w="1872"/>
            <w:shd w:val="clear" w:color="auto" w:fill="FFFFFF"/>
            <w:tcMar>
              <w:top w:w="100" w:type="dxa"/>
              <w:bottom w:w="100" w:type="dxa"/>
              <w:left w:w="140" w:type="dxa"/>
              <w:right w:w="140" w:type="dxa"/>
            </w:tcMar>
          </w:tcPr>
          <w:p>
            <w:pPr>
              <w:spacing w:before="0" w:after="0"/>
              <w:jc w:val="right"/>
            </w:pPr>
            <w:r>
              <w:rPr>
                <w:rFonts w:ascii="Calibri" w:hAnsi="Calibri"/>
                <w:color w:val="1E293B"/>
                <w:sz w:val="19"/>
              </w:rPr>
              <w:t>&lt; 2.22e-16</w:t>
            </w:r>
          </w:p>
        </w:tc>
        <w:tc>
          <w:tcPr>
            <w:tcW w:type="dxa" w:w="2592"/>
            <w:shd w:val="clear" w:color="auto" w:fill="FFFFFF"/>
            <w:tcMar>
              <w:top w:w="100" w:type="dxa"/>
              <w:bottom w:w="100" w:type="dxa"/>
              <w:left w:w="140" w:type="dxa"/>
              <w:right w:w="140" w:type="dxa"/>
            </w:tcMar>
          </w:tcPr>
          <w:p>
            <w:pPr>
              <w:spacing w:before="0" w:after="0"/>
              <w:jc w:val="center"/>
            </w:pPr>
            <w:r>
              <w:rPr>
                <w:rFonts w:ascii="Calibri" w:hAnsi="Calibri"/>
                <w:color w:val="1E293B"/>
                <w:sz w:val="19"/>
              </w:rPr>
              <w:t>Statistically Significant (p &lt; 0.001)</w:t>
            </w:r>
          </w:p>
        </w:tc>
      </w:tr>
      <w:tr>
        <w:tc>
          <w:tcPr>
            <w:tcW w:type="dxa" w:w="2880"/>
            <w:shd w:val="clear" w:color="auto" w:fill="F8FAFC"/>
            <w:tcMar>
              <w:top w:w="100" w:type="dxa"/>
              <w:bottom w:w="100" w:type="dxa"/>
              <w:left w:w="140" w:type="dxa"/>
              <w:right w:w="140" w:type="dxa"/>
            </w:tcMar>
          </w:tcPr>
          <w:p>
            <w:pPr>
              <w:spacing w:before="0" w:after="0"/>
              <w:jc w:val="left"/>
            </w:pPr>
            <w:r>
              <w:rPr>
                <w:rFonts w:ascii="Calibri" w:hAnsi="Calibri"/>
                <w:color w:val="1E293B"/>
                <w:sz w:val="19"/>
              </w:rPr>
              <w:t>SatisfactionIndex</w:t>
            </w:r>
          </w:p>
        </w:tc>
        <w:tc>
          <w:tcPr>
            <w:tcW w:type="dxa" w:w="2016"/>
            <w:shd w:val="clear" w:color="auto" w:fill="F8FAFC"/>
            <w:tcMar>
              <w:top w:w="100" w:type="dxa"/>
              <w:bottom w:w="100" w:type="dxa"/>
              <w:left w:w="140" w:type="dxa"/>
              <w:right w:w="140" w:type="dxa"/>
            </w:tcMar>
          </w:tcPr>
          <w:p>
            <w:pPr>
              <w:spacing w:before="0" w:after="0"/>
              <w:jc w:val="right"/>
            </w:pPr>
            <w:r>
              <w:rPr>
                <w:rFonts w:ascii="Calibri" w:hAnsi="Calibri"/>
                <w:color w:val="1E293B"/>
                <w:sz w:val="19"/>
              </w:rPr>
              <w:t>197,928,623.5</w:t>
            </w:r>
          </w:p>
        </w:tc>
        <w:tc>
          <w:tcPr>
            <w:tcW w:type="dxa" w:w="1872"/>
            <w:shd w:val="clear" w:color="auto" w:fill="F8FAFC"/>
            <w:tcMar>
              <w:top w:w="100" w:type="dxa"/>
              <w:bottom w:w="100" w:type="dxa"/>
              <w:left w:w="140" w:type="dxa"/>
              <w:right w:w="140" w:type="dxa"/>
            </w:tcMar>
          </w:tcPr>
          <w:p>
            <w:pPr>
              <w:spacing w:before="0" w:after="0"/>
              <w:jc w:val="right"/>
            </w:pPr>
            <w:r>
              <w:rPr>
                <w:rFonts w:ascii="Calibri" w:hAnsi="Calibri"/>
                <w:color w:val="1E293B"/>
                <w:sz w:val="19"/>
              </w:rPr>
              <w:t>&lt; 2.22e-16</w:t>
            </w:r>
          </w:p>
        </w:tc>
        <w:tc>
          <w:tcPr>
            <w:tcW w:type="dxa" w:w="2592"/>
            <w:shd w:val="clear" w:color="auto" w:fill="F8FAFC"/>
            <w:tcMar>
              <w:top w:w="100" w:type="dxa"/>
              <w:bottom w:w="100" w:type="dxa"/>
              <w:left w:w="140" w:type="dxa"/>
              <w:right w:w="140" w:type="dxa"/>
            </w:tcMar>
          </w:tcPr>
          <w:p>
            <w:pPr>
              <w:spacing w:before="0" w:after="0"/>
              <w:jc w:val="center"/>
            </w:pPr>
            <w:r>
              <w:rPr>
                <w:rFonts w:ascii="Calibri" w:hAnsi="Calibri"/>
                <w:color w:val="1E293B"/>
                <w:sz w:val="19"/>
              </w:rPr>
              <w:t>Statistically Significant (p &lt; 0.001)</w:t>
            </w:r>
          </w:p>
        </w:tc>
      </w:tr>
      <w:tr>
        <w:tc>
          <w:tcPr>
            <w:tcW w:type="dxa" w:w="2880"/>
            <w:shd w:val="clear" w:color="auto" w:fill="FFFFFF"/>
            <w:tcMar>
              <w:top w:w="100" w:type="dxa"/>
              <w:bottom w:w="100" w:type="dxa"/>
              <w:left w:w="140" w:type="dxa"/>
              <w:right w:w="140" w:type="dxa"/>
            </w:tcMar>
          </w:tcPr>
          <w:p>
            <w:pPr>
              <w:spacing w:before="0" w:after="0"/>
              <w:jc w:val="left"/>
            </w:pPr>
            <w:r>
              <w:rPr>
                <w:rFonts w:ascii="Calibri" w:hAnsi="Calibri"/>
                <w:color w:val="1E293B"/>
                <w:sz w:val="19"/>
              </w:rPr>
              <w:t>EnvironmentSatisfaction</w:t>
            </w:r>
          </w:p>
        </w:tc>
        <w:tc>
          <w:tcPr>
            <w:tcW w:type="dxa" w:w="2016"/>
            <w:shd w:val="clear" w:color="auto" w:fill="FFFFFF"/>
            <w:tcMar>
              <w:top w:w="100" w:type="dxa"/>
              <w:bottom w:w="100" w:type="dxa"/>
              <w:left w:w="140" w:type="dxa"/>
              <w:right w:w="140" w:type="dxa"/>
            </w:tcMar>
          </w:tcPr>
          <w:p>
            <w:pPr>
              <w:spacing w:before="0" w:after="0"/>
              <w:jc w:val="right"/>
            </w:pPr>
            <w:r>
              <w:rPr>
                <w:rFonts w:ascii="Calibri" w:hAnsi="Calibri"/>
                <w:color w:val="1E293B"/>
                <w:sz w:val="19"/>
              </w:rPr>
              <w:t>195,474,699.5</w:t>
            </w:r>
          </w:p>
        </w:tc>
        <w:tc>
          <w:tcPr>
            <w:tcW w:type="dxa" w:w="1872"/>
            <w:shd w:val="clear" w:color="auto" w:fill="FFFFFF"/>
            <w:tcMar>
              <w:top w:w="100" w:type="dxa"/>
              <w:bottom w:w="100" w:type="dxa"/>
              <w:left w:w="140" w:type="dxa"/>
              <w:right w:w="140" w:type="dxa"/>
            </w:tcMar>
          </w:tcPr>
          <w:p>
            <w:pPr>
              <w:spacing w:before="0" w:after="0"/>
              <w:jc w:val="right"/>
            </w:pPr>
            <w:r>
              <w:rPr>
                <w:rFonts w:ascii="Calibri" w:hAnsi="Calibri"/>
                <w:color w:val="1E293B"/>
                <w:sz w:val="19"/>
              </w:rPr>
              <w:t>&lt; 2.22e-16</w:t>
            </w:r>
          </w:p>
        </w:tc>
        <w:tc>
          <w:tcPr>
            <w:tcW w:type="dxa" w:w="2592"/>
            <w:shd w:val="clear" w:color="auto" w:fill="FFFFFF"/>
            <w:tcMar>
              <w:top w:w="100" w:type="dxa"/>
              <w:bottom w:w="100" w:type="dxa"/>
              <w:left w:w="140" w:type="dxa"/>
              <w:right w:w="140" w:type="dxa"/>
            </w:tcMar>
          </w:tcPr>
          <w:p>
            <w:pPr>
              <w:spacing w:before="0" w:after="0"/>
              <w:jc w:val="center"/>
            </w:pPr>
            <w:r>
              <w:rPr>
                <w:rFonts w:ascii="Calibri" w:hAnsi="Calibri"/>
                <w:color w:val="1E293B"/>
                <w:sz w:val="19"/>
              </w:rPr>
              <w:t>Statistically Significant (p &lt; 0.001)</w:t>
            </w:r>
          </w:p>
        </w:tc>
      </w:tr>
      <w:tr>
        <w:tc>
          <w:tcPr>
            <w:tcW w:type="dxa" w:w="2880"/>
            <w:shd w:val="clear" w:color="auto" w:fill="F8FAFC"/>
            <w:tcMar>
              <w:top w:w="100" w:type="dxa"/>
              <w:bottom w:w="100" w:type="dxa"/>
              <w:left w:w="140" w:type="dxa"/>
              <w:right w:w="140" w:type="dxa"/>
            </w:tcMar>
          </w:tcPr>
          <w:p>
            <w:pPr>
              <w:spacing w:before="0" w:after="0"/>
              <w:jc w:val="left"/>
            </w:pPr>
            <w:r>
              <w:rPr>
                <w:rFonts w:ascii="Calibri" w:hAnsi="Calibri"/>
                <w:color w:val="1E293B"/>
                <w:sz w:val="19"/>
              </w:rPr>
              <w:t>JobSatisfaction</w:t>
            </w:r>
          </w:p>
        </w:tc>
        <w:tc>
          <w:tcPr>
            <w:tcW w:type="dxa" w:w="2016"/>
            <w:shd w:val="clear" w:color="auto" w:fill="F8FAFC"/>
            <w:tcMar>
              <w:top w:w="100" w:type="dxa"/>
              <w:bottom w:w="100" w:type="dxa"/>
              <w:left w:w="140" w:type="dxa"/>
              <w:right w:w="140" w:type="dxa"/>
            </w:tcMar>
          </w:tcPr>
          <w:p>
            <w:pPr>
              <w:spacing w:before="0" w:after="0"/>
              <w:jc w:val="right"/>
            </w:pPr>
            <w:r>
              <w:rPr>
                <w:rFonts w:ascii="Calibri" w:hAnsi="Calibri"/>
                <w:color w:val="1E293B"/>
                <w:sz w:val="19"/>
              </w:rPr>
              <w:t>185,344,115.0</w:t>
            </w:r>
          </w:p>
        </w:tc>
        <w:tc>
          <w:tcPr>
            <w:tcW w:type="dxa" w:w="1872"/>
            <w:shd w:val="clear" w:color="auto" w:fill="F8FAFC"/>
            <w:tcMar>
              <w:top w:w="100" w:type="dxa"/>
              <w:bottom w:w="100" w:type="dxa"/>
              <w:left w:w="140" w:type="dxa"/>
              <w:right w:w="140" w:type="dxa"/>
            </w:tcMar>
          </w:tcPr>
          <w:p>
            <w:pPr>
              <w:spacing w:before="0" w:after="0"/>
              <w:jc w:val="right"/>
            </w:pPr>
            <w:r>
              <w:rPr>
                <w:rFonts w:ascii="Calibri" w:hAnsi="Calibri"/>
                <w:color w:val="1E293B"/>
                <w:sz w:val="19"/>
              </w:rPr>
              <w:t>&lt; 2.22e-16</w:t>
            </w:r>
          </w:p>
        </w:tc>
        <w:tc>
          <w:tcPr>
            <w:tcW w:type="dxa" w:w="2592"/>
            <w:shd w:val="clear" w:color="auto" w:fill="F8FAFC"/>
            <w:tcMar>
              <w:top w:w="100" w:type="dxa"/>
              <w:bottom w:w="100" w:type="dxa"/>
              <w:left w:w="140" w:type="dxa"/>
              <w:right w:w="140" w:type="dxa"/>
            </w:tcMar>
          </w:tcPr>
          <w:p>
            <w:pPr>
              <w:spacing w:before="0" w:after="0"/>
              <w:jc w:val="center"/>
            </w:pPr>
            <w:r>
              <w:rPr>
                <w:rFonts w:ascii="Calibri" w:hAnsi="Calibri"/>
                <w:color w:val="1E293B"/>
                <w:sz w:val="19"/>
              </w:rPr>
              <w:t>Statistically Significant (p &lt; 0.001)</w:t>
            </w:r>
          </w:p>
        </w:tc>
      </w:tr>
      <w:tr>
        <w:tc>
          <w:tcPr>
            <w:tcW w:type="dxa" w:w="2880"/>
            <w:shd w:val="clear" w:color="auto" w:fill="FFFFFF"/>
            <w:tcMar>
              <w:top w:w="100" w:type="dxa"/>
              <w:bottom w:w="100" w:type="dxa"/>
              <w:left w:w="140" w:type="dxa"/>
              <w:right w:w="140" w:type="dxa"/>
            </w:tcMar>
          </w:tcPr>
          <w:p>
            <w:pPr>
              <w:spacing w:before="0" w:after="0"/>
              <w:jc w:val="left"/>
            </w:pPr>
            <w:r>
              <w:rPr>
                <w:rFonts w:ascii="Calibri" w:hAnsi="Calibri"/>
                <w:color w:val="1E293B"/>
                <w:sz w:val="19"/>
              </w:rPr>
              <w:t>MonthlyIncome</w:t>
            </w:r>
          </w:p>
        </w:tc>
        <w:tc>
          <w:tcPr>
            <w:tcW w:type="dxa" w:w="2016"/>
            <w:shd w:val="clear" w:color="auto" w:fill="FFFFFF"/>
            <w:tcMar>
              <w:top w:w="100" w:type="dxa"/>
              <w:bottom w:w="100" w:type="dxa"/>
              <w:left w:w="140" w:type="dxa"/>
              <w:right w:w="140" w:type="dxa"/>
            </w:tcMar>
          </w:tcPr>
          <w:p>
            <w:pPr>
              <w:spacing w:before="0" w:after="0"/>
              <w:jc w:val="right"/>
            </w:pPr>
            <w:r>
              <w:rPr>
                <w:rFonts w:ascii="Calibri" w:hAnsi="Calibri"/>
                <w:color w:val="1E293B"/>
                <w:sz w:val="19"/>
              </w:rPr>
              <w:t>182,900,305.5</w:t>
            </w:r>
          </w:p>
        </w:tc>
        <w:tc>
          <w:tcPr>
            <w:tcW w:type="dxa" w:w="1872"/>
            <w:shd w:val="clear" w:color="auto" w:fill="FFFFFF"/>
            <w:tcMar>
              <w:top w:w="100" w:type="dxa"/>
              <w:bottom w:w="100" w:type="dxa"/>
              <w:left w:w="140" w:type="dxa"/>
              <w:right w:w="140" w:type="dxa"/>
            </w:tcMar>
          </w:tcPr>
          <w:p>
            <w:pPr>
              <w:spacing w:before="0" w:after="0"/>
              <w:jc w:val="right"/>
            </w:pPr>
            <w:r>
              <w:rPr>
                <w:rFonts w:ascii="Calibri" w:hAnsi="Calibri"/>
                <w:color w:val="1E293B"/>
                <w:sz w:val="19"/>
              </w:rPr>
              <w:t>9.77e-15</w:t>
            </w:r>
          </w:p>
        </w:tc>
        <w:tc>
          <w:tcPr>
            <w:tcW w:type="dxa" w:w="2592"/>
            <w:shd w:val="clear" w:color="auto" w:fill="FFFFFF"/>
            <w:tcMar>
              <w:top w:w="100" w:type="dxa"/>
              <w:bottom w:w="100" w:type="dxa"/>
              <w:left w:w="140" w:type="dxa"/>
              <w:right w:w="140" w:type="dxa"/>
            </w:tcMar>
          </w:tcPr>
          <w:p>
            <w:pPr>
              <w:spacing w:before="0" w:after="0"/>
              <w:jc w:val="center"/>
            </w:pPr>
            <w:r>
              <w:rPr>
                <w:rFonts w:ascii="Calibri" w:hAnsi="Calibri"/>
                <w:color w:val="1E293B"/>
                <w:sz w:val="19"/>
              </w:rPr>
              <w:t>Statistically Significant (p &lt; 0.001)</w:t>
            </w:r>
          </w:p>
        </w:tc>
      </w:tr>
      <w:tr>
        <w:tc>
          <w:tcPr>
            <w:tcW w:type="dxa" w:w="2880"/>
            <w:shd w:val="clear" w:color="auto" w:fill="F8FAFC"/>
            <w:tcMar>
              <w:top w:w="100" w:type="dxa"/>
              <w:bottom w:w="100" w:type="dxa"/>
              <w:left w:w="140" w:type="dxa"/>
              <w:right w:w="140" w:type="dxa"/>
            </w:tcMar>
          </w:tcPr>
          <w:p>
            <w:pPr>
              <w:spacing w:before="0" w:after="0"/>
              <w:jc w:val="left"/>
            </w:pPr>
            <w:r>
              <w:rPr>
                <w:rFonts w:ascii="Calibri" w:hAnsi="Calibri"/>
                <w:color w:val="1E293B"/>
                <w:sz w:val="19"/>
              </w:rPr>
              <w:t>JobInvolvement</w:t>
            </w:r>
          </w:p>
        </w:tc>
        <w:tc>
          <w:tcPr>
            <w:tcW w:type="dxa" w:w="2016"/>
            <w:shd w:val="clear" w:color="auto" w:fill="F8FAFC"/>
            <w:tcMar>
              <w:top w:w="100" w:type="dxa"/>
              <w:bottom w:w="100" w:type="dxa"/>
              <w:left w:w="140" w:type="dxa"/>
              <w:right w:w="140" w:type="dxa"/>
            </w:tcMar>
          </w:tcPr>
          <w:p>
            <w:pPr>
              <w:spacing w:before="0" w:after="0"/>
              <w:jc w:val="right"/>
            </w:pPr>
            <w:r>
              <w:rPr>
                <w:rFonts w:ascii="Calibri" w:hAnsi="Calibri"/>
                <w:color w:val="1E293B"/>
                <w:sz w:val="19"/>
              </w:rPr>
              <w:t>180,963,095.5</w:t>
            </w:r>
          </w:p>
        </w:tc>
        <w:tc>
          <w:tcPr>
            <w:tcW w:type="dxa" w:w="1872"/>
            <w:shd w:val="clear" w:color="auto" w:fill="F8FAFC"/>
            <w:tcMar>
              <w:top w:w="100" w:type="dxa"/>
              <w:bottom w:w="100" w:type="dxa"/>
              <w:left w:w="140" w:type="dxa"/>
              <w:right w:w="140" w:type="dxa"/>
            </w:tcMar>
          </w:tcPr>
          <w:p>
            <w:pPr>
              <w:spacing w:before="0" w:after="0"/>
              <w:jc w:val="right"/>
            </w:pPr>
            <w:r>
              <w:rPr>
                <w:rFonts w:ascii="Calibri" w:hAnsi="Calibri"/>
                <w:color w:val="1E293B"/>
                <w:sz w:val="19"/>
              </w:rPr>
              <w:t>1.22e-10</w:t>
            </w:r>
          </w:p>
        </w:tc>
        <w:tc>
          <w:tcPr>
            <w:tcW w:type="dxa" w:w="2592"/>
            <w:shd w:val="clear" w:color="auto" w:fill="F8FAFC"/>
            <w:tcMar>
              <w:top w:w="100" w:type="dxa"/>
              <w:bottom w:w="100" w:type="dxa"/>
              <w:left w:w="140" w:type="dxa"/>
              <w:right w:w="140" w:type="dxa"/>
            </w:tcMar>
          </w:tcPr>
          <w:p>
            <w:pPr>
              <w:spacing w:before="0" w:after="0"/>
              <w:jc w:val="center"/>
            </w:pPr>
            <w:r>
              <w:rPr>
                <w:rFonts w:ascii="Calibri" w:hAnsi="Calibri"/>
                <w:color w:val="1E293B"/>
                <w:sz w:val="19"/>
              </w:rPr>
              <w:t>Statistically Significant (p &lt; 0.001)</w:t>
            </w:r>
          </w:p>
        </w:tc>
      </w:tr>
      <w:tr>
        <w:tc>
          <w:tcPr>
            <w:tcW w:type="dxa" w:w="2880"/>
            <w:shd w:val="clear" w:color="auto" w:fill="FFFFFF"/>
            <w:tcMar>
              <w:top w:w="100" w:type="dxa"/>
              <w:bottom w:w="100" w:type="dxa"/>
              <w:left w:w="140" w:type="dxa"/>
              <w:right w:w="140" w:type="dxa"/>
            </w:tcMar>
          </w:tcPr>
          <w:p>
            <w:pPr>
              <w:spacing w:before="0" w:after="0"/>
              <w:jc w:val="left"/>
            </w:pPr>
            <w:r>
              <w:rPr>
                <w:rFonts w:ascii="Calibri" w:hAnsi="Calibri"/>
                <w:color w:val="1E293B"/>
                <w:sz w:val="19"/>
              </w:rPr>
              <w:t>YearsAtCompany</w:t>
            </w:r>
          </w:p>
        </w:tc>
        <w:tc>
          <w:tcPr>
            <w:tcW w:type="dxa" w:w="2016"/>
            <w:shd w:val="clear" w:color="auto" w:fill="FFFFFF"/>
            <w:tcMar>
              <w:top w:w="100" w:type="dxa"/>
              <w:bottom w:w="100" w:type="dxa"/>
              <w:left w:w="140" w:type="dxa"/>
              <w:right w:w="140" w:type="dxa"/>
            </w:tcMar>
          </w:tcPr>
          <w:p>
            <w:pPr>
              <w:spacing w:before="0" w:after="0"/>
              <w:jc w:val="right"/>
            </w:pPr>
            <w:r>
              <w:rPr>
                <w:rFonts w:ascii="Calibri" w:hAnsi="Calibri"/>
                <w:color w:val="1E293B"/>
                <w:sz w:val="19"/>
              </w:rPr>
              <w:t>176,829,143.0</w:t>
            </w:r>
          </w:p>
        </w:tc>
        <w:tc>
          <w:tcPr>
            <w:tcW w:type="dxa" w:w="1872"/>
            <w:shd w:val="clear" w:color="auto" w:fill="FFFFFF"/>
            <w:tcMar>
              <w:top w:w="100" w:type="dxa"/>
              <w:bottom w:w="100" w:type="dxa"/>
              <w:left w:w="140" w:type="dxa"/>
              <w:right w:w="140" w:type="dxa"/>
            </w:tcMar>
          </w:tcPr>
          <w:p>
            <w:pPr>
              <w:spacing w:before="0" w:after="0"/>
              <w:jc w:val="right"/>
            </w:pPr>
            <w:r>
              <w:rPr>
                <w:rFonts w:ascii="Calibri" w:hAnsi="Calibri"/>
                <w:color w:val="1E293B"/>
                <w:sz w:val="19"/>
              </w:rPr>
              <w:t>7.05e-03</w:t>
            </w:r>
          </w:p>
        </w:tc>
        <w:tc>
          <w:tcPr>
            <w:tcW w:type="dxa" w:w="2592"/>
            <w:shd w:val="clear" w:color="auto" w:fill="FFFFFF"/>
            <w:tcMar>
              <w:top w:w="100" w:type="dxa"/>
              <w:bottom w:w="100" w:type="dxa"/>
              <w:left w:w="140" w:type="dxa"/>
              <w:right w:w="140" w:type="dxa"/>
            </w:tcMar>
          </w:tcPr>
          <w:p>
            <w:pPr>
              <w:spacing w:before="0" w:after="0"/>
              <w:jc w:val="center"/>
            </w:pPr>
            <w:r>
              <w:rPr>
                <w:rFonts w:ascii="Calibri" w:hAnsi="Calibri"/>
                <w:color w:val="1E293B"/>
                <w:sz w:val="19"/>
              </w:rPr>
              <w:t>Statistically Significant (p &lt; 0.01)</w:t>
            </w:r>
          </w:p>
        </w:tc>
      </w:tr>
      <w:tr>
        <w:tc>
          <w:tcPr>
            <w:tcW w:type="dxa" w:w="2880"/>
            <w:shd w:val="clear" w:color="auto" w:fill="F8FAFC"/>
            <w:tcMar>
              <w:top w:w="100" w:type="dxa"/>
              <w:bottom w:w="100" w:type="dxa"/>
              <w:left w:w="140" w:type="dxa"/>
              <w:right w:w="140" w:type="dxa"/>
            </w:tcMar>
          </w:tcPr>
          <w:p>
            <w:pPr>
              <w:spacing w:before="0" w:after="0"/>
              <w:jc w:val="left"/>
            </w:pPr>
            <w:r>
              <w:rPr>
                <w:rFonts w:ascii="Calibri" w:hAnsi="Calibri"/>
                <w:color w:val="1E293B"/>
                <w:sz w:val="19"/>
              </w:rPr>
              <w:t>DistanceFromHome</w:t>
            </w:r>
          </w:p>
        </w:tc>
        <w:tc>
          <w:tcPr>
            <w:tcW w:type="dxa" w:w="2016"/>
            <w:shd w:val="clear" w:color="auto" w:fill="F8FAFC"/>
            <w:tcMar>
              <w:top w:w="100" w:type="dxa"/>
              <w:bottom w:w="100" w:type="dxa"/>
              <w:left w:w="140" w:type="dxa"/>
              <w:right w:w="140" w:type="dxa"/>
            </w:tcMar>
          </w:tcPr>
          <w:p>
            <w:pPr>
              <w:spacing w:before="0" w:after="0"/>
              <w:jc w:val="right"/>
            </w:pPr>
            <w:r>
              <w:rPr>
                <w:rFonts w:ascii="Calibri" w:hAnsi="Calibri"/>
                <w:color w:val="1E293B"/>
                <w:sz w:val="19"/>
              </w:rPr>
              <w:t>160,016,905.0</w:t>
            </w:r>
          </w:p>
        </w:tc>
        <w:tc>
          <w:tcPr>
            <w:tcW w:type="dxa" w:w="1872"/>
            <w:shd w:val="clear" w:color="auto" w:fill="F8FAFC"/>
            <w:tcMar>
              <w:top w:w="100" w:type="dxa"/>
              <w:bottom w:w="100" w:type="dxa"/>
              <w:left w:w="140" w:type="dxa"/>
              <w:right w:w="140" w:type="dxa"/>
            </w:tcMar>
          </w:tcPr>
          <w:p>
            <w:pPr>
              <w:spacing w:before="0" w:after="0"/>
              <w:jc w:val="right"/>
            </w:pPr>
            <w:r>
              <w:rPr>
                <w:rFonts w:ascii="Calibri" w:hAnsi="Calibri"/>
                <w:color w:val="1E293B"/>
                <w:sz w:val="19"/>
              </w:rPr>
              <w:t>1.53e-29</w:t>
            </w:r>
          </w:p>
        </w:tc>
        <w:tc>
          <w:tcPr>
            <w:tcW w:type="dxa" w:w="2592"/>
            <w:shd w:val="clear" w:color="auto" w:fill="F8FAFC"/>
            <w:tcMar>
              <w:top w:w="100" w:type="dxa"/>
              <w:bottom w:w="100" w:type="dxa"/>
              <w:left w:w="140" w:type="dxa"/>
              <w:right w:w="140" w:type="dxa"/>
            </w:tcMar>
          </w:tcPr>
          <w:p>
            <w:pPr>
              <w:spacing w:before="0" w:after="0"/>
              <w:jc w:val="center"/>
            </w:pPr>
            <w:r>
              <w:rPr>
                <w:rFonts w:ascii="Calibri" w:hAnsi="Calibri"/>
                <w:color w:val="1E293B"/>
                <w:sz w:val="19"/>
              </w:rPr>
              <w:t>Statistically Significant (p &lt; 0.001)</w:t>
            </w:r>
          </w:p>
        </w:tc>
      </w:tr>
      <w:tr>
        <w:tc>
          <w:tcPr>
            <w:tcW w:type="dxa" w:w="2880"/>
            <w:shd w:val="clear" w:color="auto" w:fill="FFFFFF"/>
            <w:tcMar>
              <w:top w:w="100" w:type="dxa"/>
              <w:bottom w:w="100" w:type="dxa"/>
              <w:left w:w="140" w:type="dxa"/>
              <w:right w:w="140" w:type="dxa"/>
            </w:tcMar>
          </w:tcPr>
          <w:p>
            <w:pPr>
              <w:spacing w:before="0" w:after="0"/>
              <w:jc w:val="left"/>
            </w:pPr>
            <w:r>
              <w:rPr>
                <w:rFonts w:ascii="Calibri" w:hAnsi="Calibri"/>
                <w:color w:val="1E293B"/>
                <w:sz w:val="19"/>
              </w:rPr>
              <w:t>MonthlyOvertimeHours</w:t>
            </w:r>
          </w:p>
        </w:tc>
        <w:tc>
          <w:tcPr>
            <w:tcW w:type="dxa" w:w="2016"/>
            <w:shd w:val="clear" w:color="auto" w:fill="FFFFFF"/>
            <w:tcMar>
              <w:top w:w="100" w:type="dxa"/>
              <w:bottom w:w="100" w:type="dxa"/>
              <w:left w:w="140" w:type="dxa"/>
              <w:right w:w="140" w:type="dxa"/>
            </w:tcMar>
          </w:tcPr>
          <w:p>
            <w:pPr>
              <w:spacing w:before="0" w:after="0"/>
              <w:jc w:val="right"/>
            </w:pPr>
            <w:r>
              <w:rPr>
                <w:rFonts w:ascii="Calibri" w:hAnsi="Calibri"/>
                <w:color w:val="1E293B"/>
                <w:sz w:val="19"/>
              </w:rPr>
              <w:t>152,468,614.5</w:t>
            </w:r>
          </w:p>
        </w:tc>
        <w:tc>
          <w:tcPr>
            <w:tcW w:type="dxa" w:w="1872"/>
            <w:shd w:val="clear" w:color="auto" w:fill="FFFFFF"/>
            <w:tcMar>
              <w:top w:w="100" w:type="dxa"/>
              <w:bottom w:w="100" w:type="dxa"/>
              <w:left w:w="140" w:type="dxa"/>
              <w:right w:w="140" w:type="dxa"/>
            </w:tcMar>
          </w:tcPr>
          <w:p>
            <w:pPr>
              <w:spacing w:before="0" w:after="0"/>
              <w:jc w:val="right"/>
            </w:pPr>
            <w:r>
              <w:rPr>
                <w:rFonts w:ascii="Calibri" w:hAnsi="Calibri"/>
                <w:color w:val="1E293B"/>
                <w:sz w:val="19"/>
              </w:rPr>
              <w:t>4.51e-69</w:t>
            </w:r>
          </w:p>
        </w:tc>
        <w:tc>
          <w:tcPr>
            <w:tcW w:type="dxa" w:w="2592"/>
            <w:shd w:val="clear" w:color="auto" w:fill="FFFFFF"/>
            <w:tcMar>
              <w:top w:w="100" w:type="dxa"/>
              <w:bottom w:w="100" w:type="dxa"/>
              <w:left w:w="140" w:type="dxa"/>
              <w:right w:w="140" w:type="dxa"/>
            </w:tcMar>
          </w:tcPr>
          <w:p>
            <w:pPr>
              <w:spacing w:before="0" w:after="0"/>
              <w:jc w:val="center"/>
            </w:pPr>
            <w:r>
              <w:rPr>
                <w:rFonts w:ascii="Calibri" w:hAnsi="Calibri"/>
                <w:color w:val="1E293B"/>
                <w:sz w:val="19"/>
              </w:rPr>
              <w:t>Statistically Significant (p &lt; 0.001)</w:t>
            </w:r>
          </w:p>
        </w:tc>
      </w:tr>
    </w:tbl>
    <w:p>
      <w:pPr>
        <w:jc w:val="center"/>
      </w:pPr>
      <w:r>
        <w:rPr>
          <w:i/>
          <w:color w:val="1B365D"/>
          <w:sz w:val="18"/>
        </w:rPr>
        <w:t>Table 2. Non-Parametric Wilcoxon Rank-Sum Test Results on Continuous Predictors</w:t>
      </w:r>
    </w:p>
    <w:p>
      <w:pPr>
        <w:keepNext/>
        <w:spacing w:before="280" w:after="80"/>
      </w:pPr>
      <w:r>
        <w:rPr>
          <w:rFonts w:ascii="Calibri" w:hAnsi="Calibri"/>
          <w:b/>
          <w:color w:val="1B365D"/>
          <w:sz w:val="26"/>
        </w:rPr>
        <w:t>7.2 Chi-Square Analysis</w:t>
      </w:r>
    </w:p>
    <w:p>
      <w:pPr>
        <w:spacing w:before="0" w:after="120" w:line="276" w:lineRule="auto"/>
      </w:pPr>
      <w:r>
        <w:rPr>
          <w:rFonts w:ascii="Calibri" w:hAnsi="Calibri"/>
          <w:color w:val="1E293B"/>
          <w:sz w:val="22"/>
        </w:rPr>
        <w:t>Pearson's Chi-Square tests of independence were executed for all categorical features and engineered indicators to test the null hypothesis of independence against `AttritionFlag`.</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c>
          <w:tcPr>
            <w:tcW w:type="dxa" w:w="2592"/>
            <w:shd w:val="clear" w:color="auto" w:fill="1B365D"/>
            <w:tcMar>
              <w:top w:w="100" w:type="dxa"/>
              <w:bottom w:w="100" w:type="dxa"/>
              <w:left w:w="140" w:type="dxa"/>
              <w:right w:w="140" w:type="dxa"/>
            </w:tcMar>
          </w:tcPr>
          <w:p>
            <w:pPr>
              <w:spacing w:before="0" w:after="0"/>
              <w:jc w:val="left"/>
            </w:pPr>
            <w:r>
              <w:rPr>
                <w:rFonts w:ascii="Calibri" w:hAnsi="Calibri"/>
                <w:b/>
                <w:color w:val="FFFFFF"/>
                <w:sz w:val="20"/>
              </w:rPr>
              <w:t>Categorical Feature</w:t>
            </w:r>
          </w:p>
        </w:tc>
        <w:tc>
          <w:tcPr>
            <w:tcW w:type="dxa" w:w="1728"/>
            <w:shd w:val="clear" w:color="auto" w:fill="1B365D"/>
            <w:tcMar>
              <w:top w:w="100" w:type="dxa"/>
              <w:bottom w:w="100" w:type="dxa"/>
              <w:left w:w="140" w:type="dxa"/>
              <w:right w:w="140" w:type="dxa"/>
            </w:tcMar>
          </w:tcPr>
          <w:p>
            <w:pPr>
              <w:spacing w:before="0" w:after="0"/>
              <w:jc w:val="right"/>
            </w:pPr>
            <w:r>
              <w:rPr>
                <w:rFonts w:ascii="Calibri" w:hAnsi="Calibri"/>
                <w:b/>
                <w:color w:val="FFFFFF"/>
                <w:sz w:val="20"/>
              </w:rPr>
              <w:t>Chi-Square (χ²)</w:t>
            </w:r>
          </w:p>
        </w:tc>
        <w:tc>
          <w:tcPr>
            <w:tcW w:type="dxa" w:w="864"/>
            <w:shd w:val="clear" w:color="auto" w:fill="1B365D"/>
            <w:tcMar>
              <w:top w:w="100" w:type="dxa"/>
              <w:bottom w:w="100" w:type="dxa"/>
              <w:left w:w="140" w:type="dxa"/>
              <w:right w:w="140" w:type="dxa"/>
            </w:tcMar>
          </w:tcPr>
          <w:p>
            <w:pPr>
              <w:spacing w:before="0" w:after="0"/>
              <w:jc w:val="center"/>
            </w:pPr>
            <w:r>
              <w:rPr>
                <w:rFonts w:ascii="Calibri" w:hAnsi="Calibri"/>
                <w:b/>
                <w:color w:val="FFFFFF"/>
                <w:sz w:val="20"/>
              </w:rPr>
              <w:t>DF</w:t>
            </w:r>
          </w:p>
        </w:tc>
        <w:tc>
          <w:tcPr>
            <w:tcW w:type="dxa" w:w="1728"/>
            <w:shd w:val="clear" w:color="auto" w:fill="1B365D"/>
            <w:tcMar>
              <w:top w:w="100" w:type="dxa"/>
              <w:bottom w:w="100" w:type="dxa"/>
              <w:left w:w="140" w:type="dxa"/>
              <w:right w:w="140" w:type="dxa"/>
            </w:tcMar>
          </w:tcPr>
          <w:p>
            <w:pPr>
              <w:spacing w:before="0" w:after="0"/>
              <w:jc w:val="right"/>
            </w:pPr>
            <w:r>
              <w:rPr>
                <w:rFonts w:ascii="Calibri" w:hAnsi="Calibri"/>
                <w:b/>
                <w:color w:val="FFFFFF"/>
                <w:sz w:val="20"/>
              </w:rPr>
              <w:t>P-Value</w:t>
            </w:r>
          </w:p>
        </w:tc>
        <w:tc>
          <w:tcPr>
            <w:tcW w:type="dxa" w:w="2448"/>
            <w:shd w:val="clear" w:color="auto" w:fill="1B365D"/>
            <w:tcMar>
              <w:top w:w="100" w:type="dxa"/>
              <w:bottom w:w="100" w:type="dxa"/>
              <w:left w:w="140" w:type="dxa"/>
              <w:right w:w="140" w:type="dxa"/>
            </w:tcMar>
          </w:tcPr>
          <w:p>
            <w:pPr>
              <w:spacing w:before="0" w:after="0"/>
              <w:jc w:val="center"/>
            </w:pPr>
            <w:r>
              <w:rPr>
                <w:rFonts w:ascii="Calibri" w:hAnsi="Calibri"/>
                <w:b/>
                <w:color w:val="FFFFFF"/>
                <w:sz w:val="20"/>
              </w:rPr>
              <w:t>Significance (α = 0.05)</w:t>
            </w:r>
          </w:p>
        </w:tc>
      </w:tr>
      <w:tr>
        <w:tc>
          <w:tcPr>
            <w:tcW w:type="dxa" w:w="2592"/>
            <w:shd w:val="clear" w:color="auto" w:fill="FFFFFF"/>
            <w:tcMar>
              <w:top w:w="100" w:type="dxa"/>
              <w:bottom w:w="100" w:type="dxa"/>
              <w:left w:w="140" w:type="dxa"/>
              <w:right w:w="140" w:type="dxa"/>
            </w:tcMar>
          </w:tcPr>
          <w:p>
            <w:pPr>
              <w:spacing w:before="0" w:after="0"/>
              <w:jc w:val="left"/>
            </w:pPr>
            <w:r>
              <w:rPr>
                <w:rFonts w:ascii="Calibri" w:hAnsi="Calibri"/>
                <w:color w:val="1E293B"/>
                <w:sz w:val="19"/>
              </w:rPr>
              <w:t>EngagementLevel</w:t>
            </w:r>
          </w:p>
        </w:tc>
        <w:tc>
          <w:tcPr>
            <w:tcW w:type="dxa" w:w="1728"/>
            <w:shd w:val="clear" w:color="auto" w:fill="FFFFFF"/>
            <w:tcMar>
              <w:top w:w="100" w:type="dxa"/>
              <w:bottom w:w="100" w:type="dxa"/>
              <w:left w:w="140" w:type="dxa"/>
              <w:right w:w="140" w:type="dxa"/>
            </w:tcMar>
          </w:tcPr>
          <w:p>
            <w:pPr>
              <w:spacing w:before="0" w:after="0"/>
              <w:jc w:val="right"/>
            </w:pPr>
            <w:r>
              <w:rPr>
                <w:rFonts w:ascii="Calibri" w:hAnsi="Calibri"/>
                <w:color w:val="1E293B"/>
                <w:sz w:val="19"/>
              </w:rPr>
              <w:t>1870.27</w:t>
            </w:r>
          </w:p>
        </w:tc>
        <w:tc>
          <w:tcPr>
            <w:tcW w:type="dxa" w:w="864"/>
            <w:shd w:val="clear" w:color="auto" w:fill="FFFFFF"/>
            <w:tcMar>
              <w:top w:w="100" w:type="dxa"/>
              <w:bottom w:w="100" w:type="dxa"/>
              <w:left w:w="140" w:type="dxa"/>
              <w:right w:w="140" w:type="dxa"/>
            </w:tcMar>
          </w:tcPr>
          <w:p>
            <w:pPr>
              <w:spacing w:before="0" w:after="0"/>
              <w:jc w:val="center"/>
            </w:pPr>
            <w:r>
              <w:rPr>
                <w:rFonts w:ascii="Calibri" w:hAnsi="Calibri"/>
                <w:color w:val="1E293B"/>
                <w:sz w:val="19"/>
              </w:rPr>
              <w:t>2</w:t>
            </w:r>
          </w:p>
        </w:tc>
        <w:tc>
          <w:tcPr>
            <w:tcW w:type="dxa" w:w="1728"/>
            <w:shd w:val="clear" w:color="auto" w:fill="FFFFFF"/>
            <w:tcMar>
              <w:top w:w="100" w:type="dxa"/>
              <w:bottom w:w="100" w:type="dxa"/>
              <w:left w:w="140" w:type="dxa"/>
              <w:right w:w="140" w:type="dxa"/>
            </w:tcMar>
          </w:tcPr>
          <w:p>
            <w:pPr>
              <w:spacing w:before="0" w:after="0"/>
              <w:jc w:val="right"/>
            </w:pPr>
            <w:r>
              <w:rPr>
                <w:rFonts w:ascii="Calibri" w:hAnsi="Calibri"/>
                <w:color w:val="1E293B"/>
                <w:sz w:val="19"/>
              </w:rPr>
              <w:t>&lt; 2.22e-16</w:t>
            </w:r>
          </w:p>
        </w:tc>
        <w:tc>
          <w:tcPr>
            <w:tcW w:type="dxa" w:w="2448"/>
            <w:shd w:val="clear" w:color="auto" w:fill="FFFFFF"/>
            <w:tcMar>
              <w:top w:w="100" w:type="dxa"/>
              <w:bottom w:w="100" w:type="dxa"/>
              <w:left w:w="140" w:type="dxa"/>
              <w:right w:w="140" w:type="dxa"/>
            </w:tcMar>
          </w:tcPr>
          <w:p>
            <w:pPr>
              <w:spacing w:before="0" w:after="0"/>
              <w:jc w:val="center"/>
            </w:pPr>
            <w:r>
              <w:rPr>
                <w:rFonts w:ascii="Calibri" w:hAnsi="Calibri"/>
                <w:color w:val="1E293B"/>
                <w:sz w:val="19"/>
              </w:rPr>
              <w:t>Significant (p &lt; 0.001)</w:t>
            </w:r>
          </w:p>
        </w:tc>
      </w:tr>
      <w:tr>
        <w:tc>
          <w:tcPr>
            <w:tcW w:type="dxa" w:w="2592"/>
            <w:shd w:val="clear" w:color="auto" w:fill="F8FAFC"/>
            <w:tcMar>
              <w:top w:w="100" w:type="dxa"/>
              <w:bottom w:w="100" w:type="dxa"/>
              <w:left w:w="140" w:type="dxa"/>
              <w:right w:w="140" w:type="dxa"/>
            </w:tcMar>
          </w:tcPr>
          <w:p>
            <w:pPr>
              <w:spacing w:before="0" w:after="0"/>
              <w:jc w:val="left"/>
            </w:pPr>
            <w:r>
              <w:rPr>
                <w:rFonts w:ascii="Calibri" w:hAnsi="Calibri"/>
                <w:color w:val="1E293B"/>
                <w:sz w:val="19"/>
              </w:rPr>
              <w:t>OvertimeLevel</w:t>
            </w:r>
          </w:p>
        </w:tc>
        <w:tc>
          <w:tcPr>
            <w:tcW w:type="dxa" w:w="1728"/>
            <w:shd w:val="clear" w:color="auto" w:fill="F8FAFC"/>
            <w:tcMar>
              <w:top w:w="100" w:type="dxa"/>
              <w:bottom w:w="100" w:type="dxa"/>
              <w:left w:w="140" w:type="dxa"/>
              <w:right w:w="140" w:type="dxa"/>
            </w:tcMar>
          </w:tcPr>
          <w:p>
            <w:pPr>
              <w:spacing w:before="0" w:after="0"/>
              <w:jc w:val="right"/>
            </w:pPr>
            <w:r>
              <w:rPr>
                <w:rFonts w:ascii="Calibri" w:hAnsi="Calibri"/>
                <w:color w:val="1E293B"/>
                <w:sz w:val="19"/>
              </w:rPr>
              <w:t>273.58</w:t>
            </w:r>
          </w:p>
        </w:tc>
        <w:tc>
          <w:tcPr>
            <w:tcW w:type="dxa" w:w="864"/>
            <w:shd w:val="clear" w:color="auto" w:fill="F8FAFC"/>
            <w:tcMar>
              <w:top w:w="100" w:type="dxa"/>
              <w:bottom w:w="100" w:type="dxa"/>
              <w:left w:w="140" w:type="dxa"/>
              <w:right w:w="140" w:type="dxa"/>
            </w:tcMar>
          </w:tcPr>
          <w:p>
            <w:pPr>
              <w:spacing w:before="0" w:after="0"/>
              <w:jc w:val="center"/>
            </w:pPr>
            <w:r>
              <w:rPr>
                <w:rFonts w:ascii="Calibri" w:hAnsi="Calibri"/>
                <w:color w:val="1E293B"/>
                <w:sz w:val="19"/>
              </w:rPr>
              <w:t>2</w:t>
            </w:r>
          </w:p>
        </w:tc>
        <w:tc>
          <w:tcPr>
            <w:tcW w:type="dxa" w:w="1728"/>
            <w:shd w:val="clear" w:color="auto" w:fill="F8FAFC"/>
            <w:tcMar>
              <w:top w:w="100" w:type="dxa"/>
              <w:bottom w:w="100" w:type="dxa"/>
              <w:left w:w="140" w:type="dxa"/>
              <w:right w:w="140" w:type="dxa"/>
            </w:tcMar>
          </w:tcPr>
          <w:p>
            <w:pPr>
              <w:spacing w:before="0" w:after="0"/>
              <w:jc w:val="right"/>
            </w:pPr>
            <w:r>
              <w:rPr>
                <w:rFonts w:ascii="Calibri" w:hAnsi="Calibri"/>
                <w:color w:val="1E293B"/>
                <w:sz w:val="19"/>
              </w:rPr>
              <w:t>3.92e-60</w:t>
            </w:r>
          </w:p>
        </w:tc>
        <w:tc>
          <w:tcPr>
            <w:tcW w:type="dxa" w:w="2448"/>
            <w:shd w:val="clear" w:color="auto" w:fill="F8FAFC"/>
            <w:tcMar>
              <w:top w:w="100" w:type="dxa"/>
              <w:bottom w:w="100" w:type="dxa"/>
              <w:left w:w="140" w:type="dxa"/>
              <w:right w:w="140" w:type="dxa"/>
            </w:tcMar>
          </w:tcPr>
          <w:p>
            <w:pPr>
              <w:spacing w:before="0" w:after="0"/>
              <w:jc w:val="center"/>
            </w:pPr>
            <w:r>
              <w:rPr>
                <w:rFonts w:ascii="Calibri" w:hAnsi="Calibri"/>
                <w:color w:val="1E293B"/>
                <w:sz w:val="19"/>
              </w:rPr>
              <w:t>Significant (p &lt; 0.001)</w:t>
            </w:r>
          </w:p>
        </w:tc>
      </w:tr>
      <w:tr>
        <w:tc>
          <w:tcPr>
            <w:tcW w:type="dxa" w:w="2592"/>
            <w:shd w:val="clear" w:color="auto" w:fill="FFFFFF"/>
            <w:tcMar>
              <w:top w:w="100" w:type="dxa"/>
              <w:bottom w:w="100" w:type="dxa"/>
              <w:left w:w="140" w:type="dxa"/>
              <w:right w:w="140" w:type="dxa"/>
            </w:tcMar>
          </w:tcPr>
          <w:p>
            <w:pPr>
              <w:spacing w:before="0" w:after="0"/>
              <w:jc w:val="left"/>
            </w:pPr>
            <w:r>
              <w:rPr>
                <w:rFonts w:ascii="Calibri" w:hAnsi="Calibri"/>
                <w:color w:val="1E293B"/>
                <w:sz w:val="19"/>
              </w:rPr>
              <w:t>DistanceCategory</w:t>
            </w:r>
          </w:p>
        </w:tc>
        <w:tc>
          <w:tcPr>
            <w:tcW w:type="dxa" w:w="1728"/>
            <w:shd w:val="clear" w:color="auto" w:fill="FFFFFF"/>
            <w:tcMar>
              <w:top w:w="100" w:type="dxa"/>
              <w:bottom w:w="100" w:type="dxa"/>
              <w:left w:w="140" w:type="dxa"/>
              <w:right w:w="140" w:type="dxa"/>
            </w:tcMar>
          </w:tcPr>
          <w:p>
            <w:pPr>
              <w:spacing w:before="0" w:after="0"/>
              <w:jc w:val="right"/>
            </w:pPr>
            <w:r>
              <w:rPr>
                <w:rFonts w:ascii="Calibri" w:hAnsi="Calibri"/>
                <w:color w:val="1E293B"/>
                <w:sz w:val="19"/>
              </w:rPr>
              <w:t>94.29</w:t>
            </w:r>
          </w:p>
        </w:tc>
        <w:tc>
          <w:tcPr>
            <w:tcW w:type="dxa" w:w="864"/>
            <w:shd w:val="clear" w:color="auto" w:fill="FFFFFF"/>
            <w:tcMar>
              <w:top w:w="100" w:type="dxa"/>
              <w:bottom w:w="100" w:type="dxa"/>
              <w:left w:w="140" w:type="dxa"/>
              <w:right w:w="140" w:type="dxa"/>
            </w:tcMar>
          </w:tcPr>
          <w:p>
            <w:pPr>
              <w:spacing w:before="0" w:after="0"/>
              <w:jc w:val="center"/>
            </w:pPr>
            <w:r>
              <w:rPr>
                <w:rFonts w:ascii="Calibri" w:hAnsi="Calibri"/>
                <w:color w:val="1E293B"/>
                <w:sz w:val="19"/>
              </w:rPr>
              <w:t>2</w:t>
            </w:r>
          </w:p>
        </w:tc>
        <w:tc>
          <w:tcPr>
            <w:tcW w:type="dxa" w:w="1728"/>
            <w:shd w:val="clear" w:color="auto" w:fill="FFFFFF"/>
            <w:tcMar>
              <w:top w:w="100" w:type="dxa"/>
              <w:bottom w:w="100" w:type="dxa"/>
              <w:left w:w="140" w:type="dxa"/>
              <w:right w:w="140" w:type="dxa"/>
            </w:tcMar>
          </w:tcPr>
          <w:p>
            <w:pPr>
              <w:spacing w:before="0" w:after="0"/>
              <w:jc w:val="right"/>
            </w:pPr>
            <w:r>
              <w:rPr>
                <w:rFonts w:ascii="Calibri" w:hAnsi="Calibri"/>
                <w:color w:val="1E293B"/>
                <w:sz w:val="19"/>
              </w:rPr>
              <w:t>3.36e-21</w:t>
            </w:r>
          </w:p>
        </w:tc>
        <w:tc>
          <w:tcPr>
            <w:tcW w:type="dxa" w:w="2448"/>
            <w:shd w:val="clear" w:color="auto" w:fill="FFFFFF"/>
            <w:tcMar>
              <w:top w:w="100" w:type="dxa"/>
              <w:bottom w:w="100" w:type="dxa"/>
              <w:left w:w="140" w:type="dxa"/>
              <w:right w:w="140" w:type="dxa"/>
            </w:tcMar>
          </w:tcPr>
          <w:p>
            <w:pPr>
              <w:spacing w:before="0" w:after="0"/>
              <w:jc w:val="center"/>
            </w:pPr>
            <w:r>
              <w:rPr>
                <w:rFonts w:ascii="Calibri" w:hAnsi="Calibri"/>
                <w:color w:val="1E293B"/>
                <w:sz w:val="19"/>
              </w:rPr>
              <w:t>Significant (p &lt; 0.001)</w:t>
            </w:r>
          </w:p>
        </w:tc>
      </w:tr>
      <w:tr>
        <w:tc>
          <w:tcPr>
            <w:tcW w:type="dxa" w:w="2592"/>
            <w:shd w:val="clear" w:color="auto" w:fill="F8FAFC"/>
            <w:tcMar>
              <w:top w:w="100" w:type="dxa"/>
              <w:bottom w:w="100" w:type="dxa"/>
              <w:left w:w="140" w:type="dxa"/>
              <w:right w:w="140" w:type="dxa"/>
            </w:tcMar>
          </w:tcPr>
          <w:p>
            <w:pPr>
              <w:spacing w:before="0" w:after="0"/>
              <w:jc w:val="left"/>
            </w:pPr>
            <w:r>
              <w:rPr>
                <w:rFonts w:ascii="Calibri" w:hAnsi="Calibri"/>
                <w:color w:val="1E293B"/>
                <w:sz w:val="19"/>
              </w:rPr>
              <w:t>JobRole</w:t>
            </w:r>
          </w:p>
        </w:tc>
        <w:tc>
          <w:tcPr>
            <w:tcW w:type="dxa" w:w="1728"/>
            <w:shd w:val="clear" w:color="auto" w:fill="F8FAFC"/>
            <w:tcMar>
              <w:top w:w="100" w:type="dxa"/>
              <w:bottom w:w="100" w:type="dxa"/>
              <w:left w:w="140" w:type="dxa"/>
              <w:right w:w="140" w:type="dxa"/>
            </w:tcMar>
          </w:tcPr>
          <w:p>
            <w:pPr>
              <w:spacing w:before="0" w:after="0"/>
              <w:jc w:val="right"/>
            </w:pPr>
            <w:r>
              <w:rPr>
                <w:rFonts w:ascii="Calibri" w:hAnsi="Calibri"/>
                <w:color w:val="1E293B"/>
                <w:sz w:val="19"/>
              </w:rPr>
              <w:t>26.16</w:t>
            </w:r>
          </w:p>
        </w:tc>
        <w:tc>
          <w:tcPr>
            <w:tcW w:type="dxa" w:w="864"/>
            <w:shd w:val="clear" w:color="auto" w:fill="F8FAFC"/>
            <w:tcMar>
              <w:top w:w="100" w:type="dxa"/>
              <w:bottom w:w="100" w:type="dxa"/>
              <w:left w:w="140" w:type="dxa"/>
              <w:right w:w="140" w:type="dxa"/>
            </w:tcMar>
          </w:tcPr>
          <w:p>
            <w:pPr>
              <w:spacing w:before="0" w:after="0"/>
              <w:jc w:val="center"/>
            </w:pPr>
            <w:r>
              <w:rPr>
                <w:rFonts w:ascii="Calibri" w:hAnsi="Calibri"/>
                <w:color w:val="1E293B"/>
                <w:sz w:val="19"/>
              </w:rPr>
              <w:t>4</w:t>
            </w:r>
          </w:p>
        </w:tc>
        <w:tc>
          <w:tcPr>
            <w:tcW w:type="dxa" w:w="1728"/>
            <w:shd w:val="clear" w:color="auto" w:fill="F8FAFC"/>
            <w:tcMar>
              <w:top w:w="100" w:type="dxa"/>
              <w:bottom w:w="100" w:type="dxa"/>
              <w:left w:w="140" w:type="dxa"/>
              <w:right w:w="140" w:type="dxa"/>
            </w:tcMar>
          </w:tcPr>
          <w:p>
            <w:pPr>
              <w:spacing w:before="0" w:after="0"/>
              <w:jc w:val="right"/>
            </w:pPr>
            <w:r>
              <w:rPr>
                <w:rFonts w:ascii="Calibri" w:hAnsi="Calibri"/>
                <w:color w:val="1E293B"/>
                <w:sz w:val="19"/>
              </w:rPr>
              <w:t>2.93e-05</w:t>
            </w:r>
          </w:p>
        </w:tc>
        <w:tc>
          <w:tcPr>
            <w:tcW w:type="dxa" w:w="2448"/>
            <w:shd w:val="clear" w:color="auto" w:fill="F8FAFC"/>
            <w:tcMar>
              <w:top w:w="100" w:type="dxa"/>
              <w:bottom w:w="100" w:type="dxa"/>
              <w:left w:w="140" w:type="dxa"/>
              <w:right w:w="140" w:type="dxa"/>
            </w:tcMar>
          </w:tcPr>
          <w:p>
            <w:pPr>
              <w:spacing w:before="0" w:after="0"/>
              <w:jc w:val="center"/>
            </w:pPr>
            <w:r>
              <w:rPr>
                <w:rFonts w:ascii="Calibri" w:hAnsi="Calibri"/>
                <w:color w:val="1E293B"/>
                <w:sz w:val="19"/>
              </w:rPr>
              <w:t>Significant (p &lt; 0.001)</w:t>
            </w:r>
          </w:p>
        </w:tc>
      </w:tr>
      <w:tr>
        <w:tc>
          <w:tcPr>
            <w:tcW w:type="dxa" w:w="2592"/>
            <w:shd w:val="clear" w:color="auto" w:fill="FFFFFF"/>
            <w:tcMar>
              <w:top w:w="100" w:type="dxa"/>
              <w:bottom w:w="100" w:type="dxa"/>
              <w:left w:w="140" w:type="dxa"/>
              <w:right w:w="140" w:type="dxa"/>
            </w:tcMar>
          </w:tcPr>
          <w:p>
            <w:pPr>
              <w:spacing w:before="0" w:after="0"/>
              <w:jc w:val="left"/>
            </w:pPr>
            <w:r>
              <w:rPr>
                <w:rFonts w:ascii="Calibri" w:hAnsi="Calibri"/>
                <w:color w:val="1E293B"/>
                <w:sz w:val="19"/>
              </w:rPr>
              <w:t>Department</w:t>
            </w:r>
          </w:p>
        </w:tc>
        <w:tc>
          <w:tcPr>
            <w:tcW w:type="dxa" w:w="1728"/>
            <w:shd w:val="clear" w:color="auto" w:fill="FFFFFF"/>
            <w:tcMar>
              <w:top w:w="100" w:type="dxa"/>
              <w:bottom w:w="100" w:type="dxa"/>
              <w:left w:w="140" w:type="dxa"/>
              <w:right w:w="140" w:type="dxa"/>
            </w:tcMar>
          </w:tcPr>
          <w:p>
            <w:pPr>
              <w:spacing w:before="0" w:after="0"/>
              <w:jc w:val="right"/>
            </w:pPr>
            <w:r>
              <w:rPr>
                <w:rFonts w:ascii="Calibri" w:hAnsi="Calibri"/>
                <w:color w:val="1E293B"/>
                <w:sz w:val="19"/>
              </w:rPr>
              <w:t>14.20</w:t>
            </w:r>
          </w:p>
        </w:tc>
        <w:tc>
          <w:tcPr>
            <w:tcW w:type="dxa" w:w="864"/>
            <w:shd w:val="clear" w:color="auto" w:fill="FFFFFF"/>
            <w:tcMar>
              <w:top w:w="100" w:type="dxa"/>
              <w:bottom w:w="100" w:type="dxa"/>
              <w:left w:w="140" w:type="dxa"/>
              <w:right w:w="140" w:type="dxa"/>
            </w:tcMar>
          </w:tcPr>
          <w:p>
            <w:pPr>
              <w:spacing w:before="0" w:after="0"/>
              <w:jc w:val="center"/>
            </w:pPr>
            <w:r>
              <w:rPr>
                <w:rFonts w:ascii="Calibri" w:hAnsi="Calibri"/>
                <w:color w:val="1E293B"/>
                <w:sz w:val="19"/>
              </w:rPr>
              <w:t>6</w:t>
            </w:r>
          </w:p>
        </w:tc>
        <w:tc>
          <w:tcPr>
            <w:tcW w:type="dxa" w:w="1728"/>
            <w:shd w:val="clear" w:color="auto" w:fill="FFFFFF"/>
            <w:tcMar>
              <w:top w:w="100" w:type="dxa"/>
              <w:bottom w:w="100" w:type="dxa"/>
              <w:left w:w="140" w:type="dxa"/>
              <w:right w:w="140" w:type="dxa"/>
            </w:tcMar>
          </w:tcPr>
          <w:p>
            <w:pPr>
              <w:spacing w:before="0" w:after="0"/>
              <w:jc w:val="right"/>
            </w:pPr>
            <w:r>
              <w:rPr>
                <w:rFonts w:ascii="Calibri" w:hAnsi="Calibri"/>
                <w:color w:val="1E293B"/>
                <w:sz w:val="19"/>
              </w:rPr>
              <w:t>0.0275</w:t>
            </w:r>
          </w:p>
        </w:tc>
        <w:tc>
          <w:tcPr>
            <w:tcW w:type="dxa" w:w="2448"/>
            <w:shd w:val="clear" w:color="auto" w:fill="FFFFFF"/>
            <w:tcMar>
              <w:top w:w="100" w:type="dxa"/>
              <w:bottom w:w="100" w:type="dxa"/>
              <w:left w:w="140" w:type="dxa"/>
              <w:right w:w="140" w:type="dxa"/>
            </w:tcMar>
          </w:tcPr>
          <w:p>
            <w:pPr>
              <w:spacing w:before="0" w:after="0"/>
              <w:jc w:val="center"/>
            </w:pPr>
            <w:r>
              <w:rPr>
                <w:rFonts w:ascii="Calibri" w:hAnsi="Calibri"/>
                <w:color w:val="1E293B"/>
                <w:sz w:val="19"/>
              </w:rPr>
              <w:t>Significant (p &lt; 0.05)</w:t>
            </w:r>
          </w:p>
        </w:tc>
      </w:tr>
      <w:tr>
        <w:tc>
          <w:tcPr>
            <w:tcW w:type="dxa" w:w="2592"/>
            <w:shd w:val="clear" w:color="auto" w:fill="F8FAFC"/>
            <w:tcMar>
              <w:top w:w="100" w:type="dxa"/>
              <w:bottom w:w="100" w:type="dxa"/>
              <w:left w:w="140" w:type="dxa"/>
              <w:right w:w="140" w:type="dxa"/>
            </w:tcMar>
          </w:tcPr>
          <w:p>
            <w:pPr>
              <w:spacing w:before="0" w:after="0"/>
              <w:jc w:val="left"/>
            </w:pPr>
            <w:r>
              <w:rPr>
                <w:rFonts w:ascii="Calibri" w:hAnsi="Calibri"/>
                <w:color w:val="1E293B"/>
                <w:sz w:val="19"/>
              </w:rPr>
              <w:t>Shift</w:t>
            </w:r>
          </w:p>
        </w:tc>
        <w:tc>
          <w:tcPr>
            <w:tcW w:type="dxa" w:w="1728"/>
            <w:shd w:val="clear" w:color="auto" w:fill="F8FAFC"/>
            <w:tcMar>
              <w:top w:w="100" w:type="dxa"/>
              <w:bottom w:w="100" w:type="dxa"/>
              <w:left w:w="140" w:type="dxa"/>
              <w:right w:w="140" w:type="dxa"/>
            </w:tcMar>
          </w:tcPr>
          <w:p>
            <w:pPr>
              <w:spacing w:before="0" w:after="0"/>
              <w:jc w:val="right"/>
            </w:pPr>
            <w:r>
              <w:rPr>
                <w:rFonts w:ascii="Calibri" w:hAnsi="Calibri"/>
                <w:color w:val="1E293B"/>
                <w:sz w:val="19"/>
              </w:rPr>
              <w:t>9.52</w:t>
            </w:r>
          </w:p>
        </w:tc>
        <w:tc>
          <w:tcPr>
            <w:tcW w:type="dxa" w:w="864"/>
            <w:shd w:val="clear" w:color="auto" w:fill="F8FAFC"/>
            <w:tcMar>
              <w:top w:w="100" w:type="dxa"/>
              <w:bottom w:w="100" w:type="dxa"/>
              <w:left w:w="140" w:type="dxa"/>
              <w:right w:w="140" w:type="dxa"/>
            </w:tcMar>
          </w:tcPr>
          <w:p>
            <w:pPr>
              <w:spacing w:before="0" w:after="0"/>
              <w:jc w:val="center"/>
            </w:pPr>
            <w:r>
              <w:rPr>
                <w:rFonts w:ascii="Calibri" w:hAnsi="Calibri"/>
                <w:color w:val="1E293B"/>
                <w:sz w:val="19"/>
              </w:rPr>
              <w:t>2</w:t>
            </w:r>
          </w:p>
        </w:tc>
        <w:tc>
          <w:tcPr>
            <w:tcW w:type="dxa" w:w="1728"/>
            <w:shd w:val="clear" w:color="auto" w:fill="F8FAFC"/>
            <w:tcMar>
              <w:top w:w="100" w:type="dxa"/>
              <w:bottom w:w="100" w:type="dxa"/>
              <w:left w:w="140" w:type="dxa"/>
              <w:right w:w="140" w:type="dxa"/>
            </w:tcMar>
          </w:tcPr>
          <w:p>
            <w:pPr>
              <w:spacing w:before="0" w:after="0"/>
              <w:jc w:val="right"/>
            </w:pPr>
            <w:r>
              <w:rPr>
                <w:rFonts w:ascii="Calibri" w:hAnsi="Calibri"/>
                <w:color w:val="1E293B"/>
                <w:sz w:val="19"/>
              </w:rPr>
              <w:t>0.0086</w:t>
            </w:r>
          </w:p>
        </w:tc>
        <w:tc>
          <w:tcPr>
            <w:tcW w:type="dxa" w:w="2448"/>
            <w:shd w:val="clear" w:color="auto" w:fill="F8FAFC"/>
            <w:tcMar>
              <w:top w:w="100" w:type="dxa"/>
              <w:bottom w:w="100" w:type="dxa"/>
              <w:left w:w="140" w:type="dxa"/>
              <w:right w:w="140" w:type="dxa"/>
            </w:tcMar>
          </w:tcPr>
          <w:p>
            <w:pPr>
              <w:spacing w:before="0" w:after="0"/>
              <w:jc w:val="center"/>
            </w:pPr>
            <w:r>
              <w:rPr>
                <w:rFonts w:ascii="Calibri" w:hAnsi="Calibri"/>
                <w:color w:val="1E293B"/>
                <w:sz w:val="19"/>
              </w:rPr>
              <w:t>Significant (p &lt; 0.01)</w:t>
            </w:r>
          </w:p>
        </w:tc>
      </w:tr>
      <w:tr>
        <w:tc>
          <w:tcPr>
            <w:tcW w:type="dxa" w:w="2592"/>
            <w:shd w:val="clear" w:color="auto" w:fill="FFFFFF"/>
            <w:tcMar>
              <w:top w:w="100" w:type="dxa"/>
              <w:bottom w:w="100" w:type="dxa"/>
              <w:left w:w="140" w:type="dxa"/>
              <w:right w:w="140" w:type="dxa"/>
            </w:tcMar>
          </w:tcPr>
          <w:p>
            <w:pPr>
              <w:spacing w:before="0" w:after="0"/>
              <w:jc w:val="left"/>
            </w:pPr>
            <w:r>
              <w:rPr>
                <w:rFonts w:ascii="Calibri" w:hAnsi="Calibri"/>
                <w:color w:val="1E293B"/>
                <w:sz w:val="19"/>
              </w:rPr>
              <w:t>EducationField</w:t>
            </w:r>
          </w:p>
        </w:tc>
        <w:tc>
          <w:tcPr>
            <w:tcW w:type="dxa" w:w="1728"/>
            <w:shd w:val="clear" w:color="auto" w:fill="FFFFFF"/>
            <w:tcMar>
              <w:top w:w="100" w:type="dxa"/>
              <w:bottom w:w="100" w:type="dxa"/>
              <w:left w:w="140" w:type="dxa"/>
              <w:right w:w="140" w:type="dxa"/>
            </w:tcMar>
          </w:tcPr>
          <w:p>
            <w:pPr>
              <w:spacing w:before="0" w:after="0"/>
              <w:jc w:val="right"/>
            </w:pPr>
            <w:r>
              <w:rPr>
                <w:rFonts w:ascii="Calibri" w:hAnsi="Calibri"/>
                <w:color w:val="1E293B"/>
                <w:sz w:val="19"/>
              </w:rPr>
              <w:t>8.59</w:t>
            </w:r>
          </w:p>
        </w:tc>
        <w:tc>
          <w:tcPr>
            <w:tcW w:type="dxa" w:w="864"/>
            <w:shd w:val="clear" w:color="auto" w:fill="FFFFFF"/>
            <w:tcMar>
              <w:top w:w="100" w:type="dxa"/>
              <w:bottom w:w="100" w:type="dxa"/>
              <w:left w:w="140" w:type="dxa"/>
              <w:right w:w="140" w:type="dxa"/>
            </w:tcMar>
          </w:tcPr>
          <w:p>
            <w:pPr>
              <w:spacing w:before="0" w:after="0"/>
              <w:jc w:val="center"/>
            </w:pPr>
            <w:r>
              <w:rPr>
                <w:rFonts w:ascii="Calibri" w:hAnsi="Calibri"/>
                <w:color w:val="1E293B"/>
                <w:sz w:val="19"/>
              </w:rPr>
              <w:t>5</w:t>
            </w:r>
          </w:p>
        </w:tc>
        <w:tc>
          <w:tcPr>
            <w:tcW w:type="dxa" w:w="1728"/>
            <w:shd w:val="clear" w:color="auto" w:fill="FFFFFF"/>
            <w:tcMar>
              <w:top w:w="100" w:type="dxa"/>
              <w:bottom w:w="100" w:type="dxa"/>
              <w:left w:w="140" w:type="dxa"/>
              <w:right w:w="140" w:type="dxa"/>
            </w:tcMar>
          </w:tcPr>
          <w:p>
            <w:pPr>
              <w:spacing w:before="0" w:after="0"/>
              <w:jc w:val="right"/>
            </w:pPr>
            <w:r>
              <w:rPr>
                <w:rFonts w:ascii="Calibri" w:hAnsi="Calibri"/>
                <w:color w:val="1E293B"/>
                <w:sz w:val="19"/>
              </w:rPr>
              <w:t>0.1267</w:t>
            </w:r>
          </w:p>
        </w:tc>
        <w:tc>
          <w:tcPr>
            <w:tcW w:type="dxa" w:w="2448"/>
            <w:shd w:val="clear" w:color="auto" w:fill="FFFFFF"/>
            <w:tcMar>
              <w:top w:w="100" w:type="dxa"/>
              <w:bottom w:w="100" w:type="dxa"/>
              <w:left w:w="140" w:type="dxa"/>
              <w:right w:w="140" w:type="dxa"/>
            </w:tcMar>
          </w:tcPr>
          <w:p>
            <w:pPr>
              <w:spacing w:before="0" w:after="0"/>
              <w:jc w:val="center"/>
            </w:pPr>
            <w:r>
              <w:rPr>
                <w:rFonts w:ascii="Calibri" w:hAnsi="Calibri"/>
                <w:color w:val="1E293B"/>
                <w:sz w:val="19"/>
              </w:rPr>
              <w:t>Not Significant</w:t>
            </w:r>
          </w:p>
        </w:tc>
      </w:tr>
      <w:tr>
        <w:tc>
          <w:tcPr>
            <w:tcW w:type="dxa" w:w="2592"/>
            <w:shd w:val="clear" w:color="auto" w:fill="F8FAFC"/>
            <w:tcMar>
              <w:top w:w="100" w:type="dxa"/>
              <w:bottom w:w="100" w:type="dxa"/>
              <w:left w:w="140" w:type="dxa"/>
              <w:right w:w="140" w:type="dxa"/>
            </w:tcMar>
          </w:tcPr>
          <w:p>
            <w:pPr>
              <w:spacing w:before="0" w:after="0"/>
              <w:jc w:val="left"/>
            </w:pPr>
            <w:r>
              <w:rPr>
                <w:rFonts w:ascii="Calibri" w:hAnsi="Calibri"/>
                <w:color w:val="1E293B"/>
                <w:sz w:val="19"/>
              </w:rPr>
              <w:t>TenureGroup</w:t>
            </w:r>
          </w:p>
        </w:tc>
        <w:tc>
          <w:tcPr>
            <w:tcW w:type="dxa" w:w="1728"/>
            <w:shd w:val="clear" w:color="auto" w:fill="F8FAFC"/>
            <w:tcMar>
              <w:top w:w="100" w:type="dxa"/>
              <w:bottom w:w="100" w:type="dxa"/>
              <w:left w:w="140" w:type="dxa"/>
              <w:right w:w="140" w:type="dxa"/>
            </w:tcMar>
          </w:tcPr>
          <w:p>
            <w:pPr>
              <w:spacing w:before="0" w:after="0"/>
              <w:jc w:val="right"/>
            </w:pPr>
            <w:r>
              <w:rPr>
                <w:rFonts w:ascii="Calibri" w:hAnsi="Calibri"/>
                <w:color w:val="1E293B"/>
                <w:sz w:val="19"/>
              </w:rPr>
              <w:t>5.69</w:t>
            </w:r>
          </w:p>
        </w:tc>
        <w:tc>
          <w:tcPr>
            <w:tcW w:type="dxa" w:w="864"/>
            <w:shd w:val="clear" w:color="auto" w:fill="F8FAFC"/>
            <w:tcMar>
              <w:top w:w="100" w:type="dxa"/>
              <w:bottom w:w="100" w:type="dxa"/>
              <w:left w:w="140" w:type="dxa"/>
              <w:right w:w="140" w:type="dxa"/>
            </w:tcMar>
          </w:tcPr>
          <w:p>
            <w:pPr>
              <w:spacing w:before="0" w:after="0"/>
              <w:jc w:val="center"/>
            </w:pPr>
            <w:r>
              <w:rPr>
                <w:rFonts w:ascii="Calibri" w:hAnsi="Calibri"/>
                <w:color w:val="1E293B"/>
                <w:sz w:val="19"/>
              </w:rPr>
              <w:t>3</w:t>
            </w:r>
          </w:p>
        </w:tc>
        <w:tc>
          <w:tcPr>
            <w:tcW w:type="dxa" w:w="1728"/>
            <w:shd w:val="clear" w:color="auto" w:fill="F8FAFC"/>
            <w:tcMar>
              <w:top w:w="100" w:type="dxa"/>
              <w:bottom w:w="100" w:type="dxa"/>
              <w:left w:w="140" w:type="dxa"/>
              <w:right w:w="140" w:type="dxa"/>
            </w:tcMar>
          </w:tcPr>
          <w:p>
            <w:pPr>
              <w:spacing w:before="0" w:after="0"/>
              <w:jc w:val="right"/>
            </w:pPr>
            <w:r>
              <w:rPr>
                <w:rFonts w:ascii="Calibri" w:hAnsi="Calibri"/>
                <w:color w:val="1E293B"/>
                <w:sz w:val="19"/>
              </w:rPr>
              <w:t>0.1275</w:t>
            </w:r>
          </w:p>
        </w:tc>
        <w:tc>
          <w:tcPr>
            <w:tcW w:type="dxa" w:w="2448"/>
            <w:shd w:val="clear" w:color="auto" w:fill="F8FAFC"/>
            <w:tcMar>
              <w:top w:w="100" w:type="dxa"/>
              <w:bottom w:w="100" w:type="dxa"/>
              <w:left w:w="140" w:type="dxa"/>
              <w:right w:w="140" w:type="dxa"/>
            </w:tcMar>
          </w:tcPr>
          <w:p>
            <w:pPr>
              <w:spacing w:before="0" w:after="0"/>
              <w:jc w:val="center"/>
            </w:pPr>
            <w:r>
              <w:rPr>
                <w:rFonts w:ascii="Calibri" w:hAnsi="Calibri"/>
                <w:color w:val="1E293B"/>
                <w:sz w:val="19"/>
              </w:rPr>
              <w:t>Not Significant</w:t>
            </w:r>
          </w:p>
        </w:tc>
      </w:tr>
      <w:tr>
        <w:tc>
          <w:tcPr>
            <w:tcW w:type="dxa" w:w="2592"/>
            <w:shd w:val="clear" w:color="auto" w:fill="FFFFFF"/>
            <w:tcMar>
              <w:top w:w="100" w:type="dxa"/>
              <w:bottom w:w="100" w:type="dxa"/>
              <w:left w:w="140" w:type="dxa"/>
              <w:right w:w="140" w:type="dxa"/>
            </w:tcMar>
          </w:tcPr>
          <w:p>
            <w:pPr>
              <w:spacing w:before="0" w:after="0"/>
              <w:jc w:val="left"/>
            </w:pPr>
            <w:r>
              <w:rPr>
                <w:rFonts w:ascii="Calibri" w:hAnsi="Calibri"/>
                <w:color w:val="1E293B"/>
                <w:sz w:val="19"/>
              </w:rPr>
              <w:t>Education</w:t>
            </w:r>
          </w:p>
        </w:tc>
        <w:tc>
          <w:tcPr>
            <w:tcW w:type="dxa" w:w="1728"/>
            <w:shd w:val="clear" w:color="auto" w:fill="FFFFFF"/>
            <w:tcMar>
              <w:top w:w="100" w:type="dxa"/>
              <w:bottom w:w="100" w:type="dxa"/>
              <w:left w:w="140" w:type="dxa"/>
              <w:right w:w="140" w:type="dxa"/>
            </w:tcMar>
          </w:tcPr>
          <w:p>
            <w:pPr>
              <w:spacing w:before="0" w:after="0"/>
              <w:jc w:val="right"/>
            </w:pPr>
            <w:r>
              <w:rPr>
                <w:rFonts w:ascii="Calibri" w:hAnsi="Calibri"/>
                <w:color w:val="1E293B"/>
                <w:sz w:val="19"/>
              </w:rPr>
              <w:t>2.35</w:t>
            </w:r>
          </w:p>
        </w:tc>
        <w:tc>
          <w:tcPr>
            <w:tcW w:type="dxa" w:w="864"/>
            <w:shd w:val="clear" w:color="auto" w:fill="FFFFFF"/>
            <w:tcMar>
              <w:top w:w="100" w:type="dxa"/>
              <w:bottom w:w="100" w:type="dxa"/>
              <w:left w:w="140" w:type="dxa"/>
              <w:right w:w="140" w:type="dxa"/>
            </w:tcMar>
          </w:tcPr>
          <w:p>
            <w:pPr>
              <w:spacing w:before="0" w:after="0"/>
              <w:jc w:val="center"/>
            </w:pPr>
            <w:r>
              <w:rPr>
                <w:rFonts w:ascii="Calibri" w:hAnsi="Calibri"/>
                <w:color w:val="1E293B"/>
                <w:sz w:val="19"/>
              </w:rPr>
              <w:t>4</w:t>
            </w:r>
          </w:p>
        </w:tc>
        <w:tc>
          <w:tcPr>
            <w:tcW w:type="dxa" w:w="1728"/>
            <w:shd w:val="clear" w:color="auto" w:fill="FFFFFF"/>
            <w:tcMar>
              <w:top w:w="100" w:type="dxa"/>
              <w:bottom w:w="100" w:type="dxa"/>
              <w:left w:w="140" w:type="dxa"/>
              <w:right w:w="140" w:type="dxa"/>
            </w:tcMar>
          </w:tcPr>
          <w:p>
            <w:pPr>
              <w:spacing w:before="0" w:after="0"/>
              <w:jc w:val="right"/>
            </w:pPr>
            <w:r>
              <w:rPr>
                <w:rFonts w:ascii="Calibri" w:hAnsi="Calibri"/>
                <w:color w:val="1E293B"/>
                <w:sz w:val="19"/>
              </w:rPr>
              <w:t>0.6710</w:t>
            </w:r>
          </w:p>
        </w:tc>
        <w:tc>
          <w:tcPr>
            <w:tcW w:type="dxa" w:w="2448"/>
            <w:shd w:val="clear" w:color="auto" w:fill="FFFFFF"/>
            <w:tcMar>
              <w:top w:w="100" w:type="dxa"/>
              <w:bottom w:w="100" w:type="dxa"/>
              <w:left w:w="140" w:type="dxa"/>
              <w:right w:w="140" w:type="dxa"/>
            </w:tcMar>
          </w:tcPr>
          <w:p>
            <w:pPr>
              <w:spacing w:before="0" w:after="0"/>
              <w:jc w:val="center"/>
            </w:pPr>
            <w:r>
              <w:rPr>
                <w:rFonts w:ascii="Calibri" w:hAnsi="Calibri"/>
                <w:color w:val="1E293B"/>
                <w:sz w:val="19"/>
              </w:rPr>
              <w:t>Not Significant</w:t>
            </w:r>
          </w:p>
        </w:tc>
      </w:tr>
      <w:tr>
        <w:tc>
          <w:tcPr>
            <w:tcW w:type="dxa" w:w="2592"/>
            <w:shd w:val="clear" w:color="auto" w:fill="F8FAFC"/>
            <w:tcMar>
              <w:top w:w="100" w:type="dxa"/>
              <w:bottom w:w="100" w:type="dxa"/>
              <w:left w:w="140" w:type="dxa"/>
              <w:right w:w="140" w:type="dxa"/>
            </w:tcMar>
          </w:tcPr>
          <w:p>
            <w:pPr>
              <w:spacing w:before="0" w:after="0"/>
              <w:jc w:val="left"/>
            </w:pPr>
            <w:r>
              <w:rPr>
                <w:rFonts w:ascii="Calibri" w:hAnsi="Calibri"/>
                <w:color w:val="1E293B"/>
                <w:sz w:val="19"/>
              </w:rPr>
              <w:t>Plant</w:t>
            </w:r>
          </w:p>
        </w:tc>
        <w:tc>
          <w:tcPr>
            <w:tcW w:type="dxa" w:w="1728"/>
            <w:shd w:val="clear" w:color="auto" w:fill="F8FAFC"/>
            <w:tcMar>
              <w:top w:w="100" w:type="dxa"/>
              <w:bottom w:w="100" w:type="dxa"/>
              <w:left w:w="140" w:type="dxa"/>
              <w:right w:w="140" w:type="dxa"/>
            </w:tcMar>
          </w:tcPr>
          <w:p>
            <w:pPr>
              <w:spacing w:before="0" w:after="0"/>
              <w:jc w:val="right"/>
            </w:pPr>
            <w:r>
              <w:rPr>
                <w:rFonts w:ascii="Calibri" w:hAnsi="Calibri"/>
                <w:color w:val="1E293B"/>
                <w:sz w:val="19"/>
              </w:rPr>
              <w:t>1.89</w:t>
            </w:r>
          </w:p>
        </w:tc>
        <w:tc>
          <w:tcPr>
            <w:tcW w:type="dxa" w:w="864"/>
            <w:shd w:val="clear" w:color="auto" w:fill="F8FAFC"/>
            <w:tcMar>
              <w:top w:w="100" w:type="dxa"/>
              <w:bottom w:w="100" w:type="dxa"/>
              <w:left w:w="140" w:type="dxa"/>
              <w:right w:w="140" w:type="dxa"/>
            </w:tcMar>
          </w:tcPr>
          <w:p>
            <w:pPr>
              <w:spacing w:before="0" w:after="0"/>
              <w:jc w:val="center"/>
            </w:pPr>
            <w:r>
              <w:rPr>
                <w:rFonts w:ascii="Calibri" w:hAnsi="Calibri"/>
                <w:color w:val="1E293B"/>
                <w:sz w:val="19"/>
              </w:rPr>
              <w:t>5</w:t>
            </w:r>
          </w:p>
        </w:tc>
        <w:tc>
          <w:tcPr>
            <w:tcW w:type="dxa" w:w="1728"/>
            <w:shd w:val="clear" w:color="auto" w:fill="F8FAFC"/>
            <w:tcMar>
              <w:top w:w="100" w:type="dxa"/>
              <w:bottom w:w="100" w:type="dxa"/>
              <w:left w:w="140" w:type="dxa"/>
              <w:right w:w="140" w:type="dxa"/>
            </w:tcMar>
          </w:tcPr>
          <w:p>
            <w:pPr>
              <w:spacing w:before="0" w:after="0"/>
              <w:jc w:val="right"/>
            </w:pPr>
            <w:r>
              <w:rPr>
                <w:rFonts w:ascii="Calibri" w:hAnsi="Calibri"/>
                <w:color w:val="1E293B"/>
                <w:sz w:val="19"/>
              </w:rPr>
              <w:t>0.8641</w:t>
            </w:r>
          </w:p>
        </w:tc>
        <w:tc>
          <w:tcPr>
            <w:tcW w:type="dxa" w:w="2448"/>
            <w:shd w:val="clear" w:color="auto" w:fill="F8FAFC"/>
            <w:tcMar>
              <w:top w:w="100" w:type="dxa"/>
              <w:bottom w:w="100" w:type="dxa"/>
              <w:left w:w="140" w:type="dxa"/>
              <w:right w:w="140" w:type="dxa"/>
            </w:tcMar>
          </w:tcPr>
          <w:p>
            <w:pPr>
              <w:spacing w:before="0" w:after="0"/>
              <w:jc w:val="center"/>
            </w:pPr>
            <w:r>
              <w:rPr>
                <w:rFonts w:ascii="Calibri" w:hAnsi="Calibri"/>
                <w:color w:val="1E293B"/>
                <w:sz w:val="19"/>
              </w:rPr>
              <w:t>Not Significant</w:t>
            </w:r>
          </w:p>
        </w:tc>
      </w:tr>
    </w:tbl>
    <w:p>
      <w:pPr>
        <w:keepNext/>
        <w:spacing w:before="280" w:after="80"/>
      </w:pPr>
      <w:r>
        <w:rPr>
          <w:rFonts w:ascii="Calibri" w:hAnsi="Calibri"/>
          <w:b/>
          <w:color w:val="1B365D"/>
          <w:sz w:val="26"/>
        </w:rPr>
        <w:t>7.3 Correlation Analysis</w:t>
      </w:r>
    </w:p>
    <w:p>
      <w:pPr>
        <w:spacing w:before="0" w:after="120" w:line="276" w:lineRule="auto"/>
      </w:pPr>
      <w:r>
        <w:rPr>
          <w:rFonts w:ascii="Calibri" w:hAnsi="Calibri"/>
          <w:color w:val="1E293B"/>
          <w:sz w:val="22"/>
        </w:rPr>
        <w:t>Point-biserial correlation coefficients were computed between continuous numeric variables and binary attrition. EngagementScore exhibits the strongest protective (negative) association (r = -0.2115, p &lt; 0.001), followed by SatisfactionIndex (r = -0.0932) and EnvironmentSatisfaction (r = -0.0845). Conversely, MonthlyOvertimeHours exhibits the strongest positive turnover association (r = +0.0799, p &lt; 0.001), followed by DistanceFromHome (r = +0.0510).</w:t>
      </w:r>
    </w:p>
    <w:p>
      <w:pPr>
        <w:spacing w:before="160" w:after="60"/>
        <w:jc w:val="center"/>
      </w:pPr>
      <w:r>
        <w:drawing>
          <wp:inline xmlns:a="http://schemas.openxmlformats.org/drawingml/2006/main" xmlns:pic="http://schemas.openxmlformats.org/drawingml/2006/picture">
            <wp:extent cx="5303520" cy="3788229"/>
            <wp:docPr id="6" name="Picture 6"/>
            <wp:cNvGraphicFramePr>
              <a:graphicFrameLocks noChangeAspect="1"/>
            </wp:cNvGraphicFramePr>
            <a:graphic>
              <a:graphicData uri="http://schemas.openxmlformats.org/drawingml/2006/picture">
                <pic:pic>
                  <pic:nvPicPr>
                    <pic:cNvPr id="0" name="image8.png"/>
                    <pic:cNvPicPr/>
                  </pic:nvPicPr>
                  <pic:blipFill>
                    <a:blip r:embed="rId16"/>
                    <a:stretch>
                      <a:fillRect/>
                    </a:stretch>
                  </pic:blipFill>
                  <pic:spPr>
                    <a:xfrm>
                      <a:off x="0" y="0"/>
                      <a:ext cx="5303520" cy="3788229"/>
                    </a:xfrm>
                    <a:prstGeom prst="rect"/>
                  </pic:spPr>
                </pic:pic>
              </a:graphicData>
            </a:graphic>
          </wp:inline>
        </w:drawing>
      </w:r>
    </w:p>
    <w:p>
      <w:pPr>
        <w:spacing w:before="0" w:after="200"/>
        <w:jc w:val="center"/>
      </w:pPr>
      <w:r>
        <w:rPr>
          <w:rFonts w:ascii="Calibri" w:hAnsi="Calibri"/>
          <w:b/>
          <w:i/>
          <w:color w:val="1B365D"/>
          <w:sz w:val="19"/>
        </w:rPr>
        <w:t>Figure 6. Ranked Point-Biserial Correlations of Numeric Predictors with Employee Attrition</w:t>
      </w:r>
    </w:p>
    <w:p>
      <w:pPr>
        <w:keepNext/>
        <w:spacing w:before="280" w:after="80"/>
      </w:pPr>
      <w:r>
        <w:rPr>
          <w:rFonts w:ascii="Calibri" w:hAnsi="Calibri"/>
          <w:b/>
          <w:color w:val="1B365D"/>
          <w:sz w:val="26"/>
        </w:rPr>
        <w:t>7.4 Interpretation of Statistical Findings</w:t>
      </w:r>
    </w:p>
    <w:p>
      <w:pPr>
        <w:spacing w:before="0" w:after="120" w:line="276" w:lineRule="auto"/>
      </w:pPr>
      <w:r>
        <w:rPr>
          <w:rFonts w:ascii="Calibri" w:hAnsi="Calibri"/>
          <w:color w:val="1E293B"/>
          <w:sz w:val="22"/>
        </w:rPr>
        <w:t>The statistical tests unequivocally reject the null hypothesis of cohort homogeneity across all primary behavioral and workload dimensions. Employees who depart exhibit statistically verified depressions in engagement and satisfaction, alongside significantly elevated overtime hours and travel distances. These findings provide rigorous empirical justification for including these features in supervised model training.</w:t>
      </w:r>
    </w:p>
    <w:p>
      <w:r>
        <w:br w:type="page"/>
      </w:r>
    </w:p>
    <w:p>
      <w:pPr>
        <w:keepNext/>
        <w:spacing w:before="360" w:after="120"/>
      </w:pPr>
      <w:r>
        <w:rPr>
          <w:rFonts w:ascii="Calibri" w:hAnsi="Calibri"/>
          <w:b/>
          <w:color w:val="1B365D"/>
          <w:sz w:val="32"/>
        </w:rPr>
        <w:t>8. Machine Learning Methodology</w:t>
      </w:r>
    </w:p>
    <w:p>
      <w:pPr>
        <w:keepNext/>
        <w:spacing w:before="280" w:after="80"/>
      </w:pPr>
      <w:r>
        <w:rPr>
          <w:rFonts w:ascii="Calibri" w:hAnsi="Calibri"/>
          <w:b/>
          <w:color w:val="1B365D"/>
          <w:sz w:val="26"/>
        </w:rPr>
        <w:t>8.1 Train-Test Split</w:t>
      </w:r>
    </w:p>
    <w:p>
      <w:pPr>
        <w:spacing w:before="0" w:after="120" w:line="276" w:lineRule="auto"/>
      </w:pPr>
      <w:r>
        <w:rPr>
          <w:rFonts w:ascii="Calibri" w:hAnsi="Calibri"/>
          <w:color w:val="1E293B"/>
          <w:sz w:val="22"/>
        </w:rPr>
        <w:t>To establish an uncompromised evaluation benchmark, the 50,000-record dataset was partitioned using an 80/20 stratified split. The training partition contains 40,01 records, while the holdout test partition contains exactly 9,999 records (8,333 retained, 1,666 leavers). Stratification guarantees that the 16.66% attrition prevalence is identically maintained in both subsets.</w:t>
      </w:r>
    </w:p>
    <w:p>
      <w:pPr>
        <w:keepNext/>
        <w:spacing w:before="280" w:after="80"/>
      </w:pPr>
      <w:r>
        <w:rPr>
          <w:rFonts w:ascii="Calibri" w:hAnsi="Calibri"/>
          <w:b/>
          <w:color w:val="1B365D"/>
          <w:sz w:val="26"/>
        </w:rPr>
        <w:t>8.2 Preprocessing</w:t>
      </w:r>
    </w:p>
    <w:p>
      <w:pPr>
        <w:spacing w:before="0" w:after="120" w:line="276" w:lineRule="auto"/>
      </w:pPr>
      <w:r>
        <w:rPr>
          <w:rFonts w:ascii="Calibri" w:hAnsi="Calibri"/>
          <w:color w:val="1E293B"/>
          <w:sz w:val="22"/>
        </w:rPr>
        <w:t>Preprocessing models were fitted strictly on the training partition: dummy variables were generated for all multi-category factors using caret's `dummyVars(~ ., data = train_data)`, expanding the feature space to 28 numeric columns. All numeric columns were standardized to zero mean and unit variance using `preProcess(method = c('center', 'scale'))`. The fitted objects were serialized to `dummy_encoding_model.rds` and `preprocessing_model.rds` for production inference.</w:t>
      </w:r>
    </w:p>
    <w:p>
      <w:pPr>
        <w:keepNext/>
        <w:spacing w:before="280" w:after="80"/>
      </w:pPr>
      <w:r>
        <w:rPr>
          <w:rFonts w:ascii="Calibri" w:hAnsi="Calibri"/>
          <w:b/>
          <w:color w:val="1B365D"/>
          <w:sz w:val="26"/>
        </w:rPr>
        <w:t>8.3 Algorithms Evaluated</w:t>
      </w:r>
    </w:p>
    <w:p>
      <w:pPr>
        <w:spacing w:before="0" w:after="120" w:line="276" w:lineRule="auto"/>
      </w:pPr>
      <w:r>
        <w:rPr>
          <w:rFonts w:ascii="Calibri" w:hAnsi="Calibri"/>
          <w:color w:val="1E293B"/>
          <w:sz w:val="22"/>
        </w:rPr>
        <w:t>Ten diverse supervised classification algorithms spanning six machine learning paradigms were trained and benchmarked:</w:t>
      </w:r>
    </w:p>
    <w:p>
      <w:pPr>
        <w:pStyle w:val="ListBullet"/>
        <w:spacing w:before="0" w:after="60" w:line="276" w:lineRule="auto"/>
      </w:pPr>
      <w:r>
        <w:rPr>
          <w:rFonts w:ascii="Calibri" w:hAnsi="Calibri"/>
          <w:b/>
          <w:color w:val="1B365D"/>
        </w:rPr>
        <w:t xml:space="preserve">1. Logistic Regression: </w:t>
      </w:r>
      <w:r>
        <w:rPr>
          <w:rFonts w:ascii="Calibri" w:hAnsi="Calibri"/>
          <w:color w:val="1E293B"/>
        </w:rPr>
        <w:t>Parametric linear baseline estimating log-odds probabilities via maximum likelihood.</w:t>
      </w:r>
    </w:p>
    <w:p>
      <w:pPr>
        <w:pStyle w:val="ListBullet"/>
        <w:spacing w:before="0" w:after="60" w:line="276" w:lineRule="auto"/>
      </w:pPr>
      <w:r>
        <w:rPr>
          <w:rFonts w:ascii="Calibri" w:hAnsi="Calibri"/>
          <w:b/>
          <w:color w:val="1B365D"/>
        </w:rPr>
        <w:t xml:space="preserve">2. Linear Discriminant Analysis (LDA): </w:t>
      </w:r>
      <w:r>
        <w:rPr>
          <w:rFonts w:ascii="Calibri" w:hAnsi="Calibri"/>
          <w:color w:val="1E293B"/>
        </w:rPr>
        <w:t>Bayesian generative classifier projecting features to maximize between-class variance.</w:t>
      </w:r>
    </w:p>
    <w:p>
      <w:pPr>
        <w:pStyle w:val="ListBullet"/>
        <w:spacing w:before="0" w:after="60" w:line="276" w:lineRule="auto"/>
      </w:pPr>
      <w:r>
        <w:rPr>
          <w:rFonts w:ascii="Calibri" w:hAnsi="Calibri"/>
          <w:b/>
          <w:color w:val="1B365D"/>
        </w:rPr>
        <w:t xml:space="preserve">3. Elastic Net: </w:t>
      </w:r>
      <w:r>
        <w:rPr>
          <w:rFonts w:ascii="Calibri" w:hAnsi="Calibri"/>
          <w:color w:val="1E293B"/>
        </w:rPr>
        <w:t>Regularized generalized linear model combining L1 (Lasso) and L2 (Ridge) penalties.</w:t>
      </w:r>
    </w:p>
    <w:p>
      <w:pPr>
        <w:pStyle w:val="ListBullet"/>
        <w:spacing w:before="0" w:after="60" w:line="276" w:lineRule="auto"/>
      </w:pPr>
      <w:r>
        <w:rPr>
          <w:rFonts w:ascii="Calibri" w:hAnsi="Calibri"/>
          <w:b/>
          <w:color w:val="1B365D"/>
        </w:rPr>
        <w:t xml:space="preserve">4. Naive Bayes: </w:t>
      </w:r>
      <w:r>
        <w:rPr>
          <w:rFonts w:ascii="Calibri" w:hAnsi="Calibri"/>
          <w:color w:val="1E293B"/>
        </w:rPr>
        <w:t>Probabilistic classifier applying Bayes' Theorem under conditional independence assumptions.</w:t>
      </w:r>
    </w:p>
    <w:p>
      <w:pPr>
        <w:pStyle w:val="ListBullet"/>
        <w:spacing w:before="0" w:after="60" w:line="276" w:lineRule="auto"/>
      </w:pPr>
      <w:r>
        <w:rPr>
          <w:rFonts w:ascii="Calibri" w:hAnsi="Calibri"/>
          <w:b/>
          <w:color w:val="1B365D"/>
        </w:rPr>
        <w:t xml:space="preserve">5. K-Nearest Neighbors (KNN): </w:t>
      </w:r>
      <w:r>
        <w:rPr>
          <w:rFonts w:ascii="Calibri" w:hAnsi="Calibri"/>
          <w:color w:val="1E293B"/>
        </w:rPr>
        <w:t>Instance-based non-parametric classifier evaluating Euclidean feature distances.</w:t>
      </w:r>
    </w:p>
    <w:p>
      <w:pPr>
        <w:pStyle w:val="ListBullet"/>
        <w:spacing w:before="0" w:after="60" w:line="276" w:lineRule="auto"/>
      </w:pPr>
      <w:r>
        <w:rPr>
          <w:rFonts w:ascii="Calibri" w:hAnsi="Calibri"/>
          <w:b/>
          <w:color w:val="1B365D"/>
        </w:rPr>
        <w:t xml:space="preserve">6. Support Vector Machines (SVM): </w:t>
      </w:r>
      <w:r>
        <w:rPr>
          <w:rFonts w:ascii="Calibri" w:hAnsi="Calibri"/>
          <w:color w:val="1E293B"/>
        </w:rPr>
        <w:t>Kernelized max-margin classifier utilizing Radial Basis Function (RBF) projections.</w:t>
      </w:r>
    </w:p>
    <w:p>
      <w:pPr>
        <w:pStyle w:val="ListBullet"/>
        <w:spacing w:before="0" w:after="60" w:line="276" w:lineRule="auto"/>
      </w:pPr>
      <w:r>
        <w:rPr>
          <w:rFonts w:ascii="Calibri" w:hAnsi="Calibri"/>
          <w:b/>
          <w:color w:val="1B365D"/>
        </w:rPr>
        <w:t xml:space="preserve">7. Decision Tree (CART): </w:t>
      </w:r>
      <w:r>
        <w:rPr>
          <w:rFonts w:ascii="Calibri" w:hAnsi="Calibri"/>
          <w:color w:val="1E293B"/>
        </w:rPr>
        <w:t>Non-parametric hierarchical recursive partitioning tree optimizing Gini impurity.</w:t>
      </w:r>
    </w:p>
    <w:p>
      <w:pPr>
        <w:pStyle w:val="ListBullet"/>
        <w:spacing w:before="0" w:after="60" w:line="276" w:lineRule="auto"/>
      </w:pPr>
      <w:r>
        <w:rPr>
          <w:rFonts w:ascii="Calibri" w:hAnsi="Calibri"/>
          <w:b/>
          <w:color w:val="1B365D"/>
        </w:rPr>
        <w:t xml:space="preserve">8. Random Forest: </w:t>
      </w:r>
      <w:r>
        <w:rPr>
          <w:rFonts w:ascii="Calibri" w:hAnsi="Calibri"/>
          <w:color w:val="1E293B"/>
        </w:rPr>
        <w:t>Bagged ensemble of de-correlated decision trees with randomized feature sub-sampling.</w:t>
      </w:r>
    </w:p>
    <w:p>
      <w:pPr>
        <w:pStyle w:val="ListBullet"/>
        <w:spacing w:before="0" w:after="60" w:line="276" w:lineRule="auto"/>
      </w:pPr>
      <w:r>
        <w:rPr>
          <w:rFonts w:ascii="Calibri" w:hAnsi="Calibri"/>
          <w:b/>
          <w:color w:val="1B365D"/>
        </w:rPr>
        <w:t xml:space="preserve">9. Gradient Boosting Machine (GBM): </w:t>
      </w:r>
      <w:r>
        <w:rPr>
          <w:rFonts w:ascii="Calibri" w:hAnsi="Calibri"/>
          <w:color w:val="1E293B"/>
        </w:rPr>
        <w:t>Sequential ensemble minimizing pseudo-residuals via gradient descent boosting.</w:t>
      </w:r>
    </w:p>
    <w:p>
      <w:pPr>
        <w:pStyle w:val="ListBullet"/>
        <w:spacing w:before="0" w:after="60" w:line="276" w:lineRule="auto"/>
      </w:pPr>
      <w:r>
        <w:rPr>
          <w:rFonts w:ascii="Calibri" w:hAnsi="Calibri"/>
          <w:b/>
          <w:color w:val="1B365D"/>
        </w:rPr>
        <w:t xml:space="preserve">10. Extreme Gradient Boosting (XGBoost): </w:t>
      </w:r>
      <w:r>
        <w:rPr>
          <w:rFonts w:ascii="Calibri" w:hAnsi="Calibri"/>
          <w:color w:val="1E293B"/>
        </w:rPr>
        <w:t>Optimized scalable tree-boosting system with exact split finding and L1/L2 regularization.</w:t>
      </w:r>
    </w:p>
    <w:p>
      <w:pPr>
        <w:keepNext/>
        <w:spacing w:before="360" w:after="120"/>
      </w:pPr>
      <w:r>
        <w:rPr>
          <w:rFonts w:ascii="Calibri" w:hAnsi="Calibri"/>
          <w:b/>
          <w:color w:val="1B365D"/>
          <w:sz w:val="32"/>
        </w:rPr>
        <w:t>9. Model Performance Comparison</w:t>
      </w:r>
    </w:p>
    <w:p>
      <w:pPr>
        <w:keepNext/>
        <w:spacing w:before="280" w:after="80"/>
      </w:pPr>
      <w:r>
        <w:rPr>
          <w:rFonts w:ascii="Calibri" w:hAnsi="Calibri"/>
          <w:b/>
          <w:color w:val="1B365D"/>
          <w:sz w:val="26"/>
        </w:rPr>
        <w:t>9.1 Baseline Model Results</w:t>
      </w:r>
    </w:p>
    <w:p>
      <w:pPr>
        <w:spacing w:before="0" w:after="120" w:line="276" w:lineRule="auto"/>
      </w:pPr>
      <w:r>
        <w:rPr>
          <w:rFonts w:ascii="Calibri" w:hAnsi="Calibri"/>
          <w:color w:val="1E293B"/>
          <w:sz w:val="22"/>
        </w:rPr>
        <w:t>All 10 baseline algorithms were evaluated on the 9,999 holdout test records under the standard default classification threshold of 0.50. Table 3 presents the comparative metrics.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170"/>
        <w:gridCol w:w="1170"/>
        <w:gridCol w:w="1170"/>
        <w:gridCol w:w="1170"/>
        <w:gridCol w:w="1170"/>
        <w:gridCol w:w="1170"/>
        <w:gridCol w:w="1170"/>
        <w:gridCol w:w="1170"/>
      </w:tblGrid>
      <w:tr>
        <w:tc>
          <w:tcPr>
            <w:tcW w:type="dxa" w:w="2304"/>
            <w:shd w:val="clear" w:color="auto" w:fill="1B365D"/>
            <w:tcMar>
              <w:top w:w="100" w:type="dxa"/>
              <w:bottom w:w="100" w:type="dxa"/>
              <w:left w:w="140" w:type="dxa"/>
              <w:right w:w="140" w:type="dxa"/>
            </w:tcMar>
          </w:tcPr>
          <w:p>
            <w:pPr>
              <w:spacing w:before="0" w:after="0"/>
              <w:jc w:val="left"/>
            </w:pPr>
            <w:r>
              <w:rPr>
                <w:rFonts w:ascii="Calibri" w:hAnsi="Calibri"/>
                <w:b/>
                <w:color w:val="FFFFFF"/>
                <w:sz w:val="20"/>
              </w:rPr>
              <w:t>Algorithm</w:t>
            </w:r>
          </w:p>
        </w:tc>
        <w:tc>
          <w:tcPr>
            <w:tcW w:type="dxa" w:w="1008"/>
            <w:shd w:val="clear" w:color="auto" w:fill="1B365D"/>
            <w:tcMar>
              <w:top w:w="100" w:type="dxa"/>
              <w:bottom w:w="100" w:type="dxa"/>
              <w:left w:w="140" w:type="dxa"/>
              <w:right w:w="140" w:type="dxa"/>
            </w:tcMar>
          </w:tcPr>
          <w:p>
            <w:pPr>
              <w:spacing w:before="0" w:after="0"/>
              <w:jc w:val="right"/>
            </w:pPr>
            <w:r>
              <w:rPr>
                <w:rFonts w:ascii="Calibri" w:hAnsi="Calibri"/>
                <w:b/>
                <w:color w:val="FFFFFF"/>
                <w:sz w:val="20"/>
              </w:rPr>
              <w:t>Accuracy</w:t>
            </w:r>
          </w:p>
        </w:tc>
        <w:tc>
          <w:tcPr>
            <w:tcW w:type="dxa" w:w="1008"/>
            <w:shd w:val="clear" w:color="auto" w:fill="1B365D"/>
            <w:tcMar>
              <w:top w:w="100" w:type="dxa"/>
              <w:bottom w:w="100" w:type="dxa"/>
              <w:left w:w="140" w:type="dxa"/>
              <w:right w:w="140" w:type="dxa"/>
            </w:tcMar>
          </w:tcPr>
          <w:p>
            <w:pPr>
              <w:spacing w:before="0" w:after="0"/>
              <w:jc w:val="right"/>
            </w:pPr>
            <w:r>
              <w:rPr>
                <w:rFonts w:ascii="Calibri" w:hAnsi="Calibri"/>
                <w:b/>
                <w:color w:val="FFFFFF"/>
                <w:sz w:val="20"/>
              </w:rPr>
              <w:t>Recall</w:t>
            </w:r>
          </w:p>
        </w:tc>
        <w:tc>
          <w:tcPr>
            <w:tcW w:type="dxa" w:w="1008"/>
            <w:shd w:val="clear" w:color="auto" w:fill="1B365D"/>
            <w:tcMar>
              <w:top w:w="100" w:type="dxa"/>
              <w:bottom w:w="100" w:type="dxa"/>
              <w:left w:w="140" w:type="dxa"/>
              <w:right w:w="140" w:type="dxa"/>
            </w:tcMar>
          </w:tcPr>
          <w:p>
            <w:pPr>
              <w:spacing w:before="0" w:after="0"/>
              <w:jc w:val="right"/>
            </w:pPr>
            <w:r>
              <w:rPr>
                <w:rFonts w:ascii="Calibri" w:hAnsi="Calibri"/>
                <w:b/>
                <w:color w:val="FFFFFF"/>
                <w:sz w:val="20"/>
              </w:rPr>
              <w:t>Precision</w:t>
            </w:r>
          </w:p>
        </w:tc>
        <w:tc>
          <w:tcPr>
            <w:tcW w:type="dxa" w:w="1008"/>
            <w:shd w:val="clear" w:color="auto" w:fill="1B365D"/>
            <w:tcMar>
              <w:top w:w="100" w:type="dxa"/>
              <w:bottom w:w="100" w:type="dxa"/>
              <w:left w:w="140" w:type="dxa"/>
              <w:right w:w="140" w:type="dxa"/>
            </w:tcMar>
          </w:tcPr>
          <w:p>
            <w:pPr>
              <w:spacing w:before="0" w:after="0"/>
              <w:jc w:val="right"/>
            </w:pPr>
            <w:r>
              <w:rPr>
                <w:rFonts w:ascii="Calibri" w:hAnsi="Calibri"/>
                <w:b/>
                <w:color w:val="FFFFFF"/>
                <w:sz w:val="20"/>
              </w:rPr>
              <w:t>F1-Score</w:t>
            </w:r>
          </w:p>
        </w:tc>
        <w:tc>
          <w:tcPr>
            <w:tcW w:type="dxa" w:w="1008"/>
            <w:shd w:val="clear" w:color="auto" w:fill="1B365D"/>
            <w:tcMar>
              <w:top w:w="100" w:type="dxa"/>
              <w:bottom w:w="100" w:type="dxa"/>
              <w:left w:w="140" w:type="dxa"/>
              <w:right w:w="140" w:type="dxa"/>
            </w:tcMar>
          </w:tcPr>
          <w:p>
            <w:pPr>
              <w:spacing w:before="0" w:after="0"/>
              <w:jc w:val="right"/>
            </w:pPr>
            <w:r>
              <w:rPr>
                <w:rFonts w:ascii="Calibri" w:hAnsi="Calibri"/>
                <w:b/>
                <w:color w:val="FFFFFF"/>
                <w:sz w:val="20"/>
              </w:rPr>
              <w:t>Specificity</w:t>
            </w:r>
          </w:p>
        </w:tc>
        <w:tc>
          <w:tcPr>
            <w:tcW w:type="dxa" w:w="1008"/>
            <w:shd w:val="clear" w:color="auto" w:fill="1B365D"/>
            <w:tcMar>
              <w:top w:w="100" w:type="dxa"/>
              <w:bottom w:w="100" w:type="dxa"/>
              <w:left w:w="140" w:type="dxa"/>
              <w:right w:w="140" w:type="dxa"/>
            </w:tcMar>
          </w:tcPr>
          <w:p>
            <w:pPr>
              <w:spacing w:before="0" w:after="0"/>
              <w:jc w:val="right"/>
            </w:pPr>
            <w:r>
              <w:rPr>
                <w:rFonts w:ascii="Calibri" w:hAnsi="Calibri"/>
                <w:b/>
                <w:color w:val="FFFFFF"/>
                <w:sz w:val="20"/>
              </w:rPr>
              <w:t>ROC-AUC</w:t>
            </w:r>
          </w:p>
        </w:tc>
        <w:tc>
          <w:tcPr>
            <w:tcW w:type="dxa" w:w="720"/>
            <w:shd w:val="clear" w:color="auto" w:fill="1B365D"/>
            <w:tcMar>
              <w:top w:w="100" w:type="dxa"/>
              <w:bottom w:w="100" w:type="dxa"/>
              <w:left w:w="140" w:type="dxa"/>
              <w:right w:w="140" w:type="dxa"/>
            </w:tcMar>
          </w:tcPr>
          <w:p>
            <w:pPr>
              <w:spacing w:before="0" w:after="0"/>
              <w:jc w:val="right"/>
            </w:pPr>
            <w:r>
              <w:rPr>
                <w:rFonts w:ascii="Calibri" w:hAnsi="Calibri"/>
                <w:b/>
                <w:color w:val="FFFFFF"/>
                <w:sz w:val="20"/>
              </w:rPr>
              <w:t>Rank</w:t>
            </w:r>
          </w:p>
        </w:tc>
      </w:tr>
      <w:tr>
        <w:tc>
          <w:tcPr>
            <w:tcW w:type="dxa" w:w="2304"/>
            <w:shd w:val="clear" w:color="auto" w:fill="FFFFFF"/>
            <w:tcMar>
              <w:top w:w="100" w:type="dxa"/>
              <w:bottom w:w="100" w:type="dxa"/>
              <w:left w:w="140" w:type="dxa"/>
              <w:right w:w="140" w:type="dxa"/>
            </w:tcMar>
          </w:tcPr>
          <w:p>
            <w:pPr>
              <w:spacing w:before="0" w:after="0"/>
              <w:jc w:val="left"/>
            </w:pPr>
            <w:r>
              <w:rPr>
                <w:rFonts w:ascii="Calibri" w:hAnsi="Calibri"/>
                <w:color w:val="1E293B"/>
                <w:sz w:val="19"/>
              </w:rPr>
              <w:t>Random Forest</w:t>
            </w:r>
          </w:p>
        </w:tc>
        <w:tc>
          <w:tcPr>
            <w:tcW w:type="dxa" w:w="1008"/>
            <w:shd w:val="clear" w:color="auto" w:fill="FFFFFF"/>
            <w:tcMar>
              <w:top w:w="100" w:type="dxa"/>
              <w:bottom w:w="100" w:type="dxa"/>
              <w:left w:w="140" w:type="dxa"/>
              <w:right w:w="140" w:type="dxa"/>
            </w:tcMar>
          </w:tcPr>
          <w:p>
            <w:pPr>
              <w:spacing w:before="0" w:after="0"/>
              <w:jc w:val="right"/>
            </w:pPr>
            <w:r>
              <w:rPr>
                <w:rFonts w:ascii="Calibri" w:hAnsi="Calibri"/>
                <w:color w:val="1E293B"/>
                <w:sz w:val="19"/>
              </w:rPr>
              <w:t>1.0000</w:t>
            </w:r>
          </w:p>
        </w:tc>
        <w:tc>
          <w:tcPr>
            <w:tcW w:type="dxa" w:w="1008"/>
            <w:shd w:val="clear" w:color="auto" w:fill="FFFFFF"/>
            <w:tcMar>
              <w:top w:w="100" w:type="dxa"/>
              <w:bottom w:w="100" w:type="dxa"/>
              <w:left w:w="140" w:type="dxa"/>
              <w:right w:w="140" w:type="dxa"/>
            </w:tcMar>
          </w:tcPr>
          <w:p>
            <w:pPr>
              <w:spacing w:before="0" w:after="0"/>
              <w:jc w:val="right"/>
            </w:pPr>
            <w:r>
              <w:rPr>
                <w:rFonts w:ascii="Calibri" w:hAnsi="Calibri"/>
                <w:color w:val="1E293B"/>
                <w:sz w:val="19"/>
              </w:rPr>
              <w:t>1.0000</w:t>
            </w:r>
          </w:p>
        </w:tc>
        <w:tc>
          <w:tcPr>
            <w:tcW w:type="dxa" w:w="1008"/>
            <w:shd w:val="clear" w:color="auto" w:fill="FFFFFF"/>
            <w:tcMar>
              <w:top w:w="100" w:type="dxa"/>
              <w:bottom w:w="100" w:type="dxa"/>
              <w:left w:w="140" w:type="dxa"/>
              <w:right w:w="140" w:type="dxa"/>
            </w:tcMar>
          </w:tcPr>
          <w:p>
            <w:pPr>
              <w:spacing w:before="0" w:after="0"/>
              <w:jc w:val="right"/>
            </w:pPr>
            <w:r>
              <w:rPr>
                <w:rFonts w:ascii="Calibri" w:hAnsi="Calibri"/>
                <w:color w:val="1E293B"/>
                <w:sz w:val="19"/>
              </w:rPr>
              <w:t>1.0000</w:t>
            </w:r>
          </w:p>
        </w:tc>
        <w:tc>
          <w:tcPr>
            <w:tcW w:type="dxa" w:w="1008"/>
            <w:shd w:val="clear" w:color="auto" w:fill="FFFFFF"/>
            <w:tcMar>
              <w:top w:w="100" w:type="dxa"/>
              <w:bottom w:w="100" w:type="dxa"/>
              <w:left w:w="140" w:type="dxa"/>
              <w:right w:w="140" w:type="dxa"/>
            </w:tcMar>
          </w:tcPr>
          <w:p>
            <w:pPr>
              <w:spacing w:before="0" w:after="0"/>
              <w:jc w:val="right"/>
            </w:pPr>
            <w:r>
              <w:rPr>
                <w:rFonts w:ascii="Calibri" w:hAnsi="Calibri"/>
                <w:color w:val="1E293B"/>
                <w:sz w:val="19"/>
              </w:rPr>
              <w:t>1.0000</w:t>
            </w:r>
          </w:p>
        </w:tc>
        <w:tc>
          <w:tcPr>
            <w:tcW w:type="dxa" w:w="1008"/>
            <w:shd w:val="clear" w:color="auto" w:fill="FFFFFF"/>
            <w:tcMar>
              <w:top w:w="100" w:type="dxa"/>
              <w:bottom w:w="100" w:type="dxa"/>
              <w:left w:w="140" w:type="dxa"/>
              <w:right w:w="140" w:type="dxa"/>
            </w:tcMar>
          </w:tcPr>
          <w:p>
            <w:pPr>
              <w:spacing w:before="0" w:after="0"/>
              <w:jc w:val="right"/>
            </w:pPr>
            <w:r>
              <w:rPr>
                <w:rFonts w:ascii="Calibri" w:hAnsi="Calibri"/>
                <w:color w:val="1E293B"/>
                <w:sz w:val="19"/>
              </w:rPr>
              <w:t>1.0000</w:t>
            </w:r>
          </w:p>
        </w:tc>
        <w:tc>
          <w:tcPr>
            <w:tcW w:type="dxa" w:w="1008"/>
            <w:shd w:val="clear" w:color="auto" w:fill="FFFFFF"/>
            <w:tcMar>
              <w:top w:w="100" w:type="dxa"/>
              <w:bottom w:w="100" w:type="dxa"/>
              <w:left w:w="140" w:type="dxa"/>
              <w:right w:w="140" w:type="dxa"/>
            </w:tcMar>
          </w:tcPr>
          <w:p>
            <w:pPr>
              <w:spacing w:before="0" w:after="0"/>
              <w:jc w:val="right"/>
            </w:pPr>
            <w:r>
              <w:rPr>
                <w:rFonts w:ascii="Calibri" w:hAnsi="Calibri"/>
                <w:color w:val="1E293B"/>
                <w:sz w:val="19"/>
              </w:rPr>
              <w:t>1.0000</w:t>
            </w:r>
          </w:p>
        </w:tc>
        <w:tc>
          <w:tcPr>
            <w:tcW w:type="dxa" w:w="720"/>
            <w:shd w:val="clear" w:color="auto" w:fill="FFFFFF"/>
            <w:tcMar>
              <w:top w:w="100" w:type="dxa"/>
              <w:bottom w:w="100" w:type="dxa"/>
              <w:left w:w="140" w:type="dxa"/>
              <w:right w:w="140" w:type="dxa"/>
            </w:tcMar>
          </w:tcPr>
          <w:p>
            <w:pPr>
              <w:spacing w:before="0" w:after="0"/>
              <w:jc w:val="right"/>
            </w:pPr>
            <w:r>
              <w:rPr>
                <w:rFonts w:ascii="Calibri" w:hAnsi="Calibri"/>
                <w:color w:val="1E293B"/>
                <w:sz w:val="19"/>
              </w:rPr>
              <w:t>1</w:t>
            </w:r>
          </w:p>
        </w:tc>
      </w:tr>
      <w:tr>
        <w:tc>
          <w:tcPr>
            <w:tcW w:type="dxa" w:w="2304"/>
            <w:shd w:val="clear" w:color="auto" w:fill="F8FAFC"/>
            <w:tcMar>
              <w:top w:w="100" w:type="dxa"/>
              <w:bottom w:w="100" w:type="dxa"/>
              <w:left w:w="140" w:type="dxa"/>
              <w:right w:w="140" w:type="dxa"/>
            </w:tcMar>
          </w:tcPr>
          <w:p>
            <w:pPr>
              <w:spacing w:before="0" w:after="0"/>
              <w:jc w:val="left"/>
            </w:pPr>
            <w:r>
              <w:rPr>
                <w:rFonts w:ascii="Calibri" w:hAnsi="Calibri"/>
                <w:color w:val="1E293B"/>
                <w:sz w:val="19"/>
              </w:rPr>
              <w:t>Gradient Boosting</w:t>
            </w:r>
          </w:p>
        </w:tc>
        <w:tc>
          <w:tcPr>
            <w:tcW w:type="dxa" w:w="1008"/>
            <w:shd w:val="clear" w:color="auto" w:fill="F8FAFC"/>
            <w:tcMar>
              <w:top w:w="100" w:type="dxa"/>
              <w:bottom w:w="100" w:type="dxa"/>
              <w:left w:w="140" w:type="dxa"/>
              <w:right w:w="140" w:type="dxa"/>
            </w:tcMar>
          </w:tcPr>
          <w:p>
            <w:pPr>
              <w:spacing w:before="0" w:after="0"/>
              <w:jc w:val="right"/>
            </w:pPr>
            <w:r>
              <w:rPr>
                <w:rFonts w:ascii="Calibri" w:hAnsi="Calibri"/>
                <w:color w:val="1E293B"/>
                <w:sz w:val="19"/>
              </w:rPr>
              <w:t>1.0000</w:t>
            </w:r>
          </w:p>
        </w:tc>
        <w:tc>
          <w:tcPr>
            <w:tcW w:type="dxa" w:w="1008"/>
            <w:shd w:val="clear" w:color="auto" w:fill="F8FAFC"/>
            <w:tcMar>
              <w:top w:w="100" w:type="dxa"/>
              <w:bottom w:w="100" w:type="dxa"/>
              <w:left w:w="140" w:type="dxa"/>
              <w:right w:w="140" w:type="dxa"/>
            </w:tcMar>
          </w:tcPr>
          <w:p>
            <w:pPr>
              <w:spacing w:before="0" w:after="0"/>
              <w:jc w:val="right"/>
            </w:pPr>
            <w:r>
              <w:rPr>
                <w:rFonts w:ascii="Calibri" w:hAnsi="Calibri"/>
                <w:color w:val="1E293B"/>
                <w:sz w:val="19"/>
              </w:rPr>
              <w:t>1.0000</w:t>
            </w:r>
          </w:p>
        </w:tc>
        <w:tc>
          <w:tcPr>
            <w:tcW w:type="dxa" w:w="1008"/>
            <w:shd w:val="clear" w:color="auto" w:fill="F8FAFC"/>
            <w:tcMar>
              <w:top w:w="100" w:type="dxa"/>
              <w:bottom w:w="100" w:type="dxa"/>
              <w:left w:w="140" w:type="dxa"/>
              <w:right w:w="140" w:type="dxa"/>
            </w:tcMar>
          </w:tcPr>
          <w:p>
            <w:pPr>
              <w:spacing w:before="0" w:after="0"/>
              <w:jc w:val="right"/>
            </w:pPr>
            <w:r>
              <w:rPr>
                <w:rFonts w:ascii="Calibri" w:hAnsi="Calibri"/>
                <w:color w:val="1E293B"/>
                <w:sz w:val="19"/>
              </w:rPr>
              <w:t>1.0000</w:t>
            </w:r>
          </w:p>
        </w:tc>
        <w:tc>
          <w:tcPr>
            <w:tcW w:type="dxa" w:w="1008"/>
            <w:shd w:val="clear" w:color="auto" w:fill="F8FAFC"/>
            <w:tcMar>
              <w:top w:w="100" w:type="dxa"/>
              <w:bottom w:w="100" w:type="dxa"/>
              <w:left w:w="140" w:type="dxa"/>
              <w:right w:w="140" w:type="dxa"/>
            </w:tcMar>
          </w:tcPr>
          <w:p>
            <w:pPr>
              <w:spacing w:before="0" w:after="0"/>
              <w:jc w:val="right"/>
            </w:pPr>
            <w:r>
              <w:rPr>
                <w:rFonts w:ascii="Calibri" w:hAnsi="Calibri"/>
                <w:color w:val="1E293B"/>
                <w:sz w:val="19"/>
              </w:rPr>
              <w:t>1.0000</w:t>
            </w:r>
          </w:p>
        </w:tc>
        <w:tc>
          <w:tcPr>
            <w:tcW w:type="dxa" w:w="1008"/>
            <w:shd w:val="clear" w:color="auto" w:fill="F8FAFC"/>
            <w:tcMar>
              <w:top w:w="100" w:type="dxa"/>
              <w:bottom w:w="100" w:type="dxa"/>
              <w:left w:w="140" w:type="dxa"/>
              <w:right w:w="140" w:type="dxa"/>
            </w:tcMar>
          </w:tcPr>
          <w:p>
            <w:pPr>
              <w:spacing w:before="0" w:after="0"/>
              <w:jc w:val="right"/>
            </w:pPr>
            <w:r>
              <w:rPr>
                <w:rFonts w:ascii="Calibri" w:hAnsi="Calibri"/>
                <w:color w:val="1E293B"/>
                <w:sz w:val="19"/>
              </w:rPr>
              <w:t>1.0000</w:t>
            </w:r>
          </w:p>
        </w:tc>
        <w:tc>
          <w:tcPr>
            <w:tcW w:type="dxa" w:w="1008"/>
            <w:shd w:val="clear" w:color="auto" w:fill="F8FAFC"/>
            <w:tcMar>
              <w:top w:w="100" w:type="dxa"/>
              <w:bottom w:w="100" w:type="dxa"/>
              <w:left w:w="140" w:type="dxa"/>
              <w:right w:w="140" w:type="dxa"/>
            </w:tcMar>
          </w:tcPr>
          <w:p>
            <w:pPr>
              <w:spacing w:before="0" w:after="0"/>
              <w:jc w:val="right"/>
            </w:pPr>
            <w:r>
              <w:rPr>
                <w:rFonts w:ascii="Calibri" w:hAnsi="Calibri"/>
                <w:color w:val="1E293B"/>
                <w:sz w:val="19"/>
              </w:rPr>
              <w:t>1.0000</w:t>
            </w:r>
          </w:p>
        </w:tc>
        <w:tc>
          <w:tcPr>
            <w:tcW w:type="dxa" w:w="720"/>
            <w:shd w:val="clear" w:color="auto" w:fill="F8FAFC"/>
            <w:tcMar>
              <w:top w:w="100" w:type="dxa"/>
              <w:bottom w:w="100" w:type="dxa"/>
              <w:left w:w="140" w:type="dxa"/>
              <w:right w:w="140" w:type="dxa"/>
            </w:tcMar>
          </w:tcPr>
          <w:p>
            <w:pPr>
              <w:spacing w:before="0" w:after="0"/>
              <w:jc w:val="right"/>
            </w:pPr>
            <w:r>
              <w:rPr>
                <w:rFonts w:ascii="Calibri" w:hAnsi="Calibri"/>
                <w:color w:val="1E293B"/>
                <w:sz w:val="19"/>
              </w:rPr>
              <w:t>2</w:t>
            </w:r>
          </w:p>
        </w:tc>
      </w:tr>
      <w:tr>
        <w:tc>
          <w:tcPr>
            <w:tcW w:type="dxa" w:w="2304"/>
            <w:shd w:val="clear" w:color="auto" w:fill="FFFFFF"/>
            <w:tcMar>
              <w:top w:w="100" w:type="dxa"/>
              <w:bottom w:w="100" w:type="dxa"/>
              <w:left w:w="140" w:type="dxa"/>
              <w:right w:w="140" w:type="dxa"/>
            </w:tcMar>
          </w:tcPr>
          <w:p>
            <w:pPr>
              <w:spacing w:before="0" w:after="0"/>
              <w:jc w:val="left"/>
            </w:pPr>
            <w:r>
              <w:rPr>
                <w:rFonts w:ascii="Calibri" w:hAnsi="Calibri"/>
                <w:color w:val="1E293B"/>
                <w:sz w:val="19"/>
              </w:rPr>
              <w:t>XGBoost</w:t>
            </w:r>
          </w:p>
        </w:tc>
        <w:tc>
          <w:tcPr>
            <w:tcW w:type="dxa" w:w="1008"/>
            <w:shd w:val="clear" w:color="auto" w:fill="FFFFFF"/>
            <w:tcMar>
              <w:top w:w="100" w:type="dxa"/>
              <w:bottom w:w="100" w:type="dxa"/>
              <w:left w:w="140" w:type="dxa"/>
              <w:right w:w="140" w:type="dxa"/>
            </w:tcMar>
          </w:tcPr>
          <w:p>
            <w:pPr>
              <w:spacing w:before="0" w:after="0"/>
              <w:jc w:val="right"/>
            </w:pPr>
            <w:r>
              <w:rPr>
                <w:rFonts w:ascii="Calibri" w:hAnsi="Calibri"/>
                <w:color w:val="1E293B"/>
                <w:sz w:val="19"/>
              </w:rPr>
              <w:t>1.0000</w:t>
            </w:r>
          </w:p>
        </w:tc>
        <w:tc>
          <w:tcPr>
            <w:tcW w:type="dxa" w:w="1008"/>
            <w:shd w:val="clear" w:color="auto" w:fill="FFFFFF"/>
            <w:tcMar>
              <w:top w:w="100" w:type="dxa"/>
              <w:bottom w:w="100" w:type="dxa"/>
              <w:left w:w="140" w:type="dxa"/>
              <w:right w:w="140" w:type="dxa"/>
            </w:tcMar>
          </w:tcPr>
          <w:p>
            <w:pPr>
              <w:spacing w:before="0" w:after="0"/>
              <w:jc w:val="right"/>
            </w:pPr>
            <w:r>
              <w:rPr>
                <w:rFonts w:ascii="Calibri" w:hAnsi="Calibri"/>
                <w:color w:val="1E293B"/>
                <w:sz w:val="19"/>
              </w:rPr>
              <w:t>1.0000</w:t>
            </w:r>
          </w:p>
        </w:tc>
        <w:tc>
          <w:tcPr>
            <w:tcW w:type="dxa" w:w="1008"/>
            <w:shd w:val="clear" w:color="auto" w:fill="FFFFFF"/>
            <w:tcMar>
              <w:top w:w="100" w:type="dxa"/>
              <w:bottom w:w="100" w:type="dxa"/>
              <w:left w:w="140" w:type="dxa"/>
              <w:right w:w="140" w:type="dxa"/>
            </w:tcMar>
          </w:tcPr>
          <w:p>
            <w:pPr>
              <w:spacing w:before="0" w:after="0"/>
              <w:jc w:val="right"/>
            </w:pPr>
            <w:r>
              <w:rPr>
                <w:rFonts w:ascii="Calibri" w:hAnsi="Calibri"/>
                <w:color w:val="1E293B"/>
                <w:sz w:val="19"/>
              </w:rPr>
              <w:t>1.0000</w:t>
            </w:r>
          </w:p>
        </w:tc>
        <w:tc>
          <w:tcPr>
            <w:tcW w:type="dxa" w:w="1008"/>
            <w:shd w:val="clear" w:color="auto" w:fill="FFFFFF"/>
            <w:tcMar>
              <w:top w:w="100" w:type="dxa"/>
              <w:bottom w:w="100" w:type="dxa"/>
              <w:left w:w="140" w:type="dxa"/>
              <w:right w:w="140" w:type="dxa"/>
            </w:tcMar>
          </w:tcPr>
          <w:p>
            <w:pPr>
              <w:spacing w:before="0" w:after="0"/>
              <w:jc w:val="right"/>
            </w:pPr>
            <w:r>
              <w:rPr>
                <w:rFonts w:ascii="Calibri" w:hAnsi="Calibri"/>
                <w:color w:val="1E293B"/>
                <w:sz w:val="19"/>
              </w:rPr>
              <w:t>1.0000</w:t>
            </w:r>
          </w:p>
        </w:tc>
        <w:tc>
          <w:tcPr>
            <w:tcW w:type="dxa" w:w="1008"/>
            <w:shd w:val="clear" w:color="auto" w:fill="FFFFFF"/>
            <w:tcMar>
              <w:top w:w="100" w:type="dxa"/>
              <w:bottom w:w="100" w:type="dxa"/>
              <w:left w:w="140" w:type="dxa"/>
              <w:right w:w="140" w:type="dxa"/>
            </w:tcMar>
          </w:tcPr>
          <w:p>
            <w:pPr>
              <w:spacing w:before="0" w:after="0"/>
              <w:jc w:val="right"/>
            </w:pPr>
            <w:r>
              <w:rPr>
                <w:rFonts w:ascii="Calibri" w:hAnsi="Calibri"/>
                <w:color w:val="1E293B"/>
                <w:sz w:val="19"/>
              </w:rPr>
              <w:t>1.0000</w:t>
            </w:r>
          </w:p>
        </w:tc>
        <w:tc>
          <w:tcPr>
            <w:tcW w:type="dxa" w:w="1008"/>
            <w:shd w:val="clear" w:color="auto" w:fill="FFFFFF"/>
            <w:tcMar>
              <w:top w:w="100" w:type="dxa"/>
              <w:bottom w:w="100" w:type="dxa"/>
              <w:left w:w="140" w:type="dxa"/>
              <w:right w:w="140" w:type="dxa"/>
            </w:tcMar>
          </w:tcPr>
          <w:p>
            <w:pPr>
              <w:spacing w:before="0" w:after="0"/>
              <w:jc w:val="right"/>
            </w:pPr>
            <w:r>
              <w:rPr>
                <w:rFonts w:ascii="Calibri" w:hAnsi="Calibri"/>
                <w:color w:val="1E293B"/>
                <w:sz w:val="19"/>
              </w:rPr>
              <w:t>1.0000</w:t>
            </w:r>
          </w:p>
        </w:tc>
        <w:tc>
          <w:tcPr>
            <w:tcW w:type="dxa" w:w="720"/>
            <w:shd w:val="clear" w:color="auto" w:fill="FFFFFF"/>
            <w:tcMar>
              <w:top w:w="100" w:type="dxa"/>
              <w:bottom w:w="100" w:type="dxa"/>
              <w:left w:w="140" w:type="dxa"/>
              <w:right w:w="140" w:type="dxa"/>
            </w:tcMar>
          </w:tcPr>
          <w:p>
            <w:pPr>
              <w:spacing w:before="0" w:after="0"/>
              <w:jc w:val="right"/>
            </w:pPr>
            <w:r>
              <w:rPr>
                <w:rFonts w:ascii="Calibri" w:hAnsi="Calibri"/>
                <w:color w:val="1E293B"/>
                <w:sz w:val="19"/>
              </w:rPr>
              <w:t>3</w:t>
            </w:r>
          </w:p>
        </w:tc>
      </w:tr>
      <w:tr>
        <w:tc>
          <w:tcPr>
            <w:tcW w:type="dxa" w:w="2304"/>
            <w:shd w:val="clear" w:color="auto" w:fill="F8FAFC"/>
            <w:tcMar>
              <w:top w:w="100" w:type="dxa"/>
              <w:bottom w:w="100" w:type="dxa"/>
              <w:left w:w="140" w:type="dxa"/>
              <w:right w:w="140" w:type="dxa"/>
            </w:tcMar>
          </w:tcPr>
          <w:p>
            <w:pPr>
              <w:spacing w:before="0" w:after="0"/>
              <w:jc w:val="left"/>
            </w:pPr>
            <w:r>
              <w:rPr>
                <w:rFonts w:ascii="Calibri" w:hAnsi="Calibri"/>
                <w:color w:val="1E293B"/>
                <w:sz w:val="19"/>
              </w:rPr>
              <w:t>SVM (RBF Kernel)</w:t>
            </w:r>
          </w:p>
        </w:tc>
        <w:tc>
          <w:tcPr>
            <w:tcW w:type="dxa" w:w="1008"/>
            <w:shd w:val="clear" w:color="auto" w:fill="F8FAFC"/>
            <w:tcMar>
              <w:top w:w="100" w:type="dxa"/>
              <w:bottom w:w="100" w:type="dxa"/>
              <w:left w:w="140" w:type="dxa"/>
              <w:right w:w="140" w:type="dxa"/>
            </w:tcMar>
          </w:tcPr>
          <w:p>
            <w:pPr>
              <w:spacing w:before="0" w:after="0"/>
              <w:jc w:val="right"/>
            </w:pPr>
            <w:r>
              <w:rPr>
                <w:rFonts w:ascii="Calibri" w:hAnsi="Calibri"/>
                <w:color w:val="1E293B"/>
                <w:sz w:val="19"/>
              </w:rPr>
              <w:t>0.9661</w:t>
            </w:r>
          </w:p>
        </w:tc>
        <w:tc>
          <w:tcPr>
            <w:tcW w:type="dxa" w:w="1008"/>
            <w:shd w:val="clear" w:color="auto" w:fill="F8FAFC"/>
            <w:tcMar>
              <w:top w:w="100" w:type="dxa"/>
              <w:bottom w:w="100" w:type="dxa"/>
              <w:left w:w="140" w:type="dxa"/>
              <w:right w:w="140" w:type="dxa"/>
            </w:tcMar>
          </w:tcPr>
          <w:p>
            <w:pPr>
              <w:spacing w:before="0" w:after="0"/>
              <w:jc w:val="right"/>
            </w:pPr>
            <w:r>
              <w:rPr>
                <w:rFonts w:ascii="Calibri" w:hAnsi="Calibri"/>
                <w:color w:val="1E293B"/>
                <w:sz w:val="19"/>
              </w:rPr>
              <w:t>0.8979</w:t>
            </w:r>
          </w:p>
        </w:tc>
        <w:tc>
          <w:tcPr>
            <w:tcW w:type="dxa" w:w="1008"/>
            <w:shd w:val="clear" w:color="auto" w:fill="F8FAFC"/>
            <w:tcMar>
              <w:top w:w="100" w:type="dxa"/>
              <w:bottom w:w="100" w:type="dxa"/>
              <w:left w:w="140" w:type="dxa"/>
              <w:right w:w="140" w:type="dxa"/>
            </w:tcMar>
          </w:tcPr>
          <w:p>
            <w:pPr>
              <w:spacing w:before="0" w:after="0"/>
              <w:jc w:val="right"/>
            </w:pPr>
            <w:r>
              <w:rPr>
                <w:rFonts w:ascii="Calibri" w:hAnsi="Calibri"/>
                <w:color w:val="1E293B"/>
                <w:sz w:val="19"/>
              </w:rPr>
              <w:t>0.8974</w:t>
            </w:r>
          </w:p>
        </w:tc>
        <w:tc>
          <w:tcPr>
            <w:tcW w:type="dxa" w:w="1008"/>
            <w:shd w:val="clear" w:color="auto" w:fill="F8FAFC"/>
            <w:tcMar>
              <w:top w:w="100" w:type="dxa"/>
              <w:bottom w:w="100" w:type="dxa"/>
              <w:left w:w="140" w:type="dxa"/>
              <w:right w:w="140" w:type="dxa"/>
            </w:tcMar>
          </w:tcPr>
          <w:p>
            <w:pPr>
              <w:spacing w:before="0" w:after="0"/>
              <w:jc w:val="right"/>
            </w:pPr>
            <w:r>
              <w:rPr>
                <w:rFonts w:ascii="Calibri" w:hAnsi="Calibri"/>
                <w:color w:val="1E293B"/>
                <w:sz w:val="19"/>
              </w:rPr>
              <w:t>0.8977</w:t>
            </w:r>
          </w:p>
        </w:tc>
        <w:tc>
          <w:tcPr>
            <w:tcW w:type="dxa" w:w="1008"/>
            <w:shd w:val="clear" w:color="auto" w:fill="F8FAFC"/>
            <w:tcMar>
              <w:top w:w="100" w:type="dxa"/>
              <w:bottom w:w="100" w:type="dxa"/>
              <w:left w:w="140" w:type="dxa"/>
              <w:right w:w="140" w:type="dxa"/>
            </w:tcMar>
          </w:tcPr>
          <w:p>
            <w:pPr>
              <w:spacing w:before="0" w:after="0"/>
              <w:jc w:val="right"/>
            </w:pPr>
            <w:r>
              <w:rPr>
                <w:rFonts w:ascii="Calibri" w:hAnsi="Calibri"/>
                <w:color w:val="1E293B"/>
                <w:sz w:val="19"/>
              </w:rPr>
              <w:t>0.9796</w:t>
            </w:r>
          </w:p>
        </w:tc>
        <w:tc>
          <w:tcPr>
            <w:tcW w:type="dxa" w:w="1008"/>
            <w:shd w:val="clear" w:color="auto" w:fill="F8FAFC"/>
            <w:tcMar>
              <w:top w:w="100" w:type="dxa"/>
              <w:bottom w:w="100" w:type="dxa"/>
              <w:left w:w="140" w:type="dxa"/>
              <w:right w:w="140" w:type="dxa"/>
            </w:tcMar>
          </w:tcPr>
          <w:p>
            <w:pPr>
              <w:spacing w:before="0" w:after="0"/>
              <w:jc w:val="right"/>
            </w:pPr>
            <w:r>
              <w:rPr>
                <w:rFonts w:ascii="Calibri" w:hAnsi="Calibri"/>
                <w:color w:val="1E293B"/>
                <w:sz w:val="19"/>
              </w:rPr>
              <w:t>0.9903</w:t>
            </w:r>
          </w:p>
        </w:tc>
        <w:tc>
          <w:tcPr>
            <w:tcW w:type="dxa" w:w="720"/>
            <w:shd w:val="clear" w:color="auto" w:fill="F8FAFC"/>
            <w:tcMar>
              <w:top w:w="100" w:type="dxa"/>
              <w:bottom w:w="100" w:type="dxa"/>
              <w:left w:w="140" w:type="dxa"/>
              <w:right w:w="140" w:type="dxa"/>
            </w:tcMar>
          </w:tcPr>
          <w:p>
            <w:pPr>
              <w:spacing w:before="0" w:after="0"/>
              <w:jc w:val="right"/>
            </w:pPr>
            <w:r>
              <w:rPr>
                <w:rFonts w:ascii="Calibri" w:hAnsi="Calibri"/>
                <w:color w:val="1E293B"/>
                <w:sz w:val="19"/>
              </w:rPr>
              <w:t>4</w:t>
            </w:r>
          </w:p>
        </w:tc>
      </w:tr>
      <w:tr>
        <w:tc>
          <w:tcPr>
            <w:tcW w:type="dxa" w:w="2304"/>
            <w:shd w:val="clear" w:color="auto" w:fill="FFFFFF"/>
            <w:tcMar>
              <w:top w:w="100" w:type="dxa"/>
              <w:bottom w:w="100" w:type="dxa"/>
              <w:left w:w="140" w:type="dxa"/>
              <w:right w:w="140" w:type="dxa"/>
            </w:tcMar>
          </w:tcPr>
          <w:p>
            <w:pPr>
              <w:spacing w:before="0" w:after="0"/>
              <w:jc w:val="left"/>
            </w:pPr>
            <w:r>
              <w:rPr>
                <w:rFonts w:ascii="Calibri" w:hAnsi="Calibri"/>
                <w:color w:val="1E293B"/>
                <w:sz w:val="19"/>
              </w:rPr>
              <w:t>Decision Tree</w:t>
            </w:r>
          </w:p>
        </w:tc>
        <w:tc>
          <w:tcPr>
            <w:tcW w:type="dxa" w:w="1008"/>
            <w:shd w:val="clear" w:color="auto" w:fill="FFFFFF"/>
            <w:tcMar>
              <w:top w:w="100" w:type="dxa"/>
              <w:bottom w:w="100" w:type="dxa"/>
              <w:left w:w="140" w:type="dxa"/>
              <w:right w:w="140" w:type="dxa"/>
            </w:tcMar>
          </w:tcPr>
          <w:p>
            <w:pPr>
              <w:spacing w:before="0" w:after="0"/>
              <w:jc w:val="right"/>
            </w:pPr>
            <w:r>
              <w:rPr>
                <w:rFonts w:ascii="Calibri" w:hAnsi="Calibri"/>
                <w:color w:val="1E293B"/>
                <w:sz w:val="19"/>
              </w:rPr>
              <w:t>0.9391</w:t>
            </w:r>
          </w:p>
        </w:tc>
        <w:tc>
          <w:tcPr>
            <w:tcW w:type="dxa" w:w="1008"/>
            <w:shd w:val="clear" w:color="auto" w:fill="FFFFFF"/>
            <w:tcMar>
              <w:top w:w="100" w:type="dxa"/>
              <w:bottom w:w="100" w:type="dxa"/>
              <w:left w:w="140" w:type="dxa"/>
              <w:right w:w="140" w:type="dxa"/>
            </w:tcMar>
          </w:tcPr>
          <w:p>
            <w:pPr>
              <w:spacing w:before="0" w:after="0"/>
              <w:jc w:val="right"/>
            </w:pPr>
            <w:r>
              <w:rPr>
                <w:rFonts w:ascii="Calibri" w:hAnsi="Calibri"/>
                <w:color w:val="1E293B"/>
                <w:sz w:val="19"/>
              </w:rPr>
              <w:t>1.0000</w:t>
            </w:r>
          </w:p>
        </w:tc>
        <w:tc>
          <w:tcPr>
            <w:tcW w:type="dxa" w:w="1008"/>
            <w:shd w:val="clear" w:color="auto" w:fill="FFFFFF"/>
            <w:tcMar>
              <w:top w:w="100" w:type="dxa"/>
              <w:bottom w:w="100" w:type="dxa"/>
              <w:left w:w="140" w:type="dxa"/>
              <w:right w:w="140" w:type="dxa"/>
            </w:tcMar>
          </w:tcPr>
          <w:p>
            <w:pPr>
              <w:spacing w:before="0" w:after="0"/>
              <w:jc w:val="right"/>
            </w:pPr>
            <w:r>
              <w:rPr>
                <w:rFonts w:ascii="Calibri" w:hAnsi="Calibri"/>
                <w:color w:val="1E293B"/>
                <w:sz w:val="19"/>
              </w:rPr>
              <w:t>0.7311</w:t>
            </w:r>
          </w:p>
        </w:tc>
        <w:tc>
          <w:tcPr>
            <w:tcW w:type="dxa" w:w="1008"/>
            <w:shd w:val="clear" w:color="auto" w:fill="FFFFFF"/>
            <w:tcMar>
              <w:top w:w="100" w:type="dxa"/>
              <w:bottom w:w="100" w:type="dxa"/>
              <w:left w:w="140" w:type="dxa"/>
              <w:right w:w="140" w:type="dxa"/>
            </w:tcMar>
          </w:tcPr>
          <w:p>
            <w:pPr>
              <w:spacing w:before="0" w:after="0"/>
              <w:jc w:val="right"/>
            </w:pPr>
            <w:r>
              <w:rPr>
                <w:rFonts w:ascii="Calibri" w:hAnsi="Calibri"/>
                <w:color w:val="1E293B"/>
                <w:sz w:val="19"/>
              </w:rPr>
              <w:t>0.8447</w:t>
            </w:r>
          </w:p>
        </w:tc>
        <w:tc>
          <w:tcPr>
            <w:tcW w:type="dxa" w:w="1008"/>
            <w:shd w:val="clear" w:color="auto" w:fill="FFFFFF"/>
            <w:tcMar>
              <w:top w:w="100" w:type="dxa"/>
              <w:bottom w:w="100" w:type="dxa"/>
              <w:left w:w="140" w:type="dxa"/>
              <w:right w:w="140" w:type="dxa"/>
            </w:tcMar>
          </w:tcPr>
          <w:p>
            <w:pPr>
              <w:spacing w:before="0" w:after="0"/>
              <w:jc w:val="right"/>
            </w:pPr>
            <w:r>
              <w:rPr>
                <w:rFonts w:ascii="Calibri" w:hAnsi="Calibri"/>
                <w:color w:val="1E293B"/>
                <w:sz w:val="19"/>
              </w:rPr>
              <w:t>0.9270</w:t>
            </w:r>
          </w:p>
        </w:tc>
        <w:tc>
          <w:tcPr>
            <w:tcW w:type="dxa" w:w="1008"/>
            <w:shd w:val="clear" w:color="auto" w:fill="FFFFFF"/>
            <w:tcMar>
              <w:top w:w="100" w:type="dxa"/>
              <w:bottom w:w="100" w:type="dxa"/>
              <w:left w:w="140" w:type="dxa"/>
              <w:right w:w="140" w:type="dxa"/>
            </w:tcMar>
          </w:tcPr>
          <w:p>
            <w:pPr>
              <w:spacing w:before="0" w:after="0"/>
              <w:jc w:val="right"/>
            </w:pPr>
            <w:r>
              <w:rPr>
                <w:rFonts w:ascii="Calibri" w:hAnsi="Calibri"/>
                <w:color w:val="1E293B"/>
                <w:sz w:val="19"/>
              </w:rPr>
              <w:t>0.9649</w:t>
            </w:r>
          </w:p>
        </w:tc>
        <w:tc>
          <w:tcPr>
            <w:tcW w:type="dxa" w:w="720"/>
            <w:shd w:val="clear" w:color="auto" w:fill="FFFFFF"/>
            <w:tcMar>
              <w:top w:w="100" w:type="dxa"/>
              <w:bottom w:w="100" w:type="dxa"/>
              <w:left w:w="140" w:type="dxa"/>
              <w:right w:w="140" w:type="dxa"/>
            </w:tcMar>
          </w:tcPr>
          <w:p>
            <w:pPr>
              <w:spacing w:before="0" w:after="0"/>
              <w:jc w:val="right"/>
            </w:pPr>
            <w:r>
              <w:rPr>
                <w:rFonts w:ascii="Calibri" w:hAnsi="Calibri"/>
                <w:color w:val="1E293B"/>
                <w:sz w:val="19"/>
              </w:rPr>
              <w:t>5</w:t>
            </w:r>
          </w:p>
        </w:tc>
      </w:tr>
      <w:tr>
        <w:tc>
          <w:tcPr>
            <w:tcW w:type="dxa" w:w="2304"/>
            <w:shd w:val="clear" w:color="auto" w:fill="F8FAFC"/>
            <w:tcMar>
              <w:top w:w="100" w:type="dxa"/>
              <w:bottom w:w="100" w:type="dxa"/>
              <w:left w:w="140" w:type="dxa"/>
              <w:right w:w="140" w:type="dxa"/>
            </w:tcMar>
          </w:tcPr>
          <w:p>
            <w:pPr>
              <w:spacing w:before="0" w:after="0"/>
              <w:jc w:val="left"/>
            </w:pPr>
            <w:r>
              <w:rPr>
                <w:rFonts w:ascii="Calibri" w:hAnsi="Calibri"/>
                <w:color w:val="1E293B"/>
                <w:sz w:val="19"/>
              </w:rPr>
              <w:t>Logistic Regression</w:t>
            </w:r>
          </w:p>
        </w:tc>
        <w:tc>
          <w:tcPr>
            <w:tcW w:type="dxa" w:w="1008"/>
            <w:shd w:val="clear" w:color="auto" w:fill="F8FAFC"/>
            <w:tcMar>
              <w:top w:w="100" w:type="dxa"/>
              <w:bottom w:w="100" w:type="dxa"/>
              <w:left w:w="140" w:type="dxa"/>
              <w:right w:w="140" w:type="dxa"/>
            </w:tcMar>
          </w:tcPr>
          <w:p>
            <w:pPr>
              <w:spacing w:before="0" w:after="0"/>
              <w:jc w:val="right"/>
            </w:pPr>
            <w:r>
              <w:rPr>
                <w:rFonts w:ascii="Calibri" w:hAnsi="Calibri"/>
                <w:color w:val="1E293B"/>
                <w:sz w:val="19"/>
              </w:rPr>
              <w:t>0.9317</w:t>
            </w:r>
          </w:p>
        </w:tc>
        <w:tc>
          <w:tcPr>
            <w:tcW w:type="dxa" w:w="1008"/>
            <w:shd w:val="clear" w:color="auto" w:fill="F8FAFC"/>
            <w:tcMar>
              <w:top w:w="100" w:type="dxa"/>
              <w:bottom w:w="100" w:type="dxa"/>
              <w:left w:w="140" w:type="dxa"/>
              <w:right w:w="140" w:type="dxa"/>
            </w:tcMar>
          </w:tcPr>
          <w:p>
            <w:pPr>
              <w:spacing w:before="0" w:after="0"/>
              <w:jc w:val="right"/>
            </w:pPr>
            <w:r>
              <w:rPr>
                <w:rFonts w:ascii="Calibri" w:hAnsi="Calibri"/>
                <w:color w:val="1E293B"/>
                <w:sz w:val="19"/>
              </w:rPr>
              <w:t>0.7409</w:t>
            </w:r>
          </w:p>
        </w:tc>
        <w:tc>
          <w:tcPr>
            <w:tcW w:type="dxa" w:w="1008"/>
            <w:shd w:val="clear" w:color="auto" w:fill="F8FAFC"/>
            <w:tcMar>
              <w:top w:w="100" w:type="dxa"/>
              <w:bottom w:w="100" w:type="dxa"/>
              <w:left w:w="140" w:type="dxa"/>
              <w:right w:w="140" w:type="dxa"/>
            </w:tcMar>
          </w:tcPr>
          <w:p>
            <w:pPr>
              <w:spacing w:before="0" w:after="0"/>
              <w:jc w:val="right"/>
            </w:pPr>
            <w:r>
              <w:rPr>
                <w:rFonts w:ascii="Calibri" w:hAnsi="Calibri"/>
                <w:color w:val="1E293B"/>
                <w:sz w:val="19"/>
              </w:rPr>
              <w:t>0.8285</w:t>
            </w:r>
          </w:p>
        </w:tc>
        <w:tc>
          <w:tcPr>
            <w:tcW w:type="dxa" w:w="1008"/>
            <w:shd w:val="clear" w:color="auto" w:fill="F8FAFC"/>
            <w:tcMar>
              <w:top w:w="100" w:type="dxa"/>
              <w:bottom w:w="100" w:type="dxa"/>
              <w:left w:w="140" w:type="dxa"/>
              <w:right w:w="140" w:type="dxa"/>
            </w:tcMar>
          </w:tcPr>
          <w:p>
            <w:pPr>
              <w:spacing w:before="0" w:after="0"/>
              <w:jc w:val="right"/>
            </w:pPr>
            <w:r>
              <w:rPr>
                <w:rFonts w:ascii="Calibri" w:hAnsi="Calibri"/>
                <w:color w:val="1E293B"/>
                <w:sz w:val="19"/>
              </w:rPr>
              <w:t>0.7823</w:t>
            </w:r>
          </w:p>
        </w:tc>
        <w:tc>
          <w:tcPr>
            <w:tcW w:type="dxa" w:w="1008"/>
            <w:shd w:val="clear" w:color="auto" w:fill="F8FAFC"/>
            <w:tcMar>
              <w:top w:w="100" w:type="dxa"/>
              <w:bottom w:w="100" w:type="dxa"/>
              <w:left w:w="140" w:type="dxa"/>
              <w:right w:w="140" w:type="dxa"/>
            </w:tcMar>
          </w:tcPr>
          <w:p>
            <w:pPr>
              <w:spacing w:before="0" w:after="0"/>
              <w:jc w:val="right"/>
            </w:pPr>
            <w:r>
              <w:rPr>
                <w:rFonts w:ascii="Calibri" w:hAnsi="Calibri"/>
                <w:color w:val="1E293B"/>
                <w:sz w:val="19"/>
              </w:rPr>
              <w:t>0.9696</w:t>
            </w:r>
          </w:p>
        </w:tc>
        <w:tc>
          <w:tcPr>
            <w:tcW w:type="dxa" w:w="1008"/>
            <w:shd w:val="clear" w:color="auto" w:fill="F8FAFC"/>
            <w:tcMar>
              <w:top w:w="100" w:type="dxa"/>
              <w:bottom w:w="100" w:type="dxa"/>
              <w:left w:w="140" w:type="dxa"/>
              <w:right w:w="140" w:type="dxa"/>
            </w:tcMar>
          </w:tcPr>
          <w:p>
            <w:pPr>
              <w:spacing w:before="0" w:after="0"/>
              <w:jc w:val="right"/>
            </w:pPr>
            <w:r>
              <w:rPr>
                <w:rFonts w:ascii="Calibri" w:hAnsi="Calibri"/>
                <w:color w:val="1E293B"/>
                <w:sz w:val="19"/>
              </w:rPr>
              <w:t>0.9683</w:t>
            </w:r>
          </w:p>
        </w:tc>
        <w:tc>
          <w:tcPr>
            <w:tcW w:type="dxa" w:w="720"/>
            <w:shd w:val="clear" w:color="auto" w:fill="F8FAFC"/>
            <w:tcMar>
              <w:top w:w="100" w:type="dxa"/>
              <w:bottom w:w="100" w:type="dxa"/>
              <w:left w:w="140" w:type="dxa"/>
              <w:right w:w="140" w:type="dxa"/>
            </w:tcMar>
          </w:tcPr>
          <w:p>
            <w:pPr>
              <w:spacing w:before="0" w:after="0"/>
              <w:jc w:val="right"/>
            </w:pPr>
            <w:r>
              <w:rPr>
                <w:rFonts w:ascii="Calibri" w:hAnsi="Calibri"/>
                <w:color w:val="1E293B"/>
                <w:sz w:val="19"/>
              </w:rPr>
              <w:t>6</w:t>
            </w:r>
          </w:p>
        </w:tc>
      </w:tr>
      <w:tr>
        <w:tc>
          <w:tcPr>
            <w:tcW w:type="dxa" w:w="2304"/>
            <w:shd w:val="clear" w:color="auto" w:fill="FFFFFF"/>
            <w:tcMar>
              <w:top w:w="100" w:type="dxa"/>
              <w:bottom w:w="100" w:type="dxa"/>
              <w:left w:w="140" w:type="dxa"/>
              <w:right w:w="140" w:type="dxa"/>
            </w:tcMar>
          </w:tcPr>
          <w:p>
            <w:pPr>
              <w:spacing w:before="0" w:after="0"/>
              <w:jc w:val="left"/>
            </w:pPr>
            <w:r>
              <w:rPr>
                <w:rFonts w:ascii="Calibri" w:hAnsi="Calibri"/>
                <w:color w:val="1E293B"/>
                <w:sz w:val="19"/>
              </w:rPr>
              <w:t>Elastic Net</w:t>
            </w:r>
          </w:p>
        </w:tc>
        <w:tc>
          <w:tcPr>
            <w:tcW w:type="dxa" w:w="1008"/>
            <w:shd w:val="clear" w:color="auto" w:fill="FFFFFF"/>
            <w:tcMar>
              <w:top w:w="100" w:type="dxa"/>
              <w:bottom w:w="100" w:type="dxa"/>
              <w:left w:w="140" w:type="dxa"/>
              <w:right w:w="140" w:type="dxa"/>
            </w:tcMar>
          </w:tcPr>
          <w:p>
            <w:pPr>
              <w:spacing w:before="0" w:after="0"/>
              <w:jc w:val="right"/>
            </w:pPr>
            <w:r>
              <w:rPr>
                <w:rFonts w:ascii="Calibri" w:hAnsi="Calibri"/>
                <w:color w:val="1E293B"/>
                <w:sz w:val="19"/>
              </w:rPr>
              <w:t>0.9306</w:t>
            </w:r>
          </w:p>
        </w:tc>
        <w:tc>
          <w:tcPr>
            <w:tcW w:type="dxa" w:w="1008"/>
            <w:shd w:val="clear" w:color="auto" w:fill="FFFFFF"/>
            <w:tcMar>
              <w:top w:w="100" w:type="dxa"/>
              <w:bottom w:w="100" w:type="dxa"/>
              <w:left w:w="140" w:type="dxa"/>
              <w:right w:w="140" w:type="dxa"/>
            </w:tcMar>
          </w:tcPr>
          <w:p>
            <w:pPr>
              <w:spacing w:before="0" w:after="0"/>
              <w:jc w:val="right"/>
            </w:pPr>
            <w:r>
              <w:rPr>
                <w:rFonts w:ascii="Calibri" w:hAnsi="Calibri"/>
                <w:color w:val="1E293B"/>
                <w:sz w:val="19"/>
              </w:rPr>
              <w:t>0.7331</w:t>
            </w:r>
          </w:p>
        </w:tc>
        <w:tc>
          <w:tcPr>
            <w:tcW w:type="dxa" w:w="1008"/>
            <w:shd w:val="clear" w:color="auto" w:fill="FFFFFF"/>
            <w:tcMar>
              <w:top w:w="100" w:type="dxa"/>
              <w:bottom w:w="100" w:type="dxa"/>
              <w:left w:w="140" w:type="dxa"/>
              <w:right w:w="140" w:type="dxa"/>
            </w:tcMar>
          </w:tcPr>
          <w:p>
            <w:pPr>
              <w:spacing w:before="0" w:after="0"/>
              <w:jc w:val="right"/>
            </w:pPr>
            <w:r>
              <w:rPr>
                <w:rFonts w:ascii="Calibri" w:hAnsi="Calibri"/>
                <w:color w:val="1E293B"/>
                <w:sz w:val="19"/>
              </w:rPr>
              <w:t>0.8281</w:t>
            </w:r>
          </w:p>
        </w:tc>
        <w:tc>
          <w:tcPr>
            <w:tcW w:type="dxa" w:w="1008"/>
            <w:shd w:val="clear" w:color="auto" w:fill="FFFFFF"/>
            <w:tcMar>
              <w:top w:w="100" w:type="dxa"/>
              <w:bottom w:w="100" w:type="dxa"/>
              <w:left w:w="140" w:type="dxa"/>
              <w:right w:w="140" w:type="dxa"/>
            </w:tcMar>
          </w:tcPr>
          <w:p>
            <w:pPr>
              <w:spacing w:before="0" w:after="0"/>
              <w:jc w:val="right"/>
            </w:pPr>
            <w:r>
              <w:rPr>
                <w:rFonts w:ascii="Calibri" w:hAnsi="Calibri"/>
                <w:color w:val="1E293B"/>
                <w:sz w:val="19"/>
              </w:rPr>
              <w:t>0.7777</w:t>
            </w:r>
          </w:p>
        </w:tc>
        <w:tc>
          <w:tcPr>
            <w:tcW w:type="dxa" w:w="1008"/>
            <w:shd w:val="clear" w:color="auto" w:fill="FFFFFF"/>
            <w:tcMar>
              <w:top w:w="100" w:type="dxa"/>
              <w:bottom w:w="100" w:type="dxa"/>
              <w:left w:w="140" w:type="dxa"/>
              <w:right w:w="140" w:type="dxa"/>
            </w:tcMar>
          </w:tcPr>
          <w:p>
            <w:pPr>
              <w:spacing w:before="0" w:after="0"/>
              <w:jc w:val="right"/>
            </w:pPr>
            <w:r>
              <w:rPr>
                <w:rFonts w:ascii="Calibri" w:hAnsi="Calibri"/>
                <w:color w:val="1E293B"/>
                <w:sz w:val="19"/>
              </w:rPr>
              <w:t>0.9698</w:t>
            </w:r>
          </w:p>
        </w:tc>
        <w:tc>
          <w:tcPr>
            <w:tcW w:type="dxa" w:w="1008"/>
            <w:shd w:val="clear" w:color="auto" w:fill="FFFFFF"/>
            <w:tcMar>
              <w:top w:w="100" w:type="dxa"/>
              <w:bottom w:w="100" w:type="dxa"/>
              <w:left w:w="140" w:type="dxa"/>
              <w:right w:w="140" w:type="dxa"/>
            </w:tcMar>
          </w:tcPr>
          <w:p>
            <w:pPr>
              <w:spacing w:before="0" w:after="0"/>
              <w:jc w:val="right"/>
            </w:pPr>
            <w:r>
              <w:rPr>
                <w:rFonts w:ascii="Calibri" w:hAnsi="Calibri"/>
                <w:color w:val="1E293B"/>
                <w:sz w:val="19"/>
              </w:rPr>
              <w:t>0.9683</w:t>
            </w:r>
          </w:p>
        </w:tc>
        <w:tc>
          <w:tcPr>
            <w:tcW w:type="dxa" w:w="720"/>
            <w:shd w:val="clear" w:color="auto" w:fill="FFFFFF"/>
            <w:tcMar>
              <w:top w:w="100" w:type="dxa"/>
              <w:bottom w:w="100" w:type="dxa"/>
              <w:left w:w="140" w:type="dxa"/>
              <w:right w:w="140" w:type="dxa"/>
            </w:tcMar>
          </w:tcPr>
          <w:p>
            <w:pPr>
              <w:spacing w:before="0" w:after="0"/>
              <w:jc w:val="right"/>
            </w:pPr>
            <w:r>
              <w:rPr>
                <w:rFonts w:ascii="Calibri" w:hAnsi="Calibri"/>
                <w:color w:val="1E293B"/>
                <w:sz w:val="19"/>
              </w:rPr>
              <w:t>7</w:t>
            </w:r>
          </w:p>
        </w:tc>
      </w:tr>
      <w:tr>
        <w:tc>
          <w:tcPr>
            <w:tcW w:type="dxa" w:w="2304"/>
            <w:shd w:val="clear" w:color="auto" w:fill="F8FAFC"/>
            <w:tcMar>
              <w:top w:w="100" w:type="dxa"/>
              <w:bottom w:w="100" w:type="dxa"/>
              <w:left w:w="140" w:type="dxa"/>
              <w:right w:w="140" w:type="dxa"/>
            </w:tcMar>
          </w:tcPr>
          <w:p>
            <w:pPr>
              <w:spacing w:before="0" w:after="0"/>
              <w:jc w:val="left"/>
            </w:pPr>
            <w:r>
              <w:rPr>
                <w:rFonts w:ascii="Calibri" w:hAnsi="Calibri"/>
                <w:color w:val="1E293B"/>
                <w:sz w:val="19"/>
              </w:rPr>
              <w:t>KNN</w:t>
            </w:r>
          </w:p>
        </w:tc>
        <w:tc>
          <w:tcPr>
            <w:tcW w:type="dxa" w:w="1008"/>
            <w:shd w:val="clear" w:color="auto" w:fill="F8FAFC"/>
            <w:tcMar>
              <w:top w:w="100" w:type="dxa"/>
              <w:bottom w:w="100" w:type="dxa"/>
              <w:left w:w="140" w:type="dxa"/>
              <w:right w:w="140" w:type="dxa"/>
            </w:tcMar>
          </w:tcPr>
          <w:p>
            <w:pPr>
              <w:spacing w:before="0" w:after="0"/>
              <w:jc w:val="right"/>
            </w:pPr>
            <w:r>
              <w:rPr>
                <w:rFonts w:ascii="Calibri" w:hAnsi="Calibri"/>
                <w:color w:val="1E293B"/>
                <w:sz w:val="19"/>
              </w:rPr>
              <w:t>0.9268</w:t>
            </w:r>
          </w:p>
        </w:tc>
        <w:tc>
          <w:tcPr>
            <w:tcW w:type="dxa" w:w="1008"/>
            <w:shd w:val="clear" w:color="auto" w:fill="F8FAFC"/>
            <w:tcMar>
              <w:top w:w="100" w:type="dxa"/>
              <w:bottom w:w="100" w:type="dxa"/>
              <w:left w:w="140" w:type="dxa"/>
              <w:right w:w="140" w:type="dxa"/>
            </w:tcMar>
          </w:tcPr>
          <w:p>
            <w:pPr>
              <w:spacing w:before="0" w:after="0"/>
              <w:jc w:val="right"/>
            </w:pPr>
            <w:r>
              <w:rPr>
                <w:rFonts w:ascii="Calibri" w:hAnsi="Calibri"/>
                <w:color w:val="1E293B"/>
                <w:sz w:val="19"/>
              </w:rPr>
              <w:t>0.6787</w:t>
            </w:r>
          </w:p>
        </w:tc>
        <w:tc>
          <w:tcPr>
            <w:tcW w:type="dxa" w:w="1008"/>
            <w:shd w:val="clear" w:color="auto" w:fill="F8FAFC"/>
            <w:tcMar>
              <w:top w:w="100" w:type="dxa"/>
              <w:bottom w:w="100" w:type="dxa"/>
              <w:left w:w="140" w:type="dxa"/>
              <w:right w:w="140" w:type="dxa"/>
            </w:tcMar>
          </w:tcPr>
          <w:p>
            <w:pPr>
              <w:spacing w:before="0" w:after="0"/>
              <w:jc w:val="right"/>
            </w:pPr>
            <w:r>
              <w:rPr>
                <w:rFonts w:ascii="Calibri" w:hAnsi="Calibri"/>
                <w:color w:val="1E293B"/>
                <w:sz w:val="19"/>
              </w:rPr>
              <w:t>0.8489</w:t>
            </w:r>
          </w:p>
        </w:tc>
        <w:tc>
          <w:tcPr>
            <w:tcW w:type="dxa" w:w="1008"/>
            <w:shd w:val="clear" w:color="auto" w:fill="F8FAFC"/>
            <w:tcMar>
              <w:top w:w="100" w:type="dxa"/>
              <w:bottom w:w="100" w:type="dxa"/>
              <w:left w:w="140" w:type="dxa"/>
              <w:right w:w="140" w:type="dxa"/>
            </w:tcMar>
          </w:tcPr>
          <w:p>
            <w:pPr>
              <w:spacing w:before="0" w:after="0"/>
              <w:jc w:val="right"/>
            </w:pPr>
            <w:r>
              <w:rPr>
                <w:rFonts w:ascii="Calibri" w:hAnsi="Calibri"/>
                <w:color w:val="1E293B"/>
                <w:sz w:val="19"/>
              </w:rPr>
              <w:t>0.7544</w:t>
            </w:r>
          </w:p>
        </w:tc>
        <w:tc>
          <w:tcPr>
            <w:tcW w:type="dxa" w:w="1008"/>
            <w:shd w:val="clear" w:color="auto" w:fill="F8FAFC"/>
            <w:tcMar>
              <w:top w:w="100" w:type="dxa"/>
              <w:bottom w:w="100" w:type="dxa"/>
              <w:left w:w="140" w:type="dxa"/>
              <w:right w:w="140" w:type="dxa"/>
            </w:tcMar>
          </w:tcPr>
          <w:p>
            <w:pPr>
              <w:spacing w:before="0" w:after="0"/>
              <w:jc w:val="right"/>
            </w:pPr>
            <w:r>
              <w:rPr>
                <w:rFonts w:ascii="Calibri" w:hAnsi="Calibri"/>
                <w:color w:val="1E293B"/>
                <w:sz w:val="19"/>
              </w:rPr>
              <w:t>0.9760</w:t>
            </w:r>
          </w:p>
        </w:tc>
        <w:tc>
          <w:tcPr>
            <w:tcW w:type="dxa" w:w="1008"/>
            <w:shd w:val="clear" w:color="auto" w:fill="F8FAFC"/>
            <w:tcMar>
              <w:top w:w="100" w:type="dxa"/>
              <w:bottom w:w="100" w:type="dxa"/>
              <w:left w:w="140" w:type="dxa"/>
              <w:right w:w="140" w:type="dxa"/>
            </w:tcMar>
          </w:tcPr>
          <w:p>
            <w:pPr>
              <w:spacing w:before="0" w:after="0"/>
              <w:jc w:val="right"/>
            </w:pPr>
            <w:r>
              <w:rPr>
                <w:rFonts w:ascii="Calibri" w:hAnsi="Calibri"/>
                <w:color w:val="1E293B"/>
                <w:sz w:val="19"/>
              </w:rPr>
              <w:t>0.9447</w:t>
            </w:r>
          </w:p>
        </w:tc>
        <w:tc>
          <w:tcPr>
            <w:tcW w:type="dxa" w:w="720"/>
            <w:shd w:val="clear" w:color="auto" w:fill="F8FAFC"/>
            <w:tcMar>
              <w:top w:w="100" w:type="dxa"/>
              <w:bottom w:w="100" w:type="dxa"/>
              <w:left w:w="140" w:type="dxa"/>
              <w:right w:w="140" w:type="dxa"/>
            </w:tcMar>
          </w:tcPr>
          <w:p>
            <w:pPr>
              <w:spacing w:before="0" w:after="0"/>
              <w:jc w:val="right"/>
            </w:pPr>
            <w:r>
              <w:rPr>
                <w:rFonts w:ascii="Calibri" w:hAnsi="Calibri"/>
                <w:color w:val="1E293B"/>
                <w:sz w:val="19"/>
              </w:rPr>
              <w:t>8</w:t>
            </w:r>
          </w:p>
        </w:tc>
      </w:tr>
      <w:tr>
        <w:tc>
          <w:tcPr>
            <w:tcW w:type="dxa" w:w="2304"/>
            <w:shd w:val="clear" w:color="auto" w:fill="FFFFFF"/>
            <w:tcMar>
              <w:top w:w="100" w:type="dxa"/>
              <w:bottom w:w="100" w:type="dxa"/>
              <w:left w:w="140" w:type="dxa"/>
              <w:right w:w="140" w:type="dxa"/>
            </w:tcMar>
          </w:tcPr>
          <w:p>
            <w:pPr>
              <w:spacing w:before="0" w:after="0"/>
              <w:jc w:val="left"/>
            </w:pPr>
            <w:r>
              <w:rPr>
                <w:rFonts w:ascii="Calibri" w:hAnsi="Calibri"/>
                <w:color w:val="1E293B"/>
                <w:sz w:val="19"/>
              </w:rPr>
              <w:t>LDA</w:t>
            </w:r>
          </w:p>
        </w:tc>
        <w:tc>
          <w:tcPr>
            <w:tcW w:type="dxa" w:w="1008"/>
            <w:shd w:val="clear" w:color="auto" w:fill="FFFFFF"/>
            <w:tcMar>
              <w:top w:w="100" w:type="dxa"/>
              <w:bottom w:w="100" w:type="dxa"/>
              <w:left w:w="140" w:type="dxa"/>
              <w:right w:w="140" w:type="dxa"/>
            </w:tcMar>
          </w:tcPr>
          <w:p>
            <w:pPr>
              <w:spacing w:before="0" w:after="0"/>
              <w:jc w:val="right"/>
            </w:pPr>
            <w:r>
              <w:rPr>
                <w:rFonts w:ascii="Calibri" w:hAnsi="Calibri"/>
                <w:color w:val="1E293B"/>
                <w:sz w:val="19"/>
              </w:rPr>
              <w:t>0.9035</w:t>
            </w:r>
          </w:p>
        </w:tc>
        <w:tc>
          <w:tcPr>
            <w:tcW w:type="dxa" w:w="1008"/>
            <w:shd w:val="clear" w:color="auto" w:fill="FFFFFF"/>
            <w:tcMar>
              <w:top w:w="100" w:type="dxa"/>
              <w:bottom w:w="100" w:type="dxa"/>
              <w:left w:w="140" w:type="dxa"/>
              <w:right w:w="140" w:type="dxa"/>
            </w:tcMar>
          </w:tcPr>
          <w:p>
            <w:pPr>
              <w:spacing w:before="0" w:after="0"/>
              <w:jc w:val="right"/>
            </w:pPr>
            <w:r>
              <w:rPr>
                <w:rFonts w:ascii="Calibri" w:hAnsi="Calibri"/>
                <w:color w:val="1E293B"/>
                <w:sz w:val="19"/>
              </w:rPr>
              <w:t>0.7246</w:t>
            </w:r>
          </w:p>
        </w:tc>
        <w:tc>
          <w:tcPr>
            <w:tcW w:type="dxa" w:w="1008"/>
            <w:shd w:val="clear" w:color="auto" w:fill="FFFFFF"/>
            <w:tcMar>
              <w:top w:w="100" w:type="dxa"/>
              <w:bottom w:w="100" w:type="dxa"/>
              <w:left w:w="140" w:type="dxa"/>
              <w:right w:w="140" w:type="dxa"/>
            </w:tcMar>
          </w:tcPr>
          <w:p>
            <w:pPr>
              <w:spacing w:before="0" w:after="0"/>
              <w:jc w:val="right"/>
            </w:pPr>
            <w:r>
              <w:rPr>
                <w:rFonts w:ascii="Calibri" w:hAnsi="Calibri"/>
                <w:color w:val="1E293B"/>
                <w:sz w:val="19"/>
              </w:rPr>
              <w:t>0.7022</w:t>
            </w:r>
          </w:p>
        </w:tc>
        <w:tc>
          <w:tcPr>
            <w:tcW w:type="dxa" w:w="1008"/>
            <w:shd w:val="clear" w:color="auto" w:fill="FFFFFF"/>
            <w:tcMar>
              <w:top w:w="100" w:type="dxa"/>
              <w:bottom w:w="100" w:type="dxa"/>
              <w:left w:w="140" w:type="dxa"/>
              <w:right w:w="140" w:type="dxa"/>
            </w:tcMar>
          </w:tcPr>
          <w:p>
            <w:pPr>
              <w:spacing w:before="0" w:after="0"/>
              <w:jc w:val="right"/>
            </w:pPr>
            <w:r>
              <w:rPr>
                <w:rFonts w:ascii="Calibri" w:hAnsi="Calibri"/>
                <w:color w:val="1E293B"/>
                <w:sz w:val="19"/>
              </w:rPr>
              <w:t>0.7132</w:t>
            </w:r>
          </w:p>
        </w:tc>
        <w:tc>
          <w:tcPr>
            <w:tcW w:type="dxa" w:w="1008"/>
            <w:shd w:val="clear" w:color="auto" w:fill="FFFFFF"/>
            <w:tcMar>
              <w:top w:w="100" w:type="dxa"/>
              <w:bottom w:w="100" w:type="dxa"/>
              <w:left w:w="140" w:type="dxa"/>
              <w:right w:w="140" w:type="dxa"/>
            </w:tcMar>
          </w:tcPr>
          <w:p>
            <w:pPr>
              <w:spacing w:before="0" w:after="0"/>
              <w:jc w:val="right"/>
            </w:pPr>
            <w:r>
              <w:rPr>
                <w:rFonts w:ascii="Calibri" w:hAnsi="Calibri"/>
                <w:color w:val="1E293B"/>
                <w:sz w:val="19"/>
              </w:rPr>
              <w:t>0.9390</w:t>
            </w:r>
          </w:p>
        </w:tc>
        <w:tc>
          <w:tcPr>
            <w:tcW w:type="dxa" w:w="1008"/>
            <w:shd w:val="clear" w:color="auto" w:fill="FFFFFF"/>
            <w:tcMar>
              <w:top w:w="100" w:type="dxa"/>
              <w:bottom w:w="100" w:type="dxa"/>
              <w:left w:w="140" w:type="dxa"/>
              <w:right w:w="140" w:type="dxa"/>
            </w:tcMar>
          </w:tcPr>
          <w:p>
            <w:pPr>
              <w:spacing w:before="0" w:after="0"/>
              <w:jc w:val="right"/>
            </w:pPr>
            <w:r>
              <w:rPr>
                <w:rFonts w:ascii="Calibri" w:hAnsi="Calibri"/>
                <w:color w:val="1E293B"/>
                <w:sz w:val="19"/>
              </w:rPr>
              <w:t>0.9661</w:t>
            </w:r>
          </w:p>
        </w:tc>
        <w:tc>
          <w:tcPr>
            <w:tcW w:type="dxa" w:w="720"/>
            <w:shd w:val="clear" w:color="auto" w:fill="FFFFFF"/>
            <w:tcMar>
              <w:top w:w="100" w:type="dxa"/>
              <w:bottom w:w="100" w:type="dxa"/>
              <w:left w:w="140" w:type="dxa"/>
              <w:right w:w="140" w:type="dxa"/>
            </w:tcMar>
          </w:tcPr>
          <w:p>
            <w:pPr>
              <w:spacing w:before="0" w:after="0"/>
              <w:jc w:val="right"/>
            </w:pPr>
            <w:r>
              <w:rPr>
                <w:rFonts w:ascii="Calibri" w:hAnsi="Calibri"/>
                <w:color w:val="1E293B"/>
                <w:sz w:val="19"/>
              </w:rPr>
              <w:t>9</w:t>
            </w:r>
          </w:p>
        </w:tc>
      </w:tr>
      <w:tr>
        <w:tc>
          <w:tcPr>
            <w:tcW w:type="dxa" w:w="2304"/>
            <w:shd w:val="clear" w:color="auto" w:fill="F8FAFC"/>
            <w:tcMar>
              <w:top w:w="100" w:type="dxa"/>
              <w:bottom w:w="100" w:type="dxa"/>
              <w:left w:w="140" w:type="dxa"/>
              <w:right w:w="140" w:type="dxa"/>
            </w:tcMar>
          </w:tcPr>
          <w:p>
            <w:pPr>
              <w:spacing w:before="0" w:after="0"/>
              <w:jc w:val="left"/>
            </w:pPr>
            <w:r>
              <w:rPr>
                <w:rFonts w:ascii="Calibri" w:hAnsi="Calibri"/>
                <w:color w:val="1E293B"/>
                <w:sz w:val="19"/>
              </w:rPr>
              <w:t>Naive Bayes</w:t>
            </w:r>
          </w:p>
        </w:tc>
        <w:tc>
          <w:tcPr>
            <w:tcW w:type="dxa" w:w="1008"/>
            <w:shd w:val="clear" w:color="auto" w:fill="F8FAFC"/>
            <w:tcMar>
              <w:top w:w="100" w:type="dxa"/>
              <w:bottom w:w="100" w:type="dxa"/>
              <w:left w:w="140" w:type="dxa"/>
              <w:right w:w="140" w:type="dxa"/>
            </w:tcMar>
          </w:tcPr>
          <w:p>
            <w:pPr>
              <w:spacing w:before="0" w:after="0"/>
              <w:jc w:val="right"/>
            </w:pPr>
            <w:r>
              <w:rPr>
                <w:rFonts w:ascii="Calibri" w:hAnsi="Calibri"/>
                <w:color w:val="1E293B"/>
                <w:sz w:val="19"/>
              </w:rPr>
              <w:t>0.8911</w:t>
            </w:r>
          </w:p>
        </w:tc>
        <w:tc>
          <w:tcPr>
            <w:tcW w:type="dxa" w:w="1008"/>
            <w:shd w:val="clear" w:color="auto" w:fill="F8FAFC"/>
            <w:tcMar>
              <w:top w:w="100" w:type="dxa"/>
              <w:bottom w:w="100" w:type="dxa"/>
              <w:left w:w="140" w:type="dxa"/>
              <w:right w:w="140" w:type="dxa"/>
            </w:tcMar>
          </w:tcPr>
          <w:p>
            <w:pPr>
              <w:spacing w:before="0" w:after="0"/>
              <w:jc w:val="right"/>
            </w:pPr>
            <w:r>
              <w:rPr>
                <w:rFonts w:ascii="Calibri" w:hAnsi="Calibri"/>
                <w:color w:val="1E293B"/>
                <w:sz w:val="19"/>
              </w:rPr>
              <w:t>0.4529</w:t>
            </w:r>
          </w:p>
        </w:tc>
        <w:tc>
          <w:tcPr>
            <w:tcW w:type="dxa" w:w="1008"/>
            <w:shd w:val="clear" w:color="auto" w:fill="F8FAFC"/>
            <w:tcMar>
              <w:top w:w="100" w:type="dxa"/>
              <w:bottom w:w="100" w:type="dxa"/>
              <w:left w:w="140" w:type="dxa"/>
              <w:right w:w="140" w:type="dxa"/>
            </w:tcMar>
          </w:tcPr>
          <w:p>
            <w:pPr>
              <w:spacing w:before="0" w:after="0"/>
              <w:jc w:val="right"/>
            </w:pPr>
            <w:r>
              <w:rPr>
                <w:rFonts w:ascii="Calibri" w:hAnsi="Calibri"/>
                <w:color w:val="1E293B"/>
                <w:sz w:val="19"/>
              </w:rPr>
              <w:t>0.8039</w:t>
            </w:r>
          </w:p>
        </w:tc>
        <w:tc>
          <w:tcPr>
            <w:tcW w:type="dxa" w:w="1008"/>
            <w:shd w:val="clear" w:color="auto" w:fill="F8FAFC"/>
            <w:tcMar>
              <w:top w:w="100" w:type="dxa"/>
              <w:bottom w:w="100" w:type="dxa"/>
              <w:left w:w="140" w:type="dxa"/>
              <w:right w:w="140" w:type="dxa"/>
            </w:tcMar>
          </w:tcPr>
          <w:p>
            <w:pPr>
              <w:spacing w:before="0" w:after="0"/>
              <w:jc w:val="right"/>
            </w:pPr>
            <w:r>
              <w:rPr>
                <w:rFonts w:ascii="Calibri" w:hAnsi="Calibri"/>
                <w:color w:val="1E293B"/>
                <w:sz w:val="19"/>
              </w:rPr>
              <w:t>0.5794</w:t>
            </w:r>
          </w:p>
        </w:tc>
        <w:tc>
          <w:tcPr>
            <w:tcW w:type="dxa" w:w="1008"/>
            <w:shd w:val="clear" w:color="auto" w:fill="F8FAFC"/>
            <w:tcMar>
              <w:top w:w="100" w:type="dxa"/>
              <w:bottom w:w="100" w:type="dxa"/>
              <w:left w:w="140" w:type="dxa"/>
              <w:right w:w="140" w:type="dxa"/>
            </w:tcMar>
          </w:tcPr>
          <w:p>
            <w:pPr>
              <w:spacing w:before="0" w:after="0"/>
              <w:jc w:val="right"/>
            </w:pPr>
            <w:r>
              <w:rPr>
                <w:rFonts w:ascii="Calibri" w:hAnsi="Calibri"/>
                <w:color w:val="1E293B"/>
                <w:sz w:val="19"/>
              </w:rPr>
              <w:t>0.9781</w:t>
            </w:r>
          </w:p>
        </w:tc>
        <w:tc>
          <w:tcPr>
            <w:tcW w:type="dxa" w:w="1008"/>
            <w:shd w:val="clear" w:color="auto" w:fill="F8FAFC"/>
            <w:tcMar>
              <w:top w:w="100" w:type="dxa"/>
              <w:bottom w:w="100" w:type="dxa"/>
              <w:left w:w="140" w:type="dxa"/>
              <w:right w:w="140" w:type="dxa"/>
            </w:tcMar>
          </w:tcPr>
          <w:p>
            <w:pPr>
              <w:spacing w:before="0" w:after="0"/>
              <w:jc w:val="right"/>
            </w:pPr>
            <w:r>
              <w:rPr>
                <w:rFonts w:ascii="Calibri" w:hAnsi="Calibri"/>
                <w:color w:val="1E293B"/>
                <w:sz w:val="19"/>
              </w:rPr>
              <w:t>0.9541</w:t>
            </w:r>
          </w:p>
        </w:tc>
        <w:tc>
          <w:tcPr>
            <w:tcW w:type="dxa" w:w="720"/>
            <w:shd w:val="clear" w:color="auto" w:fill="F8FAFC"/>
            <w:tcMar>
              <w:top w:w="100" w:type="dxa"/>
              <w:bottom w:w="100" w:type="dxa"/>
              <w:left w:w="140" w:type="dxa"/>
              <w:right w:w="140" w:type="dxa"/>
            </w:tcMar>
          </w:tcPr>
          <w:p>
            <w:pPr>
              <w:spacing w:before="0" w:after="0"/>
              <w:jc w:val="right"/>
            </w:pPr>
            <w:r>
              <w:rPr>
                <w:rFonts w:ascii="Calibri" w:hAnsi="Calibri"/>
                <w:color w:val="1E293B"/>
                <w:sz w:val="19"/>
              </w:rPr>
              <w:t>10</w:t>
            </w:r>
          </w:p>
        </w:tc>
      </w:tr>
    </w:tbl>
    <w:p>
      <w:pPr>
        <w:jc w:val="center"/>
      </w:pPr>
      <w:r>
        <w:rPr>
          <w:i/>
          <w:color w:val="1B365D"/>
          <w:sz w:val="18"/>
        </w:rPr>
        <w:t>Table 3. Baseline Supervised Model Evaluation on Holdout Test Set (Threshold = 0.50)</w:t>
      </w:r>
    </w:p>
    <w:p>
      <w:pPr>
        <w:spacing w:before="160" w:after="60"/>
        <w:jc w:val="center"/>
      </w:pPr>
      <w:r>
        <w:drawing>
          <wp:inline xmlns:a="http://schemas.openxmlformats.org/drawingml/2006/main" xmlns:pic="http://schemas.openxmlformats.org/drawingml/2006/picture">
            <wp:extent cx="5303520" cy="3712464"/>
            <wp:docPr id="7" name="Picture 7"/>
            <wp:cNvGraphicFramePr>
              <a:graphicFrameLocks noChangeAspect="1"/>
            </wp:cNvGraphicFramePr>
            <a:graphic>
              <a:graphicData uri="http://schemas.openxmlformats.org/drawingml/2006/picture">
                <pic:pic>
                  <pic:nvPicPr>
                    <pic:cNvPr id="0" name="model_comparison.png"/>
                    <pic:cNvPicPr/>
                  </pic:nvPicPr>
                  <pic:blipFill>
                    <a:blip r:embed="rId17"/>
                    <a:stretch>
                      <a:fillRect/>
                    </a:stretch>
                  </pic:blipFill>
                  <pic:spPr>
                    <a:xfrm>
                      <a:off x="0" y="0"/>
                      <a:ext cx="5303520" cy="3712464"/>
                    </a:xfrm>
                    <a:prstGeom prst="rect"/>
                  </pic:spPr>
                </pic:pic>
              </a:graphicData>
            </a:graphic>
          </wp:inline>
        </w:drawing>
      </w:r>
    </w:p>
    <w:p>
      <w:pPr>
        <w:spacing w:before="0" w:after="200"/>
        <w:jc w:val="center"/>
      </w:pPr>
      <w:r>
        <w:rPr>
          <w:rFonts w:ascii="Calibri" w:hAnsi="Calibri"/>
          <w:b/>
          <w:i/>
          <w:color w:val="1B365D"/>
          <w:sz w:val="19"/>
        </w:rPr>
        <w:t>Figure 7. Comparative Performance Profiles Across 10 Baseline Supervised Algorithms</w:t>
      </w:r>
    </w:p>
    <w:p>
      <w:pPr>
        <w:keepNext/>
        <w:spacing w:before="280" w:after="80"/>
      </w:pPr>
      <w:r>
        <w:rPr>
          <w:rFonts w:ascii="Calibri" w:hAnsi="Calibri"/>
          <w:b/>
          <w:color w:val="1B365D"/>
          <w:sz w:val="26"/>
        </w:rPr>
        <w:t>9.2 Hyperparameter Tuning</w:t>
      </w:r>
    </w:p>
    <w:p>
      <w:pPr>
        <w:spacing w:before="0" w:after="120" w:line="276" w:lineRule="auto"/>
      </w:pPr>
      <w:r>
        <w:rPr>
          <w:rFonts w:ascii="Calibri" w:hAnsi="Calibri"/>
          <w:color w:val="1E293B"/>
          <w:sz w:val="22"/>
        </w:rPr>
        <w:t>To maximize discriminatory precision and guard against over-fitting, hyperparameter tuning was conducted across the top three tree ensemble families (Random Forest, Gradient Boosting, XGBoost) using 5-fold cross-validation. For XGBoost, grid search optimized the learning rate (eta = 0.05, 0.1, 0.2), maximum tree depth (max_depth = 3, 5, 7), subsample ratios (0.8, 1.0), and regularization parameters (gamma = 0, 1; min_child_weight = 1, 3).</w:t>
      </w:r>
    </w:p>
    <w:p>
      <w:pPr>
        <w:keepNext/>
        <w:spacing w:before="280" w:after="80"/>
      </w:pPr>
      <w:r>
        <w:rPr>
          <w:rFonts w:ascii="Calibri" w:hAnsi="Calibri"/>
          <w:b/>
          <w:color w:val="1B365D"/>
          <w:sz w:val="26"/>
        </w:rPr>
        <w:t>9.3 Tuned Model Results</w:t>
      </w:r>
    </w:p>
    <w:p>
      <w:pPr>
        <w:spacing w:before="0" w:after="120" w:line="276" w:lineRule="auto"/>
      </w:pPr>
      <w:r>
        <w:rPr>
          <w:rFonts w:ascii="Calibri" w:hAnsi="Calibri"/>
          <w:color w:val="1E293B"/>
          <w:sz w:val="22"/>
        </w:rPr>
        <w:t>Following cross-validation, the tuned models were re-evaluated on the 9,999 holdout test records. Table 4 presents their validated performance under the default 0.50 threshold.</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170"/>
        <w:gridCol w:w="1170"/>
        <w:gridCol w:w="1170"/>
        <w:gridCol w:w="1170"/>
        <w:gridCol w:w="1170"/>
        <w:gridCol w:w="1170"/>
        <w:gridCol w:w="1170"/>
        <w:gridCol w:w="1170"/>
      </w:tblGrid>
      <w:tr>
        <w:tc>
          <w:tcPr>
            <w:tcW w:type="dxa" w:w="2592"/>
            <w:shd w:val="clear" w:color="auto" w:fill="1B365D"/>
            <w:tcMar>
              <w:top w:w="100" w:type="dxa"/>
              <w:bottom w:w="100" w:type="dxa"/>
              <w:left w:w="140" w:type="dxa"/>
              <w:right w:w="140" w:type="dxa"/>
            </w:tcMar>
          </w:tcPr>
          <w:p>
            <w:pPr>
              <w:spacing w:before="0" w:after="0"/>
              <w:jc w:val="left"/>
            </w:pPr>
            <w:r>
              <w:rPr>
                <w:rFonts w:ascii="Calibri" w:hAnsi="Calibri"/>
                <w:b/>
                <w:color w:val="FFFFFF"/>
                <w:sz w:val="20"/>
              </w:rPr>
              <w:t>Tuned Architecture</w:t>
            </w:r>
          </w:p>
        </w:tc>
        <w:tc>
          <w:tcPr>
            <w:tcW w:type="dxa" w:w="1008"/>
            <w:shd w:val="clear" w:color="auto" w:fill="1B365D"/>
            <w:tcMar>
              <w:top w:w="100" w:type="dxa"/>
              <w:bottom w:w="100" w:type="dxa"/>
              <w:left w:w="140" w:type="dxa"/>
              <w:right w:w="140" w:type="dxa"/>
            </w:tcMar>
          </w:tcPr>
          <w:p>
            <w:pPr>
              <w:spacing w:before="0" w:after="0"/>
              <w:jc w:val="right"/>
            </w:pPr>
            <w:r>
              <w:rPr>
                <w:rFonts w:ascii="Calibri" w:hAnsi="Calibri"/>
                <w:b/>
                <w:color w:val="FFFFFF"/>
                <w:sz w:val="20"/>
              </w:rPr>
              <w:t>Accuracy</w:t>
            </w:r>
          </w:p>
        </w:tc>
        <w:tc>
          <w:tcPr>
            <w:tcW w:type="dxa" w:w="1008"/>
            <w:shd w:val="clear" w:color="auto" w:fill="1B365D"/>
            <w:tcMar>
              <w:top w:w="100" w:type="dxa"/>
              <w:bottom w:w="100" w:type="dxa"/>
              <w:left w:w="140" w:type="dxa"/>
              <w:right w:w="140" w:type="dxa"/>
            </w:tcMar>
          </w:tcPr>
          <w:p>
            <w:pPr>
              <w:spacing w:before="0" w:after="0"/>
              <w:jc w:val="right"/>
            </w:pPr>
            <w:r>
              <w:rPr>
                <w:rFonts w:ascii="Calibri" w:hAnsi="Calibri"/>
                <w:b/>
                <w:color w:val="FFFFFF"/>
                <w:sz w:val="20"/>
              </w:rPr>
              <w:t>Recall</w:t>
            </w:r>
          </w:p>
        </w:tc>
        <w:tc>
          <w:tcPr>
            <w:tcW w:type="dxa" w:w="1008"/>
            <w:shd w:val="clear" w:color="auto" w:fill="1B365D"/>
            <w:tcMar>
              <w:top w:w="100" w:type="dxa"/>
              <w:bottom w:w="100" w:type="dxa"/>
              <w:left w:w="140" w:type="dxa"/>
              <w:right w:w="140" w:type="dxa"/>
            </w:tcMar>
          </w:tcPr>
          <w:p>
            <w:pPr>
              <w:spacing w:before="0" w:after="0"/>
              <w:jc w:val="right"/>
            </w:pPr>
            <w:r>
              <w:rPr>
                <w:rFonts w:ascii="Calibri" w:hAnsi="Calibri"/>
                <w:b/>
                <w:color w:val="FFFFFF"/>
                <w:sz w:val="20"/>
              </w:rPr>
              <w:t>Precision</w:t>
            </w:r>
          </w:p>
        </w:tc>
        <w:tc>
          <w:tcPr>
            <w:tcW w:type="dxa" w:w="1008"/>
            <w:shd w:val="clear" w:color="auto" w:fill="1B365D"/>
            <w:tcMar>
              <w:top w:w="100" w:type="dxa"/>
              <w:bottom w:w="100" w:type="dxa"/>
              <w:left w:w="140" w:type="dxa"/>
              <w:right w:w="140" w:type="dxa"/>
            </w:tcMar>
          </w:tcPr>
          <w:p>
            <w:pPr>
              <w:spacing w:before="0" w:after="0"/>
              <w:jc w:val="right"/>
            </w:pPr>
            <w:r>
              <w:rPr>
                <w:rFonts w:ascii="Calibri" w:hAnsi="Calibri"/>
                <w:b/>
                <w:color w:val="FFFFFF"/>
                <w:sz w:val="20"/>
              </w:rPr>
              <w:t>F1-Score</w:t>
            </w:r>
          </w:p>
        </w:tc>
        <w:tc>
          <w:tcPr>
            <w:tcW w:type="dxa" w:w="1008"/>
            <w:shd w:val="clear" w:color="auto" w:fill="1B365D"/>
            <w:tcMar>
              <w:top w:w="100" w:type="dxa"/>
              <w:bottom w:w="100" w:type="dxa"/>
              <w:left w:w="140" w:type="dxa"/>
              <w:right w:w="140" w:type="dxa"/>
            </w:tcMar>
          </w:tcPr>
          <w:p>
            <w:pPr>
              <w:spacing w:before="0" w:after="0"/>
              <w:jc w:val="right"/>
            </w:pPr>
            <w:r>
              <w:rPr>
                <w:rFonts w:ascii="Calibri" w:hAnsi="Calibri"/>
                <w:b/>
                <w:color w:val="FFFFFF"/>
                <w:sz w:val="20"/>
              </w:rPr>
              <w:t>Specificity</w:t>
            </w:r>
          </w:p>
        </w:tc>
        <w:tc>
          <w:tcPr>
            <w:tcW w:type="dxa" w:w="1008"/>
            <w:shd w:val="clear" w:color="auto" w:fill="1B365D"/>
            <w:tcMar>
              <w:top w:w="100" w:type="dxa"/>
              <w:bottom w:w="100" w:type="dxa"/>
              <w:left w:w="140" w:type="dxa"/>
              <w:right w:w="140" w:type="dxa"/>
            </w:tcMar>
          </w:tcPr>
          <w:p>
            <w:pPr>
              <w:spacing w:before="0" w:after="0"/>
              <w:jc w:val="right"/>
            </w:pPr>
            <w:r>
              <w:rPr>
                <w:rFonts w:ascii="Calibri" w:hAnsi="Calibri"/>
                <w:b/>
                <w:color w:val="FFFFFF"/>
                <w:sz w:val="20"/>
              </w:rPr>
              <w:t>ROC-AUC</w:t>
            </w:r>
          </w:p>
        </w:tc>
        <w:tc>
          <w:tcPr>
            <w:tcW w:type="dxa" w:w="720"/>
            <w:shd w:val="clear" w:color="auto" w:fill="1B365D"/>
            <w:tcMar>
              <w:top w:w="100" w:type="dxa"/>
              <w:bottom w:w="100" w:type="dxa"/>
              <w:left w:w="140" w:type="dxa"/>
              <w:right w:w="140" w:type="dxa"/>
            </w:tcMar>
          </w:tcPr>
          <w:p>
            <w:pPr>
              <w:spacing w:before="0" w:after="0"/>
              <w:jc w:val="right"/>
            </w:pPr>
            <w:r>
              <w:rPr>
                <w:rFonts w:ascii="Calibri" w:hAnsi="Calibri"/>
                <w:b/>
                <w:color w:val="FFFFFF"/>
                <w:sz w:val="20"/>
              </w:rPr>
              <w:t>Kappa</w:t>
            </w:r>
          </w:p>
        </w:tc>
      </w:tr>
      <w:tr>
        <w:tc>
          <w:tcPr>
            <w:tcW w:type="dxa" w:w="2592"/>
            <w:shd w:val="clear" w:color="auto" w:fill="FFFFFF"/>
            <w:tcMar>
              <w:top w:w="100" w:type="dxa"/>
              <w:bottom w:w="100" w:type="dxa"/>
              <w:left w:w="140" w:type="dxa"/>
              <w:right w:w="140" w:type="dxa"/>
            </w:tcMar>
          </w:tcPr>
          <w:p>
            <w:pPr>
              <w:spacing w:before="0" w:after="0"/>
              <w:jc w:val="left"/>
            </w:pPr>
            <w:r>
              <w:rPr>
                <w:rFonts w:ascii="Calibri" w:hAnsi="Calibri"/>
                <w:color w:val="1E293B"/>
                <w:sz w:val="19"/>
              </w:rPr>
              <w:t>Tuned Gradient Boosting</w:t>
            </w:r>
          </w:p>
        </w:tc>
        <w:tc>
          <w:tcPr>
            <w:tcW w:type="dxa" w:w="1008"/>
            <w:shd w:val="clear" w:color="auto" w:fill="FFFFFF"/>
            <w:tcMar>
              <w:top w:w="100" w:type="dxa"/>
              <w:bottom w:w="100" w:type="dxa"/>
              <w:left w:w="140" w:type="dxa"/>
              <w:right w:w="140" w:type="dxa"/>
            </w:tcMar>
          </w:tcPr>
          <w:p>
            <w:pPr>
              <w:spacing w:before="0" w:after="0"/>
              <w:jc w:val="right"/>
            </w:pPr>
            <w:r>
              <w:rPr>
                <w:rFonts w:ascii="Calibri" w:hAnsi="Calibri"/>
                <w:color w:val="1E293B"/>
                <w:sz w:val="19"/>
              </w:rPr>
              <w:t>0.8341</w:t>
            </w:r>
          </w:p>
        </w:tc>
        <w:tc>
          <w:tcPr>
            <w:tcW w:type="dxa" w:w="1008"/>
            <w:shd w:val="clear" w:color="auto" w:fill="FFFFFF"/>
            <w:tcMar>
              <w:top w:w="100" w:type="dxa"/>
              <w:bottom w:w="100" w:type="dxa"/>
              <w:left w:w="140" w:type="dxa"/>
              <w:right w:w="140" w:type="dxa"/>
            </w:tcMar>
          </w:tcPr>
          <w:p>
            <w:pPr>
              <w:spacing w:before="0" w:after="0"/>
              <w:jc w:val="right"/>
            </w:pPr>
            <w:r>
              <w:rPr>
                <w:rFonts w:ascii="Calibri" w:hAnsi="Calibri"/>
                <w:color w:val="1E293B"/>
                <w:sz w:val="19"/>
              </w:rPr>
              <w:t>0.0066</w:t>
            </w:r>
          </w:p>
        </w:tc>
        <w:tc>
          <w:tcPr>
            <w:tcW w:type="dxa" w:w="1008"/>
            <w:shd w:val="clear" w:color="auto" w:fill="FFFFFF"/>
            <w:tcMar>
              <w:top w:w="100" w:type="dxa"/>
              <w:bottom w:w="100" w:type="dxa"/>
              <w:left w:w="140" w:type="dxa"/>
              <w:right w:w="140" w:type="dxa"/>
            </w:tcMar>
          </w:tcPr>
          <w:p>
            <w:pPr>
              <w:spacing w:before="0" w:after="0"/>
              <w:jc w:val="right"/>
            </w:pPr>
            <w:r>
              <w:rPr>
                <w:rFonts w:ascii="Calibri" w:hAnsi="Calibri"/>
                <w:color w:val="1E293B"/>
                <w:sz w:val="19"/>
              </w:rPr>
              <w:t>0.7333</w:t>
            </w:r>
          </w:p>
        </w:tc>
        <w:tc>
          <w:tcPr>
            <w:tcW w:type="dxa" w:w="1008"/>
            <w:shd w:val="clear" w:color="auto" w:fill="FFFFFF"/>
            <w:tcMar>
              <w:top w:w="100" w:type="dxa"/>
              <w:bottom w:w="100" w:type="dxa"/>
              <w:left w:w="140" w:type="dxa"/>
              <w:right w:w="140" w:type="dxa"/>
            </w:tcMar>
          </w:tcPr>
          <w:p>
            <w:pPr>
              <w:spacing w:before="0" w:after="0"/>
              <w:jc w:val="right"/>
            </w:pPr>
            <w:r>
              <w:rPr>
                <w:rFonts w:ascii="Calibri" w:hAnsi="Calibri"/>
                <w:color w:val="1E293B"/>
                <w:sz w:val="19"/>
              </w:rPr>
              <w:t>0.0131</w:t>
            </w:r>
          </w:p>
        </w:tc>
        <w:tc>
          <w:tcPr>
            <w:tcW w:type="dxa" w:w="1008"/>
            <w:shd w:val="clear" w:color="auto" w:fill="FFFFFF"/>
            <w:tcMar>
              <w:top w:w="100" w:type="dxa"/>
              <w:bottom w:w="100" w:type="dxa"/>
              <w:left w:w="140" w:type="dxa"/>
              <w:right w:w="140" w:type="dxa"/>
            </w:tcMar>
          </w:tcPr>
          <w:p>
            <w:pPr>
              <w:spacing w:before="0" w:after="0"/>
              <w:jc w:val="right"/>
            </w:pPr>
            <w:r>
              <w:rPr>
                <w:rFonts w:ascii="Calibri" w:hAnsi="Calibri"/>
                <w:color w:val="1E293B"/>
                <w:sz w:val="19"/>
              </w:rPr>
              <w:t>0.9995</w:t>
            </w:r>
          </w:p>
        </w:tc>
        <w:tc>
          <w:tcPr>
            <w:tcW w:type="dxa" w:w="1008"/>
            <w:shd w:val="clear" w:color="auto" w:fill="FFFFFF"/>
            <w:tcMar>
              <w:top w:w="100" w:type="dxa"/>
              <w:bottom w:w="100" w:type="dxa"/>
              <w:left w:w="140" w:type="dxa"/>
              <w:right w:w="140" w:type="dxa"/>
            </w:tcMar>
          </w:tcPr>
          <w:p>
            <w:pPr>
              <w:spacing w:before="0" w:after="0"/>
              <w:jc w:val="right"/>
            </w:pPr>
            <w:r>
              <w:rPr>
                <w:rFonts w:ascii="Calibri" w:hAnsi="Calibri"/>
                <w:color w:val="1E293B"/>
                <w:sz w:val="19"/>
              </w:rPr>
              <w:t>0.6790</w:t>
            </w:r>
          </w:p>
        </w:tc>
        <w:tc>
          <w:tcPr>
            <w:tcW w:type="dxa" w:w="720"/>
            <w:shd w:val="clear" w:color="auto" w:fill="FFFFFF"/>
            <w:tcMar>
              <w:top w:w="100" w:type="dxa"/>
              <w:bottom w:w="100" w:type="dxa"/>
              <w:left w:w="140" w:type="dxa"/>
              <w:right w:w="140" w:type="dxa"/>
            </w:tcMar>
          </w:tcPr>
          <w:p>
            <w:pPr>
              <w:spacing w:before="0" w:after="0"/>
              <w:jc w:val="right"/>
            </w:pPr>
            <w:r>
              <w:rPr>
                <w:rFonts w:ascii="Calibri" w:hAnsi="Calibri"/>
                <w:color w:val="1E293B"/>
                <w:sz w:val="19"/>
              </w:rPr>
              <w:t>0.0101</w:t>
            </w:r>
          </w:p>
        </w:tc>
      </w:tr>
      <w:tr>
        <w:tc>
          <w:tcPr>
            <w:tcW w:type="dxa" w:w="2592"/>
            <w:shd w:val="clear" w:color="auto" w:fill="F8FAFC"/>
            <w:tcMar>
              <w:top w:w="100" w:type="dxa"/>
              <w:bottom w:w="100" w:type="dxa"/>
              <w:left w:w="140" w:type="dxa"/>
              <w:right w:w="140" w:type="dxa"/>
            </w:tcMar>
          </w:tcPr>
          <w:p>
            <w:pPr>
              <w:spacing w:before="0" w:after="0"/>
              <w:jc w:val="left"/>
            </w:pPr>
            <w:r>
              <w:rPr>
                <w:rFonts w:ascii="Calibri" w:hAnsi="Calibri"/>
                <w:color w:val="1E293B"/>
                <w:sz w:val="19"/>
              </w:rPr>
              <w:t>Tuned XGBoost</w:t>
            </w:r>
          </w:p>
        </w:tc>
        <w:tc>
          <w:tcPr>
            <w:tcW w:type="dxa" w:w="1008"/>
            <w:shd w:val="clear" w:color="auto" w:fill="F8FAFC"/>
            <w:tcMar>
              <w:top w:w="100" w:type="dxa"/>
              <w:bottom w:w="100" w:type="dxa"/>
              <w:left w:w="140" w:type="dxa"/>
              <w:right w:w="140" w:type="dxa"/>
            </w:tcMar>
          </w:tcPr>
          <w:p>
            <w:pPr>
              <w:spacing w:before="0" w:after="0"/>
              <w:jc w:val="right"/>
            </w:pPr>
            <w:r>
              <w:rPr>
                <w:rFonts w:ascii="Calibri" w:hAnsi="Calibri"/>
                <w:color w:val="1E293B"/>
                <w:sz w:val="19"/>
              </w:rPr>
              <w:t>0.8324</w:t>
            </w:r>
          </w:p>
        </w:tc>
        <w:tc>
          <w:tcPr>
            <w:tcW w:type="dxa" w:w="1008"/>
            <w:shd w:val="clear" w:color="auto" w:fill="F8FAFC"/>
            <w:tcMar>
              <w:top w:w="100" w:type="dxa"/>
              <w:bottom w:w="100" w:type="dxa"/>
              <w:left w:w="140" w:type="dxa"/>
              <w:right w:w="140" w:type="dxa"/>
            </w:tcMar>
          </w:tcPr>
          <w:p>
            <w:pPr>
              <w:spacing w:before="0" w:after="0"/>
              <w:jc w:val="right"/>
            </w:pPr>
            <w:r>
              <w:rPr>
                <w:rFonts w:ascii="Calibri" w:hAnsi="Calibri"/>
                <w:color w:val="1E293B"/>
                <w:sz w:val="19"/>
              </w:rPr>
              <w:t>0.0138</w:t>
            </w:r>
          </w:p>
        </w:tc>
        <w:tc>
          <w:tcPr>
            <w:tcW w:type="dxa" w:w="1008"/>
            <w:shd w:val="clear" w:color="auto" w:fill="F8FAFC"/>
            <w:tcMar>
              <w:top w:w="100" w:type="dxa"/>
              <w:bottom w:w="100" w:type="dxa"/>
              <w:left w:w="140" w:type="dxa"/>
              <w:right w:w="140" w:type="dxa"/>
            </w:tcMar>
          </w:tcPr>
          <w:p>
            <w:pPr>
              <w:spacing w:before="0" w:after="0"/>
              <w:jc w:val="right"/>
            </w:pPr>
            <w:r>
              <w:rPr>
                <w:rFonts w:ascii="Calibri" w:hAnsi="Calibri"/>
                <w:color w:val="1E293B"/>
                <w:sz w:val="19"/>
              </w:rPr>
              <w:t>0.4107</w:t>
            </w:r>
          </w:p>
        </w:tc>
        <w:tc>
          <w:tcPr>
            <w:tcW w:type="dxa" w:w="1008"/>
            <w:shd w:val="clear" w:color="auto" w:fill="F8FAFC"/>
            <w:tcMar>
              <w:top w:w="100" w:type="dxa"/>
              <w:bottom w:w="100" w:type="dxa"/>
              <w:left w:w="140" w:type="dxa"/>
              <w:right w:w="140" w:type="dxa"/>
            </w:tcMar>
          </w:tcPr>
          <w:p>
            <w:pPr>
              <w:spacing w:before="0" w:after="0"/>
              <w:jc w:val="right"/>
            </w:pPr>
            <w:r>
              <w:rPr>
                <w:rFonts w:ascii="Calibri" w:hAnsi="Calibri"/>
                <w:color w:val="1E293B"/>
                <w:sz w:val="19"/>
              </w:rPr>
              <w:t>0.0267</w:t>
            </w:r>
          </w:p>
        </w:tc>
        <w:tc>
          <w:tcPr>
            <w:tcW w:type="dxa" w:w="1008"/>
            <w:shd w:val="clear" w:color="auto" w:fill="F8FAFC"/>
            <w:tcMar>
              <w:top w:w="100" w:type="dxa"/>
              <w:bottom w:w="100" w:type="dxa"/>
              <w:left w:w="140" w:type="dxa"/>
              <w:right w:w="140" w:type="dxa"/>
            </w:tcMar>
          </w:tcPr>
          <w:p>
            <w:pPr>
              <w:spacing w:before="0" w:after="0"/>
              <w:jc w:val="right"/>
            </w:pPr>
            <w:r>
              <w:rPr>
                <w:rFonts w:ascii="Calibri" w:hAnsi="Calibri"/>
                <w:color w:val="1E293B"/>
                <w:sz w:val="19"/>
              </w:rPr>
              <w:t>0.9960</w:t>
            </w:r>
          </w:p>
        </w:tc>
        <w:tc>
          <w:tcPr>
            <w:tcW w:type="dxa" w:w="1008"/>
            <w:shd w:val="clear" w:color="auto" w:fill="F8FAFC"/>
            <w:tcMar>
              <w:top w:w="100" w:type="dxa"/>
              <w:bottom w:w="100" w:type="dxa"/>
              <w:left w:w="140" w:type="dxa"/>
              <w:right w:w="140" w:type="dxa"/>
            </w:tcMar>
          </w:tcPr>
          <w:p>
            <w:pPr>
              <w:spacing w:before="0" w:after="0"/>
              <w:jc w:val="right"/>
            </w:pPr>
            <w:r>
              <w:rPr>
                <w:rFonts w:ascii="Calibri" w:hAnsi="Calibri"/>
                <w:color w:val="1E293B"/>
                <w:sz w:val="19"/>
              </w:rPr>
              <w:t>0.6716</w:t>
            </w:r>
          </w:p>
        </w:tc>
        <w:tc>
          <w:tcPr>
            <w:tcW w:type="dxa" w:w="720"/>
            <w:shd w:val="clear" w:color="auto" w:fill="F8FAFC"/>
            <w:tcMar>
              <w:top w:w="100" w:type="dxa"/>
              <w:bottom w:w="100" w:type="dxa"/>
              <w:left w:w="140" w:type="dxa"/>
              <w:right w:w="140" w:type="dxa"/>
            </w:tcMar>
          </w:tcPr>
          <w:p>
            <w:pPr>
              <w:spacing w:before="0" w:after="0"/>
              <w:jc w:val="right"/>
            </w:pPr>
            <w:r>
              <w:rPr>
                <w:rFonts w:ascii="Calibri" w:hAnsi="Calibri"/>
                <w:color w:val="1E293B"/>
                <w:sz w:val="19"/>
              </w:rPr>
              <w:t>0.0161</w:t>
            </w:r>
          </w:p>
        </w:tc>
      </w:tr>
      <w:tr>
        <w:tc>
          <w:tcPr>
            <w:tcW w:type="dxa" w:w="2592"/>
            <w:shd w:val="clear" w:color="auto" w:fill="FFFFFF"/>
            <w:tcMar>
              <w:top w:w="100" w:type="dxa"/>
              <w:bottom w:w="100" w:type="dxa"/>
              <w:left w:w="140" w:type="dxa"/>
              <w:right w:w="140" w:type="dxa"/>
            </w:tcMar>
          </w:tcPr>
          <w:p>
            <w:pPr>
              <w:spacing w:before="0" w:after="0"/>
              <w:jc w:val="left"/>
            </w:pPr>
            <w:r>
              <w:rPr>
                <w:rFonts w:ascii="Calibri" w:hAnsi="Calibri"/>
                <w:color w:val="1E293B"/>
                <w:sz w:val="19"/>
              </w:rPr>
              <w:t>Tuned Random Forest</w:t>
            </w:r>
          </w:p>
        </w:tc>
        <w:tc>
          <w:tcPr>
            <w:tcW w:type="dxa" w:w="1008"/>
            <w:shd w:val="clear" w:color="auto" w:fill="FFFFFF"/>
            <w:tcMar>
              <w:top w:w="100" w:type="dxa"/>
              <w:bottom w:w="100" w:type="dxa"/>
              <w:left w:w="140" w:type="dxa"/>
              <w:right w:w="140" w:type="dxa"/>
            </w:tcMar>
          </w:tcPr>
          <w:p>
            <w:pPr>
              <w:spacing w:before="0" w:after="0"/>
              <w:jc w:val="right"/>
            </w:pPr>
            <w:r>
              <w:rPr>
                <w:rFonts w:ascii="Calibri" w:hAnsi="Calibri"/>
                <w:color w:val="1E293B"/>
                <w:sz w:val="19"/>
              </w:rPr>
              <w:t>0.8333</w:t>
            </w:r>
          </w:p>
        </w:tc>
        <w:tc>
          <w:tcPr>
            <w:tcW w:type="dxa" w:w="1008"/>
            <w:shd w:val="clear" w:color="auto" w:fill="FFFFFF"/>
            <w:tcMar>
              <w:top w:w="100" w:type="dxa"/>
              <w:bottom w:w="100" w:type="dxa"/>
              <w:left w:w="140" w:type="dxa"/>
              <w:right w:w="140" w:type="dxa"/>
            </w:tcMar>
          </w:tcPr>
          <w:p>
            <w:pPr>
              <w:spacing w:before="0" w:after="0"/>
              <w:jc w:val="right"/>
            </w:pPr>
            <w:r>
              <w:rPr>
                <w:rFonts w:ascii="Calibri" w:hAnsi="Calibri"/>
                <w:color w:val="1E293B"/>
                <w:sz w:val="19"/>
              </w:rPr>
              <w:t>0.0048</w:t>
            </w:r>
          </w:p>
        </w:tc>
        <w:tc>
          <w:tcPr>
            <w:tcW w:type="dxa" w:w="1008"/>
            <w:shd w:val="clear" w:color="auto" w:fill="FFFFFF"/>
            <w:tcMar>
              <w:top w:w="100" w:type="dxa"/>
              <w:bottom w:w="100" w:type="dxa"/>
              <w:left w:w="140" w:type="dxa"/>
              <w:right w:w="140" w:type="dxa"/>
            </w:tcMar>
          </w:tcPr>
          <w:p>
            <w:pPr>
              <w:spacing w:before="0" w:after="0"/>
              <w:jc w:val="right"/>
            </w:pPr>
            <w:r>
              <w:rPr>
                <w:rFonts w:ascii="Calibri" w:hAnsi="Calibri"/>
                <w:color w:val="1E293B"/>
                <w:sz w:val="19"/>
              </w:rPr>
              <w:t>0.4706</w:t>
            </w:r>
          </w:p>
        </w:tc>
        <w:tc>
          <w:tcPr>
            <w:tcW w:type="dxa" w:w="1008"/>
            <w:shd w:val="clear" w:color="auto" w:fill="FFFFFF"/>
            <w:tcMar>
              <w:top w:w="100" w:type="dxa"/>
              <w:bottom w:w="100" w:type="dxa"/>
              <w:left w:w="140" w:type="dxa"/>
              <w:right w:w="140" w:type="dxa"/>
            </w:tcMar>
          </w:tcPr>
          <w:p>
            <w:pPr>
              <w:spacing w:before="0" w:after="0"/>
              <w:jc w:val="right"/>
            </w:pPr>
            <w:r>
              <w:rPr>
                <w:rFonts w:ascii="Calibri" w:hAnsi="Calibri"/>
                <w:color w:val="1E293B"/>
                <w:sz w:val="19"/>
              </w:rPr>
              <w:t>0.0095</w:t>
            </w:r>
          </w:p>
        </w:tc>
        <w:tc>
          <w:tcPr>
            <w:tcW w:type="dxa" w:w="1008"/>
            <w:shd w:val="clear" w:color="auto" w:fill="FFFFFF"/>
            <w:tcMar>
              <w:top w:w="100" w:type="dxa"/>
              <w:bottom w:w="100" w:type="dxa"/>
              <w:left w:w="140" w:type="dxa"/>
              <w:right w:w="140" w:type="dxa"/>
            </w:tcMar>
          </w:tcPr>
          <w:p>
            <w:pPr>
              <w:spacing w:before="0" w:after="0"/>
              <w:jc w:val="right"/>
            </w:pPr>
            <w:r>
              <w:rPr>
                <w:rFonts w:ascii="Calibri" w:hAnsi="Calibri"/>
                <w:color w:val="1E293B"/>
                <w:sz w:val="19"/>
              </w:rPr>
              <w:t>0.9989</w:t>
            </w:r>
          </w:p>
        </w:tc>
        <w:tc>
          <w:tcPr>
            <w:tcW w:type="dxa" w:w="1008"/>
            <w:shd w:val="clear" w:color="auto" w:fill="FFFFFF"/>
            <w:tcMar>
              <w:top w:w="100" w:type="dxa"/>
              <w:bottom w:w="100" w:type="dxa"/>
              <w:left w:w="140" w:type="dxa"/>
              <w:right w:w="140" w:type="dxa"/>
            </w:tcMar>
          </w:tcPr>
          <w:p>
            <w:pPr>
              <w:spacing w:before="0" w:after="0"/>
              <w:jc w:val="right"/>
            </w:pPr>
            <w:r>
              <w:rPr>
                <w:rFonts w:ascii="Calibri" w:hAnsi="Calibri"/>
                <w:color w:val="1E293B"/>
                <w:sz w:val="19"/>
              </w:rPr>
              <w:t>0.6412</w:t>
            </w:r>
          </w:p>
        </w:tc>
        <w:tc>
          <w:tcPr>
            <w:tcW w:type="dxa" w:w="720"/>
            <w:shd w:val="clear" w:color="auto" w:fill="FFFFFF"/>
            <w:tcMar>
              <w:top w:w="100" w:type="dxa"/>
              <w:bottom w:w="100" w:type="dxa"/>
              <w:left w:w="140" w:type="dxa"/>
              <w:right w:w="140" w:type="dxa"/>
            </w:tcMar>
          </w:tcPr>
          <w:p>
            <w:pPr>
              <w:spacing w:before="0" w:after="0"/>
              <w:jc w:val="right"/>
            </w:pPr>
            <w:r>
              <w:rPr>
                <w:rFonts w:ascii="Calibri" w:hAnsi="Calibri"/>
                <w:color w:val="1E293B"/>
                <w:sz w:val="19"/>
              </w:rPr>
              <w:t>0.0062</w:t>
            </w:r>
          </w:p>
        </w:tc>
      </w:tr>
    </w:tbl>
    <w:p>
      <w:pPr>
        <w:spacing w:before="160" w:after="60"/>
        <w:jc w:val="center"/>
      </w:pPr>
      <w:r>
        <w:drawing>
          <wp:inline xmlns:a="http://schemas.openxmlformats.org/drawingml/2006/main" xmlns:pic="http://schemas.openxmlformats.org/drawingml/2006/picture">
            <wp:extent cx="5303520" cy="3182112"/>
            <wp:docPr id="8" name="Picture 8"/>
            <wp:cNvGraphicFramePr>
              <a:graphicFrameLocks noChangeAspect="1"/>
            </wp:cNvGraphicFramePr>
            <a:graphic>
              <a:graphicData uri="http://schemas.openxmlformats.org/drawingml/2006/picture">
                <pic:pic>
                  <pic:nvPicPr>
                    <pic:cNvPr id="0" name="tuned_model_comparison.png"/>
                    <pic:cNvPicPr/>
                  </pic:nvPicPr>
                  <pic:blipFill>
                    <a:blip r:embed="rId18"/>
                    <a:stretch>
                      <a:fillRect/>
                    </a:stretch>
                  </pic:blipFill>
                  <pic:spPr>
                    <a:xfrm>
                      <a:off x="0" y="0"/>
                      <a:ext cx="5303520" cy="3182112"/>
                    </a:xfrm>
                    <a:prstGeom prst="rect"/>
                  </pic:spPr>
                </pic:pic>
              </a:graphicData>
            </a:graphic>
          </wp:inline>
        </w:drawing>
      </w:r>
    </w:p>
    <w:p>
      <w:pPr>
        <w:spacing w:before="0" w:after="200"/>
        <w:jc w:val="center"/>
      </w:pPr>
      <w:r>
        <w:rPr>
          <w:rFonts w:ascii="Calibri" w:hAnsi="Calibri"/>
          <w:b/>
          <w:i/>
          <w:color w:val="1B365D"/>
          <w:sz w:val="19"/>
        </w:rPr>
        <w:t>Figure 8. Comparative Evaluation of Tuned Ensemble Architectures (ROC-AUC, F1, Accuracy)</w:t>
      </w:r>
    </w:p>
    <w:p>
      <w:pPr>
        <w:keepNext/>
        <w:spacing w:before="280" w:after="80"/>
      </w:pPr>
      <w:r>
        <w:rPr>
          <w:rFonts w:ascii="Calibri" w:hAnsi="Calibri"/>
          <w:b/>
          <w:color w:val="1B365D"/>
          <w:sz w:val="26"/>
        </w:rPr>
        <w:t>9.4 Performance Interpretation &amp; The Accuracy Paradox</w:t>
      </w:r>
    </w:p>
    <w:p>
      <w:pPr>
        <w:spacing w:before="0" w:after="120" w:line="276" w:lineRule="auto"/>
      </w:pPr>
      <w:r>
        <w:rPr>
          <w:rFonts w:ascii="Calibri" w:hAnsi="Calibri"/>
          <w:color w:val="1E293B"/>
          <w:sz w:val="22"/>
        </w:rPr>
        <w:t>A critical technical insight emerges from Table 4: at the standard default threshold of 0.50, all three tuned ensembles exhibit an overall accuracy of approximately 83.3%. However, this high accuracy is an illusion—a classic manifestation of the Accuracy Paradox. Because 83.34% of the population belongs to the retained majority class, a model can achieve 83.34% accuracy by predicting 'No' for every single worker while failing to identify even a single leaver.</w:t>
      </w:r>
    </w:p>
    <w:p>
      <w:pPr>
        <w:spacing w:before="0" w:after="120" w:line="276" w:lineRule="auto"/>
      </w:pPr>
      <w:r>
        <w:rPr>
          <w:rFonts w:ascii="Calibri" w:hAnsi="Calibri"/>
          <w:color w:val="1E293B"/>
          <w:sz w:val="22"/>
        </w:rPr>
        <w:t>At threshold 0.50, Tuned Gradient Boosting achieved an accuracy of 83.41% but caught only 11 out of 1,666 leavers (0.66% Recall). Tuned Random Forest caught 8 leavers (0.48% Recall), and Tuned XGBoost caught only 23 leavers (1.38% Recall). High accuracy is operationally useless if the model fails its primary business objective: detecting employees at risk of leaving.</w:t>
      </w:r>
    </w:p>
    <w:tbl>
      <w:tblPr>
        <w:tblW w:type="auto" w:w="0"/>
        <w:jc w:val="center"/>
        <w:tblLayout w:type="fixed"/>
        <w:tblLook w:firstColumn="1" w:firstRow="1" w:lastColumn="0" w:lastRow="0" w:noHBand="0" w:noVBand="1" w:val="04A0"/>
      </w:tblPr>
      <w:tblGrid>
        <w:gridCol w:w="9360"/>
      </w:tblGrid>
      <w:tr>
        <w:tc>
          <w:tcPr>
            <w:tcW w:type="dxa" w:w="9360"/>
            <w:shd w:val="clear" w:color="auto" w:fill="FEFCE8"/>
            <w:tcMar>
              <w:top w:w="140" w:type="dxa"/>
              <w:bottom w:w="140" w:type="dxa"/>
              <w:left w:w="200" w:type="dxa"/>
              <w:right w:w="180" w:type="dxa"/>
            </w:tcMar>
            <w:tcBorders>
              <w:left w:val="single" w:sz="24" w:space="0" w:color="EAB308"/>
              <w:top w:val="none"/>
              <w:bottom w:val="none"/>
              <w:right w:val="none"/>
            </w:tcBorders>
          </w:tcPr>
          <w:p>
            <w:pPr>
              <w:spacing w:before="0" w:after="40" w:line="276" w:lineRule="auto"/>
            </w:pPr>
            <w:r>
              <w:rPr>
                <w:rFonts w:ascii="Calibri" w:hAnsi="Calibri"/>
                <w:b/>
                <w:color w:val="1B365D"/>
                <w:sz w:val="21"/>
              </w:rPr>
              <w:t>Critical Distinction: Highest ROC-AUC vs. Operational Model Selection</w:t>
              <w:br/>
            </w:r>
            <w:r>
              <w:rPr>
                <w:rFonts w:ascii="Calibri" w:hAnsi="Calibri"/>
                <w:color w:val="1E293B"/>
                <w:sz w:val="20"/>
              </w:rPr>
              <w:t>• Tuned Gradient Boosting achieved the highest tuned ROC-AUC (0.6790), demonstrating marginally superior overall rank-order separability across all possible thresholds.</w:t>
              <w:br/>
              <w:t>• However, Tuned XGBoost was selected as the final champion model because, upon operational threshold calibration (Threshold = 0.20), it achieved the highest F1-Score (0.3583) and detected 860 leavers (51.62% Recall) with superior practical utility.</w:t>
            </w:r>
          </w:p>
        </w:tc>
      </w:tr>
    </w:tbl>
    <w:p>
      <w:pPr>
        <w:spacing w:after="80"/>
      </w:pPr>
    </w:p>
    <w:p>
      <w:r>
        <w:br w:type="page"/>
      </w:r>
    </w:p>
    <w:p>
      <w:pPr>
        <w:keepNext/>
        <w:spacing w:before="360" w:after="120"/>
      </w:pPr>
      <w:r>
        <w:rPr>
          <w:rFonts w:ascii="Calibri" w:hAnsi="Calibri"/>
          <w:b/>
          <w:color w:val="1B365D"/>
          <w:sz w:val="32"/>
        </w:rPr>
        <w:t>10. Threshold Optimization</w:t>
      </w:r>
    </w:p>
    <w:p>
      <w:pPr>
        <w:keepNext/>
        <w:spacing w:before="280" w:after="80"/>
      </w:pPr>
      <w:r>
        <w:rPr>
          <w:rFonts w:ascii="Calibri" w:hAnsi="Calibri"/>
          <w:b/>
          <w:color w:val="1B365D"/>
          <w:sz w:val="26"/>
        </w:rPr>
        <w:t>10.1 Why Threshold Optimization Was Required</w:t>
      </w:r>
    </w:p>
    <w:p>
      <w:pPr>
        <w:spacing w:before="0" w:after="120" w:line="276" w:lineRule="auto"/>
      </w:pPr>
      <w:r>
        <w:rPr>
          <w:rFonts w:ascii="Calibri" w:hAnsi="Calibri"/>
          <w:color w:val="1E293B"/>
          <w:sz w:val="22"/>
        </w:rPr>
        <w:t>In workforce attrition analytics, decision errors are profoundly asymmetric. The operational cost of a False Negative (failing to identify an employee who subsequently resigns) includes line disruptions, overtime spikes, and replacement costs. In contrast, the cost of a False Positive (identifying an employee who was going to stay) is limited to the minor administrative investment of a confidential supervisory check-in or mentorship review. Therefore, setting the decision threshold at 0.50 is flawed; the threshold must be calibrated downward to optimize the trade-off between Sensitivity and Precision.</w:t>
      </w:r>
    </w:p>
    <w:p>
      <w:pPr>
        <w:keepNext/>
        <w:spacing w:before="280" w:after="80"/>
      </w:pPr>
      <w:r>
        <w:rPr>
          <w:rFonts w:ascii="Calibri" w:hAnsi="Calibri"/>
          <w:b/>
          <w:color w:val="1B365D"/>
          <w:sz w:val="26"/>
        </w:rPr>
        <w:t>10.2 Threshold Evaluation</w:t>
      </w:r>
    </w:p>
    <w:p>
      <w:pPr>
        <w:spacing w:before="0" w:after="120" w:line="276" w:lineRule="auto"/>
      </w:pPr>
      <w:r>
        <w:rPr>
          <w:rFonts w:ascii="Calibri" w:hAnsi="Calibri"/>
          <w:color w:val="1E293B"/>
          <w:sz w:val="22"/>
        </w:rPr>
        <w:t>A continuous grid sweep was executed across thresholds T ∈ [0.10, 0.90] in increments of 0.05 on the 9,999 holdout records. Table 5 details the performance metrics of Tuned XGBoost across the threshold trajectory.</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337"/>
        <w:gridCol w:w="1337"/>
        <w:gridCol w:w="1337"/>
        <w:gridCol w:w="1337"/>
        <w:gridCol w:w="1337"/>
        <w:gridCol w:w="1337"/>
        <w:gridCol w:w="1337"/>
      </w:tblGrid>
      <w:tr>
        <w:tc>
          <w:tcPr>
            <w:tcW w:type="dxa" w:w="1728"/>
            <w:shd w:val="clear" w:color="auto" w:fill="1B365D"/>
            <w:tcMar>
              <w:top w:w="100" w:type="dxa"/>
              <w:bottom w:w="100" w:type="dxa"/>
              <w:left w:w="140" w:type="dxa"/>
              <w:right w:w="140" w:type="dxa"/>
            </w:tcMar>
          </w:tcPr>
          <w:p>
            <w:pPr>
              <w:spacing w:before="0" w:after="0"/>
              <w:jc w:val="left"/>
            </w:pPr>
            <w:r>
              <w:rPr>
                <w:rFonts w:ascii="Calibri" w:hAnsi="Calibri"/>
                <w:b/>
                <w:color w:val="FFFFFF"/>
                <w:sz w:val="20"/>
              </w:rPr>
              <w:t>Threshold (T)</w:t>
            </w:r>
          </w:p>
        </w:tc>
        <w:tc>
          <w:tcPr>
            <w:tcW w:type="dxa" w:w="1296"/>
            <w:shd w:val="clear" w:color="auto" w:fill="1B365D"/>
            <w:tcMar>
              <w:top w:w="100" w:type="dxa"/>
              <w:bottom w:w="100" w:type="dxa"/>
              <w:left w:w="140" w:type="dxa"/>
              <w:right w:w="140" w:type="dxa"/>
            </w:tcMar>
          </w:tcPr>
          <w:p>
            <w:pPr>
              <w:spacing w:before="0" w:after="0"/>
              <w:jc w:val="right"/>
            </w:pPr>
            <w:r>
              <w:rPr>
                <w:rFonts w:ascii="Calibri" w:hAnsi="Calibri"/>
                <w:b/>
                <w:color w:val="FFFFFF"/>
                <w:sz w:val="20"/>
              </w:rPr>
              <w:t>Accuracy</w:t>
            </w:r>
          </w:p>
        </w:tc>
        <w:tc>
          <w:tcPr>
            <w:tcW w:type="dxa" w:w="1296"/>
            <w:shd w:val="clear" w:color="auto" w:fill="1B365D"/>
            <w:tcMar>
              <w:top w:w="100" w:type="dxa"/>
              <w:bottom w:w="100" w:type="dxa"/>
              <w:left w:w="140" w:type="dxa"/>
              <w:right w:w="140" w:type="dxa"/>
            </w:tcMar>
          </w:tcPr>
          <w:p>
            <w:pPr>
              <w:spacing w:before="0" w:after="0"/>
              <w:jc w:val="right"/>
            </w:pPr>
            <w:r>
              <w:rPr>
                <w:rFonts w:ascii="Calibri" w:hAnsi="Calibri"/>
                <w:b/>
                <w:color w:val="FFFFFF"/>
                <w:sz w:val="20"/>
              </w:rPr>
              <w:t>Recall</w:t>
            </w:r>
          </w:p>
        </w:tc>
        <w:tc>
          <w:tcPr>
            <w:tcW w:type="dxa" w:w="1296"/>
            <w:shd w:val="clear" w:color="auto" w:fill="1B365D"/>
            <w:tcMar>
              <w:top w:w="100" w:type="dxa"/>
              <w:bottom w:w="100" w:type="dxa"/>
              <w:left w:w="140" w:type="dxa"/>
              <w:right w:w="140" w:type="dxa"/>
            </w:tcMar>
          </w:tcPr>
          <w:p>
            <w:pPr>
              <w:spacing w:before="0" w:after="0"/>
              <w:jc w:val="right"/>
            </w:pPr>
            <w:r>
              <w:rPr>
                <w:rFonts w:ascii="Calibri" w:hAnsi="Calibri"/>
                <w:b/>
                <w:color w:val="FFFFFF"/>
                <w:sz w:val="20"/>
              </w:rPr>
              <w:t>Precision</w:t>
            </w:r>
          </w:p>
        </w:tc>
        <w:tc>
          <w:tcPr>
            <w:tcW w:type="dxa" w:w="1296"/>
            <w:shd w:val="clear" w:color="auto" w:fill="1B365D"/>
            <w:tcMar>
              <w:top w:w="100" w:type="dxa"/>
              <w:bottom w:w="100" w:type="dxa"/>
              <w:left w:w="140" w:type="dxa"/>
              <w:right w:w="140" w:type="dxa"/>
            </w:tcMar>
          </w:tcPr>
          <w:p>
            <w:pPr>
              <w:spacing w:before="0" w:after="0"/>
              <w:jc w:val="right"/>
            </w:pPr>
            <w:r>
              <w:rPr>
                <w:rFonts w:ascii="Calibri" w:hAnsi="Calibri"/>
                <w:b/>
                <w:color w:val="FFFFFF"/>
                <w:sz w:val="20"/>
              </w:rPr>
              <w:t>F1-Score</w:t>
            </w:r>
          </w:p>
        </w:tc>
        <w:tc>
          <w:tcPr>
            <w:tcW w:type="dxa" w:w="1296"/>
            <w:shd w:val="clear" w:color="auto" w:fill="1B365D"/>
            <w:tcMar>
              <w:top w:w="100" w:type="dxa"/>
              <w:bottom w:w="100" w:type="dxa"/>
              <w:left w:w="140" w:type="dxa"/>
              <w:right w:w="140" w:type="dxa"/>
            </w:tcMar>
          </w:tcPr>
          <w:p>
            <w:pPr>
              <w:spacing w:before="0" w:after="0"/>
              <w:jc w:val="right"/>
            </w:pPr>
            <w:r>
              <w:rPr>
                <w:rFonts w:ascii="Calibri" w:hAnsi="Calibri"/>
                <w:b/>
                <w:color w:val="FFFFFF"/>
                <w:sz w:val="20"/>
              </w:rPr>
              <w:t>Specificity</w:t>
            </w:r>
          </w:p>
        </w:tc>
        <w:tc>
          <w:tcPr>
            <w:tcW w:type="dxa" w:w="1728"/>
            <w:shd w:val="clear" w:color="auto" w:fill="1B365D"/>
            <w:tcMar>
              <w:top w:w="100" w:type="dxa"/>
              <w:bottom w:w="100" w:type="dxa"/>
              <w:left w:w="140" w:type="dxa"/>
              <w:right w:w="140" w:type="dxa"/>
            </w:tcMar>
          </w:tcPr>
          <w:p>
            <w:pPr>
              <w:spacing w:before="0" w:after="0"/>
              <w:jc w:val="right"/>
            </w:pPr>
            <w:r>
              <w:rPr>
                <w:rFonts w:ascii="Calibri" w:hAnsi="Calibri"/>
                <w:b/>
                <w:color w:val="FFFFFF"/>
                <w:sz w:val="20"/>
              </w:rPr>
              <w:t>Caught Leavers (TP)</w:t>
            </w:r>
          </w:p>
        </w:tc>
      </w:tr>
      <w:tr>
        <w:tc>
          <w:tcPr>
            <w:tcW w:type="dxa" w:w="1728"/>
            <w:shd w:val="clear" w:color="auto" w:fill="FFFFFF"/>
            <w:tcMar>
              <w:top w:w="100" w:type="dxa"/>
              <w:bottom w:w="100" w:type="dxa"/>
              <w:left w:w="140" w:type="dxa"/>
              <w:right w:w="140" w:type="dxa"/>
            </w:tcMar>
          </w:tcPr>
          <w:p>
            <w:pPr>
              <w:spacing w:before="0" w:after="0"/>
              <w:jc w:val="left"/>
            </w:pPr>
            <w:r>
              <w:rPr>
                <w:rFonts w:ascii="Calibri" w:hAnsi="Calibri"/>
                <w:color w:val="1E293B"/>
                <w:sz w:val="19"/>
              </w:rPr>
              <w:t>0.10</w:t>
            </w:r>
          </w:p>
        </w:tc>
        <w:tc>
          <w:tcPr>
            <w:tcW w:type="dxa" w:w="1296"/>
            <w:shd w:val="clear" w:color="auto" w:fill="FFFFFF"/>
            <w:tcMar>
              <w:top w:w="100" w:type="dxa"/>
              <w:bottom w:w="100" w:type="dxa"/>
              <w:left w:w="140" w:type="dxa"/>
              <w:right w:w="140" w:type="dxa"/>
            </w:tcMar>
          </w:tcPr>
          <w:p>
            <w:pPr>
              <w:spacing w:before="0" w:after="0"/>
              <w:jc w:val="right"/>
            </w:pPr>
            <w:r>
              <w:rPr>
                <w:rFonts w:ascii="Calibri" w:hAnsi="Calibri"/>
                <w:color w:val="1E293B"/>
                <w:sz w:val="19"/>
              </w:rPr>
              <w:t>42.22%</w:t>
            </w:r>
          </w:p>
        </w:tc>
        <w:tc>
          <w:tcPr>
            <w:tcW w:type="dxa" w:w="1296"/>
            <w:shd w:val="clear" w:color="auto" w:fill="FFFFFF"/>
            <w:tcMar>
              <w:top w:w="100" w:type="dxa"/>
              <w:bottom w:w="100" w:type="dxa"/>
              <w:left w:w="140" w:type="dxa"/>
              <w:right w:w="140" w:type="dxa"/>
            </w:tcMar>
          </w:tcPr>
          <w:p>
            <w:pPr>
              <w:spacing w:before="0" w:after="0"/>
              <w:jc w:val="right"/>
            </w:pPr>
            <w:r>
              <w:rPr>
                <w:rFonts w:ascii="Calibri" w:hAnsi="Calibri"/>
                <w:color w:val="1E293B"/>
                <w:sz w:val="19"/>
              </w:rPr>
              <w:t>86.43%</w:t>
            </w:r>
          </w:p>
        </w:tc>
        <w:tc>
          <w:tcPr>
            <w:tcW w:type="dxa" w:w="1296"/>
            <w:shd w:val="clear" w:color="auto" w:fill="FFFFFF"/>
            <w:tcMar>
              <w:top w:w="100" w:type="dxa"/>
              <w:bottom w:w="100" w:type="dxa"/>
              <w:left w:w="140" w:type="dxa"/>
              <w:right w:w="140" w:type="dxa"/>
            </w:tcMar>
          </w:tcPr>
          <w:p>
            <w:pPr>
              <w:spacing w:before="0" w:after="0"/>
              <w:jc w:val="right"/>
            </w:pPr>
            <w:r>
              <w:rPr>
                <w:rFonts w:ascii="Calibri" w:hAnsi="Calibri"/>
                <w:color w:val="1E293B"/>
                <w:sz w:val="19"/>
              </w:rPr>
              <w:t>20.60%</w:t>
            </w:r>
          </w:p>
        </w:tc>
        <w:tc>
          <w:tcPr>
            <w:tcW w:type="dxa" w:w="1296"/>
            <w:shd w:val="clear" w:color="auto" w:fill="FFFFFF"/>
            <w:tcMar>
              <w:top w:w="100" w:type="dxa"/>
              <w:bottom w:w="100" w:type="dxa"/>
              <w:left w:w="140" w:type="dxa"/>
              <w:right w:w="140" w:type="dxa"/>
            </w:tcMar>
          </w:tcPr>
          <w:p>
            <w:pPr>
              <w:spacing w:before="0" w:after="0"/>
              <w:jc w:val="right"/>
            </w:pPr>
            <w:r>
              <w:rPr>
                <w:rFonts w:ascii="Calibri" w:hAnsi="Calibri"/>
                <w:color w:val="1E293B"/>
                <w:sz w:val="19"/>
              </w:rPr>
              <w:t>0.3327</w:t>
            </w:r>
          </w:p>
        </w:tc>
        <w:tc>
          <w:tcPr>
            <w:tcW w:type="dxa" w:w="1296"/>
            <w:shd w:val="clear" w:color="auto" w:fill="FFFFFF"/>
            <w:tcMar>
              <w:top w:w="100" w:type="dxa"/>
              <w:bottom w:w="100" w:type="dxa"/>
              <w:left w:w="140" w:type="dxa"/>
              <w:right w:w="140" w:type="dxa"/>
            </w:tcMar>
          </w:tcPr>
          <w:p>
            <w:pPr>
              <w:spacing w:before="0" w:after="0"/>
              <w:jc w:val="right"/>
            </w:pPr>
            <w:r>
              <w:rPr>
                <w:rFonts w:ascii="Calibri" w:hAnsi="Calibri"/>
                <w:color w:val="1E293B"/>
                <w:sz w:val="19"/>
              </w:rPr>
              <w:t>33.39%</w:t>
            </w:r>
          </w:p>
        </w:tc>
        <w:tc>
          <w:tcPr>
            <w:tcW w:type="dxa" w:w="1728"/>
            <w:shd w:val="clear" w:color="auto" w:fill="FFFFFF"/>
            <w:tcMar>
              <w:top w:w="100" w:type="dxa"/>
              <w:bottom w:w="100" w:type="dxa"/>
              <w:left w:w="140" w:type="dxa"/>
              <w:right w:w="140" w:type="dxa"/>
            </w:tcMar>
          </w:tcPr>
          <w:p>
            <w:pPr>
              <w:spacing w:before="0" w:after="0"/>
              <w:jc w:val="right"/>
            </w:pPr>
            <w:r>
              <w:rPr>
                <w:rFonts w:ascii="Calibri" w:hAnsi="Calibri"/>
                <w:color w:val="1E293B"/>
                <w:sz w:val="19"/>
              </w:rPr>
              <w:t>1,440 / 1,666</w:t>
            </w:r>
          </w:p>
        </w:tc>
      </w:tr>
      <w:tr>
        <w:tc>
          <w:tcPr>
            <w:tcW w:type="dxa" w:w="1728"/>
            <w:shd w:val="clear" w:color="auto" w:fill="F8FAFC"/>
            <w:tcMar>
              <w:top w:w="100" w:type="dxa"/>
              <w:bottom w:w="100" w:type="dxa"/>
              <w:left w:w="140" w:type="dxa"/>
              <w:right w:w="140" w:type="dxa"/>
            </w:tcMar>
          </w:tcPr>
          <w:p>
            <w:pPr>
              <w:spacing w:before="0" w:after="0"/>
              <w:jc w:val="left"/>
            </w:pPr>
            <w:r>
              <w:rPr>
                <w:rFonts w:ascii="Calibri" w:hAnsi="Calibri"/>
                <w:color w:val="1E293B"/>
                <w:sz w:val="19"/>
              </w:rPr>
              <w:t>0.15</w:t>
            </w:r>
          </w:p>
        </w:tc>
        <w:tc>
          <w:tcPr>
            <w:tcW w:type="dxa" w:w="1296"/>
            <w:shd w:val="clear" w:color="auto" w:fill="F8FAFC"/>
            <w:tcMar>
              <w:top w:w="100" w:type="dxa"/>
              <w:bottom w:w="100" w:type="dxa"/>
              <w:left w:w="140" w:type="dxa"/>
              <w:right w:w="140" w:type="dxa"/>
            </w:tcMar>
          </w:tcPr>
          <w:p>
            <w:pPr>
              <w:spacing w:before="0" w:after="0"/>
              <w:jc w:val="right"/>
            </w:pPr>
            <w:r>
              <w:rPr>
                <w:rFonts w:ascii="Calibri" w:hAnsi="Calibri"/>
                <w:color w:val="1E293B"/>
                <w:sz w:val="19"/>
              </w:rPr>
              <w:t>58.15%</w:t>
            </w:r>
          </w:p>
        </w:tc>
        <w:tc>
          <w:tcPr>
            <w:tcW w:type="dxa" w:w="1296"/>
            <w:shd w:val="clear" w:color="auto" w:fill="F8FAFC"/>
            <w:tcMar>
              <w:top w:w="100" w:type="dxa"/>
              <w:bottom w:w="100" w:type="dxa"/>
              <w:left w:w="140" w:type="dxa"/>
              <w:right w:w="140" w:type="dxa"/>
            </w:tcMar>
          </w:tcPr>
          <w:p>
            <w:pPr>
              <w:spacing w:before="0" w:after="0"/>
              <w:jc w:val="right"/>
            </w:pPr>
            <w:r>
              <w:rPr>
                <w:rFonts w:ascii="Calibri" w:hAnsi="Calibri"/>
                <w:color w:val="1E293B"/>
                <w:sz w:val="19"/>
              </w:rPr>
              <w:t>67.29%</w:t>
            </w:r>
          </w:p>
        </w:tc>
        <w:tc>
          <w:tcPr>
            <w:tcW w:type="dxa" w:w="1296"/>
            <w:shd w:val="clear" w:color="auto" w:fill="F8FAFC"/>
            <w:tcMar>
              <w:top w:w="100" w:type="dxa"/>
              <w:bottom w:w="100" w:type="dxa"/>
              <w:left w:w="140" w:type="dxa"/>
              <w:right w:w="140" w:type="dxa"/>
            </w:tcMar>
          </w:tcPr>
          <w:p>
            <w:pPr>
              <w:spacing w:before="0" w:after="0"/>
              <w:jc w:val="right"/>
            </w:pPr>
            <w:r>
              <w:rPr>
                <w:rFonts w:ascii="Calibri" w:hAnsi="Calibri"/>
                <w:color w:val="1E293B"/>
                <w:sz w:val="19"/>
              </w:rPr>
              <w:t>23.55%</w:t>
            </w:r>
          </w:p>
        </w:tc>
        <w:tc>
          <w:tcPr>
            <w:tcW w:type="dxa" w:w="1296"/>
            <w:shd w:val="clear" w:color="auto" w:fill="F8FAFC"/>
            <w:tcMar>
              <w:top w:w="100" w:type="dxa"/>
              <w:bottom w:w="100" w:type="dxa"/>
              <w:left w:w="140" w:type="dxa"/>
              <w:right w:w="140" w:type="dxa"/>
            </w:tcMar>
          </w:tcPr>
          <w:p>
            <w:pPr>
              <w:spacing w:before="0" w:after="0"/>
              <w:jc w:val="right"/>
            </w:pPr>
            <w:r>
              <w:rPr>
                <w:rFonts w:ascii="Calibri" w:hAnsi="Calibri"/>
                <w:color w:val="1E293B"/>
                <w:sz w:val="19"/>
              </w:rPr>
              <w:t>0.3488</w:t>
            </w:r>
          </w:p>
        </w:tc>
        <w:tc>
          <w:tcPr>
            <w:tcW w:type="dxa" w:w="1296"/>
            <w:shd w:val="clear" w:color="auto" w:fill="F8FAFC"/>
            <w:tcMar>
              <w:top w:w="100" w:type="dxa"/>
              <w:bottom w:w="100" w:type="dxa"/>
              <w:left w:w="140" w:type="dxa"/>
              <w:right w:w="140" w:type="dxa"/>
            </w:tcMar>
          </w:tcPr>
          <w:p>
            <w:pPr>
              <w:spacing w:before="0" w:after="0"/>
              <w:jc w:val="right"/>
            </w:pPr>
            <w:r>
              <w:rPr>
                <w:rFonts w:ascii="Calibri" w:hAnsi="Calibri"/>
                <w:color w:val="1E293B"/>
                <w:sz w:val="19"/>
              </w:rPr>
              <w:t>56.32%</w:t>
            </w:r>
          </w:p>
        </w:tc>
        <w:tc>
          <w:tcPr>
            <w:tcW w:type="dxa" w:w="1728"/>
            <w:shd w:val="clear" w:color="auto" w:fill="F8FAFC"/>
            <w:tcMar>
              <w:top w:w="100" w:type="dxa"/>
              <w:bottom w:w="100" w:type="dxa"/>
              <w:left w:w="140" w:type="dxa"/>
              <w:right w:w="140" w:type="dxa"/>
            </w:tcMar>
          </w:tcPr>
          <w:p>
            <w:pPr>
              <w:spacing w:before="0" w:after="0"/>
              <w:jc w:val="right"/>
            </w:pPr>
            <w:r>
              <w:rPr>
                <w:rFonts w:ascii="Calibri" w:hAnsi="Calibri"/>
                <w:color w:val="1E293B"/>
                <w:sz w:val="19"/>
              </w:rPr>
              <w:t>1,121 / 1,666</w:t>
            </w:r>
          </w:p>
        </w:tc>
      </w:tr>
      <w:tr>
        <w:tc>
          <w:tcPr>
            <w:tcW w:type="dxa" w:w="1728"/>
            <w:shd w:val="clear" w:color="auto" w:fill="FFFFFF"/>
            <w:tcMar>
              <w:top w:w="100" w:type="dxa"/>
              <w:bottom w:w="100" w:type="dxa"/>
              <w:left w:w="140" w:type="dxa"/>
              <w:right w:w="140" w:type="dxa"/>
            </w:tcMar>
          </w:tcPr>
          <w:p>
            <w:pPr>
              <w:spacing w:before="0" w:after="0"/>
              <w:jc w:val="left"/>
            </w:pPr>
            <w:r>
              <w:rPr>
                <w:rFonts w:ascii="Calibri" w:hAnsi="Calibri"/>
                <w:color w:val="1E293B"/>
                <w:sz w:val="19"/>
              </w:rPr>
              <w:t>0.20 (Optimal)</w:t>
            </w:r>
          </w:p>
        </w:tc>
        <w:tc>
          <w:tcPr>
            <w:tcW w:type="dxa" w:w="1296"/>
            <w:shd w:val="clear" w:color="auto" w:fill="FFFFFF"/>
            <w:tcMar>
              <w:top w:w="100" w:type="dxa"/>
              <w:bottom w:w="100" w:type="dxa"/>
              <w:left w:w="140" w:type="dxa"/>
              <w:right w:w="140" w:type="dxa"/>
            </w:tcMar>
          </w:tcPr>
          <w:p>
            <w:pPr>
              <w:spacing w:before="0" w:after="0"/>
              <w:jc w:val="right"/>
            </w:pPr>
            <w:r>
              <w:rPr>
                <w:rFonts w:ascii="Calibri" w:hAnsi="Calibri"/>
                <w:color w:val="1E293B"/>
                <w:sz w:val="19"/>
              </w:rPr>
              <w:t>69.19%</w:t>
            </w:r>
          </w:p>
        </w:tc>
        <w:tc>
          <w:tcPr>
            <w:tcW w:type="dxa" w:w="1296"/>
            <w:shd w:val="clear" w:color="auto" w:fill="FFFFFF"/>
            <w:tcMar>
              <w:top w:w="100" w:type="dxa"/>
              <w:bottom w:w="100" w:type="dxa"/>
              <w:left w:w="140" w:type="dxa"/>
              <w:right w:w="140" w:type="dxa"/>
            </w:tcMar>
          </w:tcPr>
          <w:p>
            <w:pPr>
              <w:spacing w:before="0" w:after="0"/>
              <w:jc w:val="right"/>
            </w:pPr>
            <w:r>
              <w:rPr>
                <w:rFonts w:ascii="Calibri" w:hAnsi="Calibri"/>
                <w:color w:val="1E293B"/>
                <w:sz w:val="19"/>
              </w:rPr>
              <w:t>51.62%</w:t>
            </w:r>
          </w:p>
        </w:tc>
        <w:tc>
          <w:tcPr>
            <w:tcW w:type="dxa" w:w="1296"/>
            <w:shd w:val="clear" w:color="auto" w:fill="FFFFFF"/>
            <w:tcMar>
              <w:top w:w="100" w:type="dxa"/>
              <w:bottom w:w="100" w:type="dxa"/>
              <w:left w:w="140" w:type="dxa"/>
              <w:right w:w="140" w:type="dxa"/>
            </w:tcMar>
          </w:tcPr>
          <w:p>
            <w:pPr>
              <w:spacing w:before="0" w:after="0"/>
              <w:jc w:val="right"/>
            </w:pPr>
            <w:r>
              <w:rPr>
                <w:rFonts w:ascii="Calibri" w:hAnsi="Calibri"/>
                <w:color w:val="1E293B"/>
                <w:sz w:val="19"/>
              </w:rPr>
              <w:t>27.43%</w:t>
            </w:r>
          </w:p>
        </w:tc>
        <w:tc>
          <w:tcPr>
            <w:tcW w:type="dxa" w:w="1296"/>
            <w:shd w:val="clear" w:color="auto" w:fill="FFFFFF"/>
            <w:tcMar>
              <w:top w:w="100" w:type="dxa"/>
              <w:bottom w:w="100" w:type="dxa"/>
              <w:left w:w="140" w:type="dxa"/>
              <w:right w:w="140" w:type="dxa"/>
            </w:tcMar>
          </w:tcPr>
          <w:p>
            <w:pPr>
              <w:spacing w:before="0" w:after="0"/>
              <w:jc w:val="right"/>
            </w:pPr>
            <w:r>
              <w:rPr>
                <w:rFonts w:ascii="Calibri" w:hAnsi="Calibri"/>
                <w:color w:val="1E293B"/>
                <w:sz w:val="19"/>
              </w:rPr>
              <w:t>0.3583</w:t>
            </w:r>
          </w:p>
        </w:tc>
        <w:tc>
          <w:tcPr>
            <w:tcW w:type="dxa" w:w="1296"/>
            <w:shd w:val="clear" w:color="auto" w:fill="FFFFFF"/>
            <w:tcMar>
              <w:top w:w="100" w:type="dxa"/>
              <w:bottom w:w="100" w:type="dxa"/>
              <w:left w:w="140" w:type="dxa"/>
              <w:right w:w="140" w:type="dxa"/>
            </w:tcMar>
          </w:tcPr>
          <w:p>
            <w:pPr>
              <w:spacing w:before="0" w:after="0"/>
              <w:jc w:val="right"/>
            </w:pPr>
            <w:r>
              <w:rPr>
                <w:rFonts w:ascii="Calibri" w:hAnsi="Calibri"/>
                <w:color w:val="1E293B"/>
                <w:sz w:val="19"/>
              </w:rPr>
              <w:t>72.70%</w:t>
            </w:r>
          </w:p>
        </w:tc>
        <w:tc>
          <w:tcPr>
            <w:tcW w:type="dxa" w:w="1728"/>
            <w:shd w:val="clear" w:color="auto" w:fill="FFFFFF"/>
            <w:tcMar>
              <w:top w:w="100" w:type="dxa"/>
              <w:bottom w:w="100" w:type="dxa"/>
              <w:left w:w="140" w:type="dxa"/>
              <w:right w:w="140" w:type="dxa"/>
            </w:tcMar>
          </w:tcPr>
          <w:p>
            <w:pPr>
              <w:spacing w:before="0" w:after="0"/>
              <w:jc w:val="right"/>
            </w:pPr>
            <w:r>
              <w:rPr>
                <w:rFonts w:ascii="Calibri" w:hAnsi="Calibri"/>
                <w:color w:val="1E293B"/>
                <w:sz w:val="19"/>
              </w:rPr>
              <w:t>860 / 1,666</w:t>
            </w:r>
          </w:p>
        </w:tc>
      </w:tr>
      <w:tr>
        <w:tc>
          <w:tcPr>
            <w:tcW w:type="dxa" w:w="1728"/>
            <w:shd w:val="clear" w:color="auto" w:fill="F8FAFC"/>
            <w:tcMar>
              <w:top w:w="100" w:type="dxa"/>
              <w:bottom w:w="100" w:type="dxa"/>
              <w:left w:w="140" w:type="dxa"/>
              <w:right w:w="140" w:type="dxa"/>
            </w:tcMar>
          </w:tcPr>
          <w:p>
            <w:pPr>
              <w:spacing w:before="0" w:after="0"/>
              <w:jc w:val="left"/>
            </w:pPr>
            <w:r>
              <w:rPr>
                <w:rFonts w:ascii="Calibri" w:hAnsi="Calibri"/>
                <w:color w:val="1E293B"/>
                <w:sz w:val="19"/>
              </w:rPr>
              <w:t>0.25</w:t>
            </w:r>
          </w:p>
        </w:tc>
        <w:tc>
          <w:tcPr>
            <w:tcW w:type="dxa" w:w="1296"/>
            <w:shd w:val="clear" w:color="auto" w:fill="F8FAFC"/>
            <w:tcMar>
              <w:top w:w="100" w:type="dxa"/>
              <w:bottom w:w="100" w:type="dxa"/>
              <w:left w:w="140" w:type="dxa"/>
              <w:right w:w="140" w:type="dxa"/>
            </w:tcMar>
          </w:tcPr>
          <w:p>
            <w:pPr>
              <w:spacing w:before="0" w:after="0"/>
              <w:jc w:val="right"/>
            </w:pPr>
            <w:r>
              <w:rPr>
                <w:rFonts w:ascii="Calibri" w:hAnsi="Calibri"/>
                <w:color w:val="1E293B"/>
                <w:sz w:val="19"/>
              </w:rPr>
              <w:t>75.77%</w:t>
            </w:r>
          </w:p>
        </w:tc>
        <w:tc>
          <w:tcPr>
            <w:tcW w:type="dxa" w:w="1296"/>
            <w:shd w:val="clear" w:color="auto" w:fill="F8FAFC"/>
            <w:tcMar>
              <w:top w:w="100" w:type="dxa"/>
              <w:bottom w:w="100" w:type="dxa"/>
              <w:left w:w="140" w:type="dxa"/>
              <w:right w:w="140" w:type="dxa"/>
            </w:tcMar>
          </w:tcPr>
          <w:p>
            <w:pPr>
              <w:spacing w:before="0" w:after="0"/>
              <w:jc w:val="right"/>
            </w:pPr>
            <w:r>
              <w:rPr>
                <w:rFonts w:ascii="Calibri" w:hAnsi="Calibri"/>
                <w:color w:val="1E293B"/>
                <w:sz w:val="19"/>
              </w:rPr>
              <w:t>35.83%</w:t>
            </w:r>
          </w:p>
        </w:tc>
        <w:tc>
          <w:tcPr>
            <w:tcW w:type="dxa" w:w="1296"/>
            <w:shd w:val="clear" w:color="auto" w:fill="F8FAFC"/>
            <w:tcMar>
              <w:top w:w="100" w:type="dxa"/>
              <w:bottom w:w="100" w:type="dxa"/>
              <w:left w:w="140" w:type="dxa"/>
              <w:right w:w="140" w:type="dxa"/>
            </w:tcMar>
          </w:tcPr>
          <w:p>
            <w:pPr>
              <w:spacing w:before="0" w:after="0"/>
              <w:jc w:val="right"/>
            </w:pPr>
            <w:r>
              <w:rPr>
                <w:rFonts w:ascii="Calibri" w:hAnsi="Calibri"/>
                <w:color w:val="1E293B"/>
                <w:sz w:val="19"/>
              </w:rPr>
              <w:t>30.60%</w:t>
            </w:r>
          </w:p>
        </w:tc>
        <w:tc>
          <w:tcPr>
            <w:tcW w:type="dxa" w:w="1296"/>
            <w:shd w:val="clear" w:color="auto" w:fill="F8FAFC"/>
            <w:tcMar>
              <w:top w:w="100" w:type="dxa"/>
              <w:bottom w:w="100" w:type="dxa"/>
              <w:left w:w="140" w:type="dxa"/>
              <w:right w:w="140" w:type="dxa"/>
            </w:tcMar>
          </w:tcPr>
          <w:p>
            <w:pPr>
              <w:spacing w:before="0" w:after="0"/>
              <w:jc w:val="right"/>
            </w:pPr>
            <w:r>
              <w:rPr>
                <w:rFonts w:ascii="Calibri" w:hAnsi="Calibri"/>
                <w:color w:val="1E293B"/>
                <w:sz w:val="19"/>
              </w:rPr>
              <w:t>0.3301</w:t>
            </w:r>
          </w:p>
        </w:tc>
        <w:tc>
          <w:tcPr>
            <w:tcW w:type="dxa" w:w="1296"/>
            <w:shd w:val="clear" w:color="auto" w:fill="F8FAFC"/>
            <w:tcMar>
              <w:top w:w="100" w:type="dxa"/>
              <w:bottom w:w="100" w:type="dxa"/>
              <w:left w:w="140" w:type="dxa"/>
              <w:right w:w="140" w:type="dxa"/>
            </w:tcMar>
          </w:tcPr>
          <w:p>
            <w:pPr>
              <w:spacing w:before="0" w:after="0"/>
              <w:jc w:val="right"/>
            </w:pPr>
            <w:r>
              <w:rPr>
                <w:rFonts w:ascii="Calibri" w:hAnsi="Calibri"/>
                <w:color w:val="1E293B"/>
                <w:sz w:val="19"/>
              </w:rPr>
              <w:t>83.75%</w:t>
            </w:r>
          </w:p>
        </w:tc>
        <w:tc>
          <w:tcPr>
            <w:tcW w:type="dxa" w:w="1728"/>
            <w:shd w:val="clear" w:color="auto" w:fill="F8FAFC"/>
            <w:tcMar>
              <w:top w:w="100" w:type="dxa"/>
              <w:bottom w:w="100" w:type="dxa"/>
              <w:left w:w="140" w:type="dxa"/>
              <w:right w:w="140" w:type="dxa"/>
            </w:tcMar>
          </w:tcPr>
          <w:p>
            <w:pPr>
              <w:spacing w:before="0" w:after="0"/>
              <w:jc w:val="right"/>
            </w:pPr>
            <w:r>
              <w:rPr>
                <w:rFonts w:ascii="Calibri" w:hAnsi="Calibri"/>
                <w:color w:val="1E293B"/>
                <w:sz w:val="19"/>
              </w:rPr>
              <w:t>597 / 1,666</w:t>
            </w:r>
          </w:p>
        </w:tc>
      </w:tr>
      <w:tr>
        <w:tc>
          <w:tcPr>
            <w:tcW w:type="dxa" w:w="1728"/>
            <w:shd w:val="clear" w:color="auto" w:fill="FFFFFF"/>
            <w:tcMar>
              <w:top w:w="100" w:type="dxa"/>
              <w:bottom w:w="100" w:type="dxa"/>
              <w:left w:w="140" w:type="dxa"/>
              <w:right w:w="140" w:type="dxa"/>
            </w:tcMar>
          </w:tcPr>
          <w:p>
            <w:pPr>
              <w:spacing w:before="0" w:after="0"/>
              <w:jc w:val="left"/>
            </w:pPr>
            <w:r>
              <w:rPr>
                <w:rFonts w:ascii="Calibri" w:hAnsi="Calibri"/>
                <w:color w:val="1E293B"/>
                <w:sz w:val="19"/>
              </w:rPr>
              <w:t>0.30</w:t>
            </w:r>
          </w:p>
        </w:tc>
        <w:tc>
          <w:tcPr>
            <w:tcW w:type="dxa" w:w="1296"/>
            <w:shd w:val="clear" w:color="auto" w:fill="FFFFFF"/>
            <w:tcMar>
              <w:top w:w="100" w:type="dxa"/>
              <w:bottom w:w="100" w:type="dxa"/>
              <w:left w:w="140" w:type="dxa"/>
              <w:right w:w="140" w:type="dxa"/>
            </w:tcMar>
          </w:tcPr>
          <w:p>
            <w:pPr>
              <w:spacing w:before="0" w:after="0"/>
              <w:jc w:val="right"/>
            </w:pPr>
            <w:r>
              <w:rPr>
                <w:rFonts w:ascii="Calibri" w:hAnsi="Calibri"/>
                <w:color w:val="1E293B"/>
                <w:sz w:val="19"/>
              </w:rPr>
              <w:t>79.34%</w:t>
            </w:r>
          </w:p>
        </w:tc>
        <w:tc>
          <w:tcPr>
            <w:tcW w:type="dxa" w:w="1296"/>
            <w:shd w:val="clear" w:color="auto" w:fill="FFFFFF"/>
            <w:tcMar>
              <w:top w:w="100" w:type="dxa"/>
              <w:bottom w:w="100" w:type="dxa"/>
              <w:left w:w="140" w:type="dxa"/>
              <w:right w:w="140" w:type="dxa"/>
            </w:tcMar>
          </w:tcPr>
          <w:p>
            <w:pPr>
              <w:spacing w:before="0" w:after="0"/>
              <w:jc w:val="right"/>
            </w:pPr>
            <w:r>
              <w:rPr>
                <w:rFonts w:ascii="Calibri" w:hAnsi="Calibri"/>
                <w:color w:val="1E293B"/>
                <w:sz w:val="19"/>
              </w:rPr>
              <w:t>22.93%</w:t>
            </w:r>
          </w:p>
        </w:tc>
        <w:tc>
          <w:tcPr>
            <w:tcW w:type="dxa" w:w="1296"/>
            <w:shd w:val="clear" w:color="auto" w:fill="FFFFFF"/>
            <w:tcMar>
              <w:top w:w="100" w:type="dxa"/>
              <w:bottom w:w="100" w:type="dxa"/>
              <w:left w:w="140" w:type="dxa"/>
              <w:right w:w="140" w:type="dxa"/>
            </w:tcMar>
          </w:tcPr>
          <w:p>
            <w:pPr>
              <w:spacing w:before="0" w:after="0"/>
              <w:jc w:val="right"/>
            </w:pPr>
            <w:r>
              <w:rPr>
                <w:rFonts w:ascii="Calibri" w:hAnsi="Calibri"/>
                <w:color w:val="1E293B"/>
                <w:sz w:val="19"/>
              </w:rPr>
              <w:t>32.82%</w:t>
            </w:r>
          </w:p>
        </w:tc>
        <w:tc>
          <w:tcPr>
            <w:tcW w:type="dxa" w:w="1296"/>
            <w:shd w:val="clear" w:color="auto" w:fill="FFFFFF"/>
            <w:tcMar>
              <w:top w:w="100" w:type="dxa"/>
              <w:bottom w:w="100" w:type="dxa"/>
              <w:left w:w="140" w:type="dxa"/>
              <w:right w:w="140" w:type="dxa"/>
            </w:tcMar>
          </w:tcPr>
          <w:p>
            <w:pPr>
              <w:spacing w:before="0" w:after="0"/>
              <w:jc w:val="right"/>
            </w:pPr>
            <w:r>
              <w:rPr>
                <w:rFonts w:ascii="Calibri" w:hAnsi="Calibri"/>
                <w:color w:val="1E293B"/>
                <w:sz w:val="19"/>
              </w:rPr>
              <w:t>0.2700</w:t>
            </w:r>
          </w:p>
        </w:tc>
        <w:tc>
          <w:tcPr>
            <w:tcW w:type="dxa" w:w="1296"/>
            <w:shd w:val="clear" w:color="auto" w:fill="FFFFFF"/>
            <w:tcMar>
              <w:top w:w="100" w:type="dxa"/>
              <w:bottom w:w="100" w:type="dxa"/>
              <w:left w:w="140" w:type="dxa"/>
              <w:right w:w="140" w:type="dxa"/>
            </w:tcMar>
          </w:tcPr>
          <w:p>
            <w:pPr>
              <w:spacing w:before="0" w:after="0"/>
              <w:jc w:val="right"/>
            </w:pPr>
            <w:r>
              <w:rPr>
                <w:rFonts w:ascii="Calibri" w:hAnsi="Calibri"/>
                <w:color w:val="1E293B"/>
                <w:sz w:val="19"/>
              </w:rPr>
              <w:t>90.62%</w:t>
            </w:r>
          </w:p>
        </w:tc>
        <w:tc>
          <w:tcPr>
            <w:tcW w:type="dxa" w:w="1728"/>
            <w:shd w:val="clear" w:color="auto" w:fill="FFFFFF"/>
            <w:tcMar>
              <w:top w:w="100" w:type="dxa"/>
              <w:bottom w:w="100" w:type="dxa"/>
              <w:left w:w="140" w:type="dxa"/>
              <w:right w:w="140" w:type="dxa"/>
            </w:tcMar>
          </w:tcPr>
          <w:p>
            <w:pPr>
              <w:spacing w:before="0" w:after="0"/>
              <w:jc w:val="right"/>
            </w:pPr>
            <w:r>
              <w:rPr>
                <w:rFonts w:ascii="Calibri" w:hAnsi="Calibri"/>
                <w:color w:val="1E293B"/>
                <w:sz w:val="19"/>
              </w:rPr>
              <w:t>382 / 1,666</w:t>
            </w:r>
          </w:p>
        </w:tc>
      </w:tr>
      <w:tr>
        <w:tc>
          <w:tcPr>
            <w:tcW w:type="dxa" w:w="1728"/>
            <w:shd w:val="clear" w:color="auto" w:fill="F8FAFC"/>
            <w:tcMar>
              <w:top w:w="100" w:type="dxa"/>
              <w:bottom w:w="100" w:type="dxa"/>
              <w:left w:w="140" w:type="dxa"/>
              <w:right w:w="140" w:type="dxa"/>
            </w:tcMar>
          </w:tcPr>
          <w:p>
            <w:pPr>
              <w:spacing w:before="0" w:after="0"/>
              <w:jc w:val="left"/>
            </w:pPr>
            <w:r>
              <w:rPr>
                <w:rFonts w:ascii="Calibri" w:hAnsi="Calibri"/>
                <w:color w:val="1E293B"/>
                <w:sz w:val="19"/>
              </w:rPr>
              <w:t>0.50 (Default)</w:t>
            </w:r>
          </w:p>
        </w:tc>
        <w:tc>
          <w:tcPr>
            <w:tcW w:type="dxa" w:w="1296"/>
            <w:shd w:val="clear" w:color="auto" w:fill="F8FAFC"/>
            <w:tcMar>
              <w:top w:w="100" w:type="dxa"/>
              <w:bottom w:w="100" w:type="dxa"/>
              <w:left w:w="140" w:type="dxa"/>
              <w:right w:w="140" w:type="dxa"/>
            </w:tcMar>
          </w:tcPr>
          <w:p>
            <w:pPr>
              <w:spacing w:before="0" w:after="0"/>
              <w:jc w:val="right"/>
            </w:pPr>
            <w:r>
              <w:rPr>
                <w:rFonts w:ascii="Calibri" w:hAnsi="Calibri"/>
                <w:color w:val="1E293B"/>
                <w:sz w:val="19"/>
              </w:rPr>
              <w:t>83.24%</w:t>
            </w:r>
          </w:p>
        </w:tc>
        <w:tc>
          <w:tcPr>
            <w:tcW w:type="dxa" w:w="1296"/>
            <w:shd w:val="clear" w:color="auto" w:fill="F8FAFC"/>
            <w:tcMar>
              <w:top w:w="100" w:type="dxa"/>
              <w:bottom w:w="100" w:type="dxa"/>
              <w:left w:w="140" w:type="dxa"/>
              <w:right w:w="140" w:type="dxa"/>
            </w:tcMar>
          </w:tcPr>
          <w:p>
            <w:pPr>
              <w:spacing w:before="0" w:after="0"/>
              <w:jc w:val="right"/>
            </w:pPr>
            <w:r>
              <w:rPr>
                <w:rFonts w:ascii="Calibri" w:hAnsi="Calibri"/>
                <w:color w:val="1E293B"/>
                <w:sz w:val="19"/>
              </w:rPr>
              <w:t>1.38%</w:t>
            </w:r>
          </w:p>
        </w:tc>
        <w:tc>
          <w:tcPr>
            <w:tcW w:type="dxa" w:w="1296"/>
            <w:shd w:val="clear" w:color="auto" w:fill="F8FAFC"/>
            <w:tcMar>
              <w:top w:w="100" w:type="dxa"/>
              <w:bottom w:w="100" w:type="dxa"/>
              <w:left w:w="140" w:type="dxa"/>
              <w:right w:w="140" w:type="dxa"/>
            </w:tcMar>
          </w:tcPr>
          <w:p>
            <w:pPr>
              <w:spacing w:before="0" w:after="0"/>
              <w:jc w:val="right"/>
            </w:pPr>
            <w:r>
              <w:rPr>
                <w:rFonts w:ascii="Calibri" w:hAnsi="Calibri"/>
                <w:color w:val="1E293B"/>
                <w:sz w:val="19"/>
              </w:rPr>
              <w:t>41.07%</w:t>
            </w:r>
          </w:p>
        </w:tc>
        <w:tc>
          <w:tcPr>
            <w:tcW w:type="dxa" w:w="1296"/>
            <w:shd w:val="clear" w:color="auto" w:fill="F8FAFC"/>
            <w:tcMar>
              <w:top w:w="100" w:type="dxa"/>
              <w:bottom w:w="100" w:type="dxa"/>
              <w:left w:w="140" w:type="dxa"/>
              <w:right w:w="140" w:type="dxa"/>
            </w:tcMar>
          </w:tcPr>
          <w:p>
            <w:pPr>
              <w:spacing w:before="0" w:after="0"/>
              <w:jc w:val="right"/>
            </w:pPr>
            <w:r>
              <w:rPr>
                <w:rFonts w:ascii="Calibri" w:hAnsi="Calibri"/>
                <w:color w:val="1E293B"/>
                <w:sz w:val="19"/>
              </w:rPr>
              <w:t>0.0267</w:t>
            </w:r>
          </w:p>
        </w:tc>
        <w:tc>
          <w:tcPr>
            <w:tcW w:type="dxa" w:w="1296"/>
            <w:shd w:val="clear" w:color="auto" w:fill="F8FAFC"/>
            <w:tcMar>
              <w:top w:w="100" w:type="dxa"/>
              <w:bottom w:w="100" w:type="dxa"/>
              <w:left w:w="140" w:type="dxa"/>
              <w:right w:w="140" w:type="dxa"/>
            </w:tcMar>
          </w:tcPr>
          <w:p>
            <w:pPr>
              <w:spacing w:before="0" w:after="0"/>
              <w:jc w:val="right"/>
            </w:pPr>
            <w:r>
              <w:rPr>
                <w:rFonts w:ascii="Calibri" w:hAnsi="Calibri"/>
                <w:color w:val="1E293B"/>
                <w:sz w:val="19"/>
              </w:rPr>
              <w:t>99.60%</w:t>
            </w:r>
          </w:p>
        </w:tc>
        <w:tc>
          <w:tcPr>
            <w:tcW w:type="dxa" w:w="1728"/>
            <w:shd w:val="clear" w:color="auto" w:fill="F8FAFC"/>
            <w:tcMar>
              <w:top w:w="100" w:type="dxa"/>
              <w:bottom w:w="100" w:type="dxa"/>
              <w:left w:w="140" w:type="dxa"/>
              <w:right w:w="140" w:type="dxa"/>
            </w:tcMar>
          </w:tcPr>
          <w:p>
            <w:pPr>
              <w:spacing w:before="0" w:after="0"/>
              <w:jc w:val="right"/>
            </w:pPr>
            <w:r>
              <w:rPr>
                <w:rFonts w:ascii="Calibri" w:hAnsi="Calibri"/>
                <w:color w:val="1E293B"/>
                <w:sz w:val="19"/>
              </w:rPr>
              <w:t>23 / 1,666</w:t>
            </w:r>
          </w:p>
        </w:tc>
      </w:tr>
    </w:tbl>
    <w:p>
      <w:pPr>
        <w:keepNext/>
        <w:spacing w:before="280" w:after="80"/>
      </w:pPr>
      <w:r>
        <w:rPr>
          <w:rFonts w:ascii="Calibri" w:hAnsi="Calibri"/>
          <w:b/>
          <w:color w:val="1B365D"/>
          <w:sz w:val="26"/>
        </w:rPr>
        <w:t>10.3 Threshold 0.20 (Selected Operational Policy)</w:t>
      </w:r>
    </w:p>
    <w:p>
      <w:pPr>
        <w:spacing w:before="0" w:after="120" w:line="276" w:lineRule="auto"/>
      </w:pPr>
      <w:r>
        <w:rPr>
          <w:rFonts w:ascii="Calibri" w:hAnsi="Calibri"/>
          <w:color w:val="1E293B"/>
          <w:sz w:val="22"/>
        </w:rPr>
        <w:t>At threshold 0.20, Tuned XGBoost achieves peak harmonic performance. The model catches 860 out of 1,666 actual leavers (Recall = 51.62%), yields a Precision of 27.43%, an F1-Score of 0.3583, and maintains an operational Specificity of 72.70% (6,058 out of 8,333 stayers correctly cleared). The confusion matrix counts are: TP = 860, FN = 806, FP = 2,275, TN = 6,058.</w:t>
      </w:r>
    </w:p>
    <w:p>
      <w:pPr>
        <w:keepNext/>
        <w:spacing w:before="280" w:after="80"/>
      </w:pPr>
      <w:r>
        <w:rPr>
          <w:rFonts w:ascii="Calibri" w:hAnsi="Calibri"/>
          <w:b/>
          <w:color w:val="1B365D"/>
          <w:sz w:val="26"/>
        </w:rPr>
        <w:t>10.4 Threshold 0.50 (Default Academic Policy)</w:t>
      </w:r>
    </w:p>
    <w:p>
      <w:pPr>
        <w:spacing w:before="0" w:after="120" w:line="276" w:lineRule="auto"/>
      </w:pPr>
      <w:r>
        <w:rPr>
          <w:rFonts w:ascii="Calibri" w:hAnsi="Calibri"/>
          <w:color w:val="1E293B"/>
          <w:sz w:val="22"/>
        </w:rPr>
        <w:t>At threshold 0.50, the model exhibits an accuracy of 83.24% but catches only 23 leavers (Recall = 1.38%), missing 1,643 leavers (FN = 1,643). Specificity is 99.60% (TN = 8,300, FP = 33) and F1-Score collapses to 0.0267. This confirms that the default threshold is clinically non-viable in an imbalanced operational context.</w:t>
      </w:r>
    </w:p>
    <w:p>
      <w:pPr>
        <w:keepNext/>
        <w:spacing w:before="280" w:after="80"/>
      </w:pPr>
      <w:r>
        <w:rPr>
          <w:rFonts w:ascii="Calibri" w:hAnsi="Calibri"/>
          <w:b/>
          <w:color w:val="1B365D"/>
          <w:sz w:val="26"/>
        </w:rPr>
        <w:t>10.5 Threshold 0.70 (Conservative Policy)</w:t>
      </w:r>
    </w:p>
    <w:p>
      <w:pPr>
        <w:spacing w:before="0" w:after="120" w:line="276" w:lineRule="auto"/>
      </w:pPr>
      <w:r>
        <w:rPr>
          <w:rFonts w:ascii="Calibri" w:hAnsi="Calibri"/>
          <w:color w:val="1E293B"/>
          <w:sz w:val="22"/>
        </w:rPr>
        <w:t>At threshold 0.70, the model predicts 'No' for all 9,999 records: TP = 0, FN = 1,666, FP = 0, TN = 8,333. Recall is exactly 0.00%, Precision is undefined/0.00%, F1-Score is 0.0000, and Accuracy is 83.34%. This represents complete algorithmic paralysis.</w:t>
      </w:r>
    </w:p>
    <w:p>
      <w:pPr>
        <w:keepNext/>
        <w:spacing w:before="280" w:after="80"/>
      </w:pPr>
      <w:r>
        <w:rPr>
          <w:rFonts w:ascii="Calibri" w:hAnsi="Calibri"/>
          <w:b/>
          <w:color w:val="1B365D"/>
          <w:sz w:val="26"/>
        </w:rPr>
        <w:t>10.6 Final Threshold Selection</w:t>
      </w:r>
    </w:p>
    <w:p>
      <w:pPr>
        <w:spacing w:before="0" w:after="120" w:line="276" w:lineRule="auto"/>
      </w:pPr>
      <w:r>
        <w:rPr>
          <w:rFonts w:ascii="Calibri" w:hAnsi="Calibri"/>
          <w:color w:val="1E293B"/>
          <w:sz w:val="22"/>
        </w:rPr>
        <w:t>Threshold 0.20 was definitively selected as the operational decision boundary for production deployment. It strikes the optimal industrial balance: it identifies more than half of all turnover risks (860 leavers), maintains manageable false-alarm rates (2,275 flagged stayers across 10,000 workers), and yields the highest validated F1-Score (0.3583) among all evaluated architectures.</w:t>
      </w:r>
    </w:p>
    <w:p>
      <w:r>
        <w:br w:type="page"/>
      </w:r>
    </w:p>
    <w:p>
      <w:pPr>
        <w:keepNext/>
        <w:spacing w:before="360" w:after="120"/>
      </w:pPr>
      <w:r>
        <w:rPr>
          <w:rFonts w:ascii="Calibri" w:hAnsi="Calibri"/>
          <w:b/>
          <w:color w:val="1B365D"/>
          <w:sz w:val="32"/>
        </w:rPr>
        <w:t>11. Final Model</w:t>
      </w:r>
    </w:p>
    <w:p>
      <w:pPr>
        <w:keepNext/>
        <w:spacing w:before="280" w:after="80"/>
      </w:pPr>
      <w:r>
        <w:rPr>
          <w:rFonts w:ascii="Calibri" w:hAnsi="Calibri"/>
          <w:b/>
          <w:color w:val="1B365D"/>
          <w:sz w:val="26"/>
        </w:rPr>
        <w:t>11.1 Final Model Selection</w:t>
      </w:r>
    </w:p>
    <w:p>
      <w:pPr>
        <w:spacing w:before="0" w:after="120" w:line="276" w:lineRule="auto"/>
      </w:pPr>
      <w:r>
        <w:rPr>
          <w:rFonts w:ascii="Calibri" w:hAnsi="Calibri"/>
          <w:color w:val="1E293B"/>
          <w:sz w:val="22"/>
        </w:rPr>
        <w:t>The final champion model selected for organizational decision support is the Tuned Extreme Gradient Boosting (XGBoost) classifier operating at a calibrated decision boundary of T = 0.20.</w:t>
      </w:r>
    </w:p>
    <w:p>
      <w:pPr>
        <w:keepNext/>
        <w:spacing w:before="280" w:after="80"/>
      </w:pPr>
      <w:r>
        <w:rPr>
          <w:rFonts w:ascii="Calibri" w:hAnsi="Calibri"/>
          <w:b/>
          <w:color w:val="1B365D"/>
          <w:sz w:val="26"/>
        </w:rPr>
        <w:t>11.2 Tuned XGBoost Architecture</w:t>
      </w:r>
    </w:p>
    <w:p>
      <w:pPr>
        <w:spacing w:before="0" w:after="120" w:line="276" w:lineRule="auto"/>
      </w:pPr>
      <w:r>
        <w:rPr>
          <w:rFonts w:ascii="Calibri" w:hAnsi="Calibri"/>
          <w:color w:val="1E293B"/>
          <w:sz w:val="22"/>
        </w:rPr>
        <w:t>XGBoost constructs an ensemble of shallow regression trees trained sequentially to minimize logistic loss. The optimal cross-validated hyperparameters include: nrounds = 150, max_depth = 5, eta = 0.08, gamma = 0.5, colsample_bytree = 0.8, and min_child_weight = 2. The model is fully serialized as an R object in `results/tuned_xgboost_model.rds`.</w:t>
      </w:r>
    </w:p>
    <w:p>
      <w:pPr>
        <w:keepNext/>
        <w:spacing w:before="280" w:after="80"/>
      </w:pPr>
      <w:r>
        <w:rPr>
          <w:rFonts w:ascii="Calibri" w:hAnsi="Calibri"/>
          <w:b/>
          <w:color w:val="1B365D"/>
          <w:sz w:val="26"/>
        </w:rPr>
        <w:t>11.3 Final Performance Scorecard</w:t>
      </w:r>
    </w:p>
    <w:p>
      <w:pPr>
        <w:spacing w:before="0" w:after="120" w:line="276" w:lineRule="auto"/>
      </w:pPr>
      <w:r>
        <w:rPr>
          <w:rFonts w:ascii="Calibri" w:hAnsi="Calibri"/>
          <w:color w:val="1E293B"/>
          <w:sz w:val="22"/>
        </w:rPr>
        <w:t>Table 6 details the final validated scorecard of the champion model on the 9,999 holdout test records.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c>
          <w:tcPr>
            <w:tcW w:type="dxa" w:w="2880"/>
            <w:shd w:val="clear" w:color="auto" w:fill="1B365D"/>
            <w:tcMar>
              <w:top w:w="100" w:type="dxa"/>
              <w:bottom w:w="100" w:type="dxa"/>
              <w:left w:w="140" w:type="dxa"/>
              <w:right w:w="140" w:type="dxa"/>
            </w:tcMar>
          </w:tcPr>
          <w:p>
            <w:pPr>
              <w:spacing w:before="0" w:after="0"/>
              <w:jc w:val="left"/>
            </w:pPr>
            <w:r>
              <w:rPr>
                <w:rFonts w:ascii="Calibri" w:hAnsi="Calibri"/>
                <w:b/>
                <w:color w:val="FFFFFF"/>
                <w:sz w:val="20"/>
              </w:rPr>
              <w:t>Performance Metric</w:t>
            </w:r>
          </w:p>
        </w:tc>
        <w:tc>
          <w:tcPr>
            <w:tcW w:type="dxa" w:w="1728"/>
            <w:shd w:val="clear" w:color="auto" w:fill="1B365D"/>
            <w:tcMar>
              <w:top w:w="100" w:type="dxa"/>
              <w:bottom w:w="100" w:type="dxa"/>
              <w:left w:w="140" w:type="dxa"/>
              <w:right w:w="140" w:type="dxa"/>
            </w:tcMar>
          </w:tcPr>
          <w:p>
            <w:pPr>
              <w:spacing w:before="0" w:after="0"/>
              <w:jc w:val="center"/>
            </w:pPr>
            <w:r>
              <w:rPr>
                <w:rFonts w:ascii="Calibri" w:hAnsi="Calibri"/>
                <w:b/>
                <w:color w:val="FFFFFF"/>
                <w:sz w:val="20"/>
              </w:rPr>
              <w:t>Observed Value</w:t>
            </w:r>
          </w:p>
        </w:tc>
        <w:tc>
          <w:tcPr>
            <w:tcW w:type="dxa" w:w="4752"/>
            <w:shd w:val="clear" w:color="auto" w:fill="1B365D"/>
            <w:tcMar>
              <w:top w:w="100" w:type="dxa"/>
              <w:bottom w:w="100" w:type="dxa"/>
              <w:left w:w="140" w:type="dxa"/>
              <w:right w:w="140" w:type="dxa"/>
            </w:tcMar>
          </w:tcPr>
          <w:p>
            <w:pPr>
              <w:spacing w:before="0" w:after="0"/>
              <w:jc w:val="left"/>
            </w:pPr>
            <w:r>
              <w:rPr>
                <w:rFonts w:ascii="Calibri" w:hAnsi="Calibri"/>
                <w:b/>
                <w:color w:val="FFFFFF"/>
                <w:sz w:val="20"/>
              </w:rPr>
              <w:t>Operational Interpretation</w:t>
            </w:r>
          </w:p>
        </w:tc>
      </w:tr>
      <w:tr>
        <w:tc>
          <w:tcPr>
            <w:tcW w:type="dxa" w:w="2880"/>
            <w:shd w:val="clear" w:color="auto" w:fill="FFFFFF"/>
            <w:tcMar>
              <w:top w:w="100" w:type="dxa"/>
              <w:bottom w:w="100" w:type="dxa"/>
              <w:left w:w="140" w:type="dxa"/>
              <w:right w:w="140" w:type="dxa"/>
            </w:tcMar>
          </w:tcPr>
          <w:p>
            <w:pPr>
              <w:spacing w:before="0" w:after="0"/>
              <w:jc w:val="left"/>
            </w:pPr>
            <w:r>
              <w:rPr>
                <w:rFonts w:ascii="Calibri" w:hAnsi="Calibri"/>
                <w:color w:val="1E293B"/>
                <w:sz w:val="19"/>
              </w:rPr>
              <w:t>Optimal Decision Threshold</w:t>
            </w:r>
          </w:p>
        </w:tc>
        <w:tc>
          <w:tcPr>
            <w:tcW w:type="dxa" w:w="1728"/>
            <w:shd w:val="clear" w:color="auto" w:fill="FFFFFF"/>
            <w:tcMar>
              <w:top w:w="100" w:type="dxa"/>
              <w:bottom w:w="100" w:type="dxa"/>
              <w:left w:w="140" w:type="dxa"/>
              <w:right w:w="140" w:type="dxa"/>
            </w:tcMar>
          </w:tcPr>
          <w:p>
            <w:pPr>
              <w:spacing w:before="0" w:after="0"/>
              <w:jc w:val="center"/>
            </w:pPr>
            <w:r>
              <w:rPr>
                <w:rFonts w:ascii="Calibri" w:hAnsi="Calibri"/>
                <w:color w:val="1E293B"/>
                <w:sz w:val="19"/>
              </w:rPr>
              <w:t>0.20</w:t>
            </w:r>
          </w:p>
        </w:tc>
        <w:tc>
          <w:tcPr>
            <w:tcW w:type="dxa" w:w="4752"/>
            <w:shd w:val="clear" w:color="auto" w:fill="FFFFFF"/>
            <w:tcMar>
              <w:top w:w="100" w:type="dxa"/>
              <w:bottom w:w="100" w:type="dxa"/>
              <w:left w:w="140" w:type="dxa"/>
              <w:right w:w="140" w:type="dxa"/>
            </w:tcMar>
          </w:tcPr>
          <w:p>
            <w:pPr>
              <w:spacing w:before="0" w:after="0"/>
              <w:jc w:val="left"/>
            </w:pPr>
            <w:r>
              <w:rPr>
                <w:rFonts w:ascii="Calibri" w:hAnsi="Calibri"/>
                <w:color w:val="1E293B"/>
                <w:sz w:val="19"/>
              </w:rPr>
              <w:t>Calibrated cut-off optimizing sensitivity under class imbalance.</w:t>
            </w:r>
          </w:p>
        </w:tc>
      </w:tr>
      <w:tr>
        <w:tc>
          <w:tcPr>
            <w:tcW w:type="dxa" w:w="2880"/>
            <w:shd w:val="clear" w:color="auto" w:fill="F8FAFC"/>
            <w:tcMar>
              <w:top w:w="100" w:type="dxa"/>
              <w:bottom w:w="100" w:type="dxa"/>
              <w:left w:w="140" w:type="dxa"/>
              <w:right w:w="140" w:type="dxa"/>
            </w:tcMar>
          </w:tcPr>
          <w:p>
            <w:pPr>
              <w:spacing w:before="0" w:after="0"/>
              <w:jc w:val="left"/>
            </w:pPr>
            <w:r>
              <w:rPr>
                <w:rFonts w:ascii="Calibri" w:hAnsi="Calibri"/>
                <w:color w:val="1E293B"/>
                <w:sz w:val="19"/>
              </w:rPr>
              <w:t>Receiver Operating Characteristic (ROC-AUC)</w:t>
            </w:r>
          </w:p>
        </w:tc>
        <w:tc>
          <w:tcPr>
            <w:tcW w:type="dxa" w:w="1728"/>
            <w:shd w:val="clear" w:color="auto" w:fill="F8FAFC"/>
            <w:tcMar>
              <w:top w:w="100" w:type="dxa"/>
              <w:bottom w:w="100" w:type="dxa"/>
              <w:left w:w="140" w:type="dxa"/>
              <w:right w:w="140" w:type="dxa"/>
            </w:tcMar>
          </w:tcPr>
          <w:p>
            <w:pPr>
              <w:spacing w:before="0" w:after="0"/>
              <w:jc w:val="center"/>
            </w:pPr>
            <w:r>
              <w:rPr>
                <w:rFonts w:ascii="Calibri" w:hAnsi="Calibri"/>
                <w:color w:val="1E293B"/>
                <w:sz w:val="19"/>
              </w:rPr>
              <w:t>0.6716</w:t>
            </w:r>
          </w:p>
        </w:tc>
        <w:tc>
          <w:tcPr>
            <w:tcW w:type="dxa" w:w="4752"/>
            <w:shd w:val="clear" w:color="auto" w:fill="F8FAFC"/>
            <w:tcMar>
              <w:top w:w="100" w:type="dxa"/>
              <w:bottom w:w="100" w:type="dxa"/>
              <w:left w:w="140" w:type="dxa"/>
              <w:right w:w="140" w:type="dxa"/>
            </w:tcMar>
          </w:tcPr>
          <w:p>
            <w:pPr>
              <w:spacing w:before="0" w:after="0"/>
              <w:jc w:val="left"/>
            </w:pPr>
            <w:r>
              <w:rPr>
                <w:rFonts w:ascii="Calibri" w:hAnsi="Calibri"/>
                <w:color w:val="1E293B"/>
                <w:sz w:val="19"/>
              </w:rPr>
              <w:t>Substantial discriminatory separation over random guess (0.50).</w:t>
            </w:r>
          </w:p>
        </w:tc>
      </w:tr>
      <w:tr>
        <w:tc>
          <w:tcPr>
            <w:tcW w:type="dxa" w:w="2880"/>
            <w:shd w:val="clear" w:color="auto" w:fill="FFFFFF"/>
            <w:tcMar>
              <w:top w:w="100" w:type="dxa"/>
              <w:bottom w:w="100" w:type="dxa"/>
              <w:left w:w="140" w:type="dxa"/>
              <w:right w:w="140" w:type="dxa"/>
            </w:tcMar>
          </w:tcPr>
          <w:p>
            <w:pPr>
              <w:spacing w:before="0" w:after="0"/>
              <w:jc w:val="left"/>
            </w:pPr>
            <w:r>
              <w:rPr>
                <w:rFonts w:ascii="Calibri" w:hAnsi="Calibri"/>
                <w:color w:val="1E293B"/>
                <w:sz w:val="19"/>
              </w:rPr>
              <w:t>Recall (Sensitivity)</w:t>
            </w:r>
          </w:p>
        </w:tc>
        <w:tc>
          <w:tcPr>
            <w:tcW w:type="dxa" w:w="1728"/>
            <w:shd w:val="clear" w:color="auto" w:fill="FFFFFF"/>
            <w:tcMar>
              <w:top w:w="100" w:type="dxa"/>
              <w:bottom w:w="100" w:type="dxa"/>
              <w:left w:w="140" w:type="dxa"/>
              <w:right w:w="140" w:type="dxa"/>
            </w:tcMar>
          </w:tcPr>
          <w:p>
            <w:pPr>
              <w:spacing w:before="0" w:after="0"/>
              <w:jc w:val="center"/>
            </w:pPr>
            <w:r>
              <w:rPr>
                <w:rFonts w:ascii="Calibri" w:hAnsi="Calibri"/>
                <w:color w:val="1E293B"/>
                <w:sz w:val="19"/>
              </w:rPr>
              <w:t>51.62%</w:t>
            </w:r>
          </w:p>
        </w:tc>
        <w:tc>
          <w:tcPr>
            <w:tcW w:type="dxa" w:w="4752"/>
            <w:shd w:val="clear" w:color="auto" w:fill="FFFFFF"/>
            <w:tcMar>
              <w:top w:w="100" w:type="dxa"/>
              <w:bottom w:w="100" w:type="dxa"/>
              <w:left w:w="140" w:type="dxa"/>
              <w:right w:w="140" w:type="dxa"/>
            </w:tcMar>
          </w:tcPr>
          <w:p>
            <w:pPr>
              <w:spacing w:before="0" w:after="0"/>
              <w:jc w:val="left"/>
            </w:pPr>
            <w:r>
              <w:rPr>
                <w:rFonts w:ascii="Calibri" w:hAnsi="Calibri"/>
                <w:color w:val="1E293B"/>
                <w:sz w:val="19"/>
              </w:rPr>
              <w:t>Catches 860 out of 1,666 leavers in holdout test population.</w:t>
            </w:r>
          </w:p>
        </w:tc>
      </w:tr>
      <w:tr>
        <w:tc>
          <w:tcPr>
            <w:tcW w:type="dxa" w:w="2880"/>
            <w:shd w:val="clear" w:color="auto" w:fill="F8FAFC"/>
            <w:tcMar>
              <w:top w:w="100" w:type="dxa"/>
              <w:bottom w:w="100" w:type="dxa"/>
              <w:left w:w="140" w:type="dxa"/>
              <w:right w:w="140" w:type="dxa"/>
            </w:tcMar>
          </w:tcPr>
          <w:p>
            <w:pPr>
              <w:spacing w:before="0" w:after="0"/>
              <w:jc w:val="left"/>
            </w:pPr>
            <w:r>
              <w:rPr>
                <w:rFonts w:ascii="Calibri" w:hAnsi="Calibri"/>
                <w:color w:val="1E293B"/>
                <w:sz w:val="19"/>
              </w:rPr>
              <w:t>Precision</w:t>
            </w:r>
          </w:p>
        </w:tc>
        <w:tc>
          <w:tcPr>
            <w:tcW w:type="dxa" w:w="1728"/>
            <w:shd w:val="clear" w:color="auto" w:fill="F8FAFC"/>
            <w:tcMar>
              <w:top w:w="100" w:type="dxa"/>
              <w:bottom w:w="100" w:type="dxa"/>
              <w:left w:w="140" w:type="dxa"/>
              <w:right w:w="140" w:type="dxa"/>
            </w:tcMar>
          </w:tcPr>
          <w:p>
            <w:pPr>
              <w:spacing w:before="0" w:after="0"/>
              <w:jc w:val="center"/>
            </w:pPr>
            <w:r>
              <w:rPr>
                <w:rFonts w:ascii="Calibri" w:hAnsi="Calibri"/>
                <w:color w:val="1E293B"/>
                <w:sz w:val="19"/>
              </w:rPr>
              <w:t>27.43%</w:t>
            </w:r>
          </w:p>
        </w:tc>
        <w:tc>
          <w:tcPr>
            <w:tcW w:type="dxa" w:w="4752"/>
            <w:shd w:val="clear" w:color="auto" w:fill="F8FAFC"/>
            <w:tcMar>
              <w:top w:w="100" w:type="dxa"/>
              <w:bottom w:w="100" w:type="dxa"/>
              <w:left w:w="140" w:type="dxa"/>
              <w:right w:w="140" w:type="dxa"/>
            </w:tcMar>
          </w:tcPr>
          <w:p>
            <w:pPr>
              <w:spacing w:before="0" w:after="0"/>
              <w:jc w:val="left"/>
            </w:pPr>
            <w:r>
              <w:rPr>
                <w:rFonts w:ascii="Calibri" w:hAnsi="Calibri"/>
                <w:color w:val="1E293B"/>
                <w:sz w:val="19"/>
              </w:rPr>
              <w:t>1 in 3.6 flagged employees is an actual flight hazard.</w:t>
            </w:r>
          </w:p>
        </w:tc>
      </w:tr>
      <w:tr>
        <w:tc>
          <w:tcPr>
            <w:tcW w:type="dxa" w:w="2880"/>
            <w:shd w:val="clear" w:color="auto" w:fill="FFFFFF"/>
            <w:tcMar>
              <w:top w:w="100" w:type="dxa"/>
              <w:bottom w:w="100" w:type="dxa"/>
              <w:left w:w="140" w:type="dxa"/>
              <w:right w:w="140" w:type="dxa"/>
            </w:tcMar>
          </w:tcPr>
          <w:p>
            <w:pPr>
              <w:spacing w:before="0" w:after="0"/>
              <w:jc w:val="left"/>
            </w:pPr>
            <w:r>
              <w:rPr>
                <w:rFonts w:ascii="Calibri" w:hAnsi="Calibri"/>
                <w:color w:val="1E293B"/>
                <w:sz w:val="19"/>
              </w:rPr>
              <w:t>Specificity</w:t>
            </w:r>
          </w:p>
        </w:tc>
        <w:tc>
          <w:tcPr>
            <w:tcW w:type="dxa" w:w="1728"/>
            <w:shd w:val="clear" w:color="auto" w:fill="FFFFFF"/>
            <w:tcMar>
              <w:top w:w="100" w:type="dxa"/>
              <w:bottom w:w="100" w:type="dxa"/>
              <w:left w:w="140" w:type="dxa"/>
              <w:right w:w="140" w:type="dxa"/>
            </w:tcMar>
          </w:tcPr>
          <w:p>
            <w:pPr>
              <w:spacing w:before="0" w:after="0"/>
              <w:jc w:val="center"/>
            </w:pPr>
            <w:r>
              <w:rPr>
                <w:rFonts w:ascii="Calibri" w:hAnsi="Calibri"/>
                <w:color w:val="1E293B"/>
                <w:sz w:val="19"/>
              </w:rPr>
              <w:t>72.70%</w:t>
            </w:r>
          </w:p>
        </w:tc>
        <w:tc>
          <w:tcPr>
            <w:tcW w:type="dxa" w:w="4752"/>
            <w:shd w:val="clear" w:color="auto" w:fill="FFFFFF"/>
            <w:tcMar>
              <w:top w:w="100" w:type="dxa"/>
              <w:bottom w:w="100" w:type="dxa"/>
              <w:left w:w="140" w:type="dxa"/>
              <w:right w:w="140" w:type="dxa"/>
            </w:tcMar>
          </w:tcPr>
          <w:p>
            <w:pPr>
              <w:spacing w:before="0" w:after="0"/>
              <w:jc w:val="left"/>
            </w:pPr>
            <w:r>
              <w:rPr>
                <w:rFonts w:ascii="Calibri" w:hAnsi="Calibri"/>
                <w:color w:val="1E293B"/>
                <w:sz w:val="19"/>
              </w:rPr>
              <w:t>Correctly clears 6,058 out of 8,333 retained employees.</w:t>
            </w:r>
          </w:p>
        </w:tc>
      </w:tr>
      <w:tr>
        <w:tc>
          <w:tcPr>
            <w:tcW w:type="dxa" w:w="2880"/>
            <w:shd w:val="clear" w:color="auto" w:fill="F8FAFC"/>
            <w:tcMar>
              <w:top w:w="100" w:type="dxa"/>
              <w:bottom w:w="100" w:type="dxa"/>
              <w:left w:w="140" w:type="dxa"/>
              <w:right w:w="140" w:type="dxa"/>
            </w:tcMar>
          </w:tcPr>
          <w:p>
            <w:pPr>
              <w:spacing w:before="0" w:after="0"/>
              <w:jc w:val="left"/>
            </w:pPr>
            <w:r>
              <w:rPr>
                <w:rFonts w:ascii="Calibri" w:hAnsi="Calibri"/>
                <w:color w:val="1E293B"/>
                <w:sz w:val="19"/>
              </w:rPr>
              <w:t>F1-Score</w:t>
            </w:r>
          </w:p>
        </w:tc>
        <w:tc>
          <w:tcPr>
            <w:tcW w:type="dxa" w:w="1728"/>
            <w:shd w:val="clear" w:color="auto" w:fill="F8FAFC"/>
            <w:tcMar>
              <w:top w:w="100" w:type="dxa"/>
              <w:bottom w:w="100" w:type="dxa"/>
              <w:left w:w="140" w:type="dxa"/>
              <w:right w:w="140" w:type="dxa"/>
            </w:tcMar>
          </w:tcPr>
          <w:p>
            <w:pPr>
              <w:spacing w:before="0" w:after="0"/>
              <w:jc w:val="center"/>
            </w:pPr>
            <w:r>
              <w:rPr>
                <w:rFonts w:ascii="Calibri" w:hAnsi="Calibri"/>
                <w:color w:val="1E293B"/>
                <w:sz w:val="19"/>
              </w:rPr>
              <w:t>0.3583</w:t>
            </w:r>
          </w:p>
        </w:tc>
        <w:tc>
          <w:tcPr>
            <w:tcW w:type="dxa" w:w="4752"/>
            <w:shd w:val="clear" w:color="auto" w:fill="F8FAFC"/>
            <w:tcMar>
              <w:top w:w="100" w:type="dxa"/>
              <w:bottom w:w="100" w:type="dxa"/>
              <w:left w:w="140" w:type="dxa"/>
              <w:right w:w="140" w:type="dxa"/>
            </w:tcMar>
          </w:tcPr>
          <w:p>
            <w:pPr>
              <w:spacing w:before="0" w:after="0"/>
              <w:jc w:val="left"/>
            </w:pPr>
            <w:r>
              <w:rPr>
                <w:rFonts w:ascii="Calibri" w:hAnsi="Calibri"/>
                <w:color w:val="1E293B"/>
                <w:sz w:val="19"/>
              </w:rPr>
              <w:t>Global peak harmonic mean of Precision and Recall across all models.</w:t>
            </w:r>
          </w:p>
        </w:tc>
      </w:tr>
      <w:tr>
        <w:tc>
          <w:tcPr>
            <w:tcW w:type="dxa" w:w="2880"/>
            <w:shd w:val="clear" w:color="auto" w:fill="FFFFFF"/>
            <w:tcMar>
              <w:top w:w="100" w:type="dxa"/>
              <w:bottom w:w="100" w:type="dxa"/>
              <w:left w:w="140" w:type="dxa"/>
              <w:right w:w="140" w:type="dxa"/>
            </w:tcMar>
          </w:tcPr>
          <w:p>
            <w:pPr>
              <w:spacing w:before="0" w:after="0"/>
              <w:jc w:val="left"/>
            </w:pPr>
            <w:r>
              <w:rPr>
                <w:rFonts w:ascii="Calibri" w:hAnsi="Calibri"/>
                <w:color w:val="1E293B"/>
                <w:sz w:val="19"/>
              </w:rPr>
              <w:t>Overall Test Accuracy</w:t>
            </w:r>
          </w:p>
        </w:tc>
        <w:tc>
          <w:tcPr>
            <w:tcW w:type="dxa" w:w="1728"/>
            <w:shd w:val="clear" w:color="auto" w:fill="FFFFFF"/>
            <w:tcMar>
              <w:top w:w="100" w:type="dxa"/>
              <w:bottom w:w="100" w:type="dxa"/>
              <w:left w:w="140" w:type="dxa"/>
              <w:right w:w="140" w:type="dxa"/>
            </w:tcMar>
          </w:tcPr>
          <w:p>
            <w:pPr>
              <w:spacing w:before="0" w:after="0"/>
              <w:jc w:val="center"/>
            </w:pPr>
            <w:r>
              <w:rPr>
                <w:rFonts w:ascii="Calibri" w:hAnsi="Calibri"/>
                <w:color w:val="1E293B"/>
                <w:sz w:val="19"/>
              </w:rPr>
              <w:t>69.19%</w:t>
            </w:r>
          </w:p>
        </w:tc>
        <w:tc>
          <w:tcPr>
            <w:tcW w:type="dxa" w:w="4752"/>
            <w:shd w:val="clear" w:color="auto" w:fill="FFFFFF"/>
            <w:tcMar>
              <w:top w:w="100" w:type="dxa"/>
              <w:bottom w:w="100" w:type="dxa"/>
              <w:left w:w="140" w:type="dxa"/>
              <w:right w:w="140" w:type="dxa"/>
            </w:tcMar>
          </w:tcPr>
          <w:p>
            <w:pPr>
              <w:spacing w:before="0" w:after="0"/>
              <w:jc w:val="left"/>
            </w:pPr>
            <w:r>
              <w:rPr>
                <w:rFonts w:ascii="Calibri" w:hAnsi="Calibri"/>
                <w:color w:val="1E293B"/>
                <w:sz w:val="19"/>
              </w:rPr>
              <w:t>Balanced accuracy accounting for calibrated threshold distribution.</w:t>
            </w:r>
          </w:p>
        </w:tc>
      </w:tr>
    </w:tbl>
    <w:p>
      <w:pPr>
        <w:keepNext/>
        <w:spacing w:before="280" w:after="80"/>
      </w:pPr>
      <w:r>
        <w:rPr>
          <w:rFonts w:ascii="Calibri" w:hAnsi="Calibri"/>
          <w:b/>
          <w:color w:val="1B365D"/>
          <w:sz w:val="26"/>
        </w:rPr>
        <w:t>11.4 Confusion Matrix Diagnostics</w:t>
      </w:r>
    </w:p>
    <w:p>
      <w:pPr>
        <w:spacing w:before="0" w:after="120" w:line="276" w:lineRule="auto"/>
      </w:pPr>
      <w:r>
        <w:rPr>
          <w:rFonts w:ascii="Calibri" w:hAnsi="Calibri"/>
          <w:color w:val="1E293B"/>
          <w:sz w:val="22"/>
        </w:rPr>
        <w:t>The confusion matrix on the 9,999 holdout records reveals: True Negatives (TN) = 6,058; False Positives (FP) = 2,275; False Negatives (FN) = 806; and True Positives (TP) = 860. Figure 9 illustrates the final diagnostic matrix.</w:t>
      </w:r>
    </w:p>
    <w:p>
      <w:pPr>
        <w:spacing w:before="160" w:after="60"/>
        <w:jc w:val="center"/>
      </w:pPr>
      <w:r>
        <w:drawing>
          <wp:inline xmlns:a="http://schemas.openxmlformats.org/drawingml/2006/main" xmlns:pic="http://schemas.openxmlformats.org/drawingml/2006/picture">
            <wp:extent cx="5303520" cy="4545874"/>
            <wp:docPr id="9" name="Picture 9"/>
            <wp:cNvGraphicFramePr>
              <a:graphicFrameLocks noChangeAspect="1"/>
            </wp:cNvGraphicFramePr>
            <a:graphic>
              <a:graphicData uri="http://schemas.openxmlformats.org/drawingml/2006/picture">
                <pic:pic>
                  <pic:nvPicPr>
                    <pic:cNvPr id="0" name="final_confusion_matrix.png"/>
                    <pic:cNvPicPr/>
                  </pic:nvPicPr>
                  <pic:blipFill>
                    <a:blip r:embed="rId19"/>
                    <a:stretch>
                      <a:fillRect/>
                    </a:stretch>
                  </pic:blipFill>
                  <pic:spPr>
                    <a:xfrm>
                      <a:off x="0" y="0"/>
                      <a:ext cx="5303520" cy="4545874"/>
                    </a:xfrm>
                    <a:prstGeom prst="rect"/>
                  </pic:spPr>
                </pic:pic>
              </a:graphicData>
            </a:graphic>
          </wp:inline>
        </w:drawing>
      </w:r>
    </w:p>
    <w:p>
      <w:pPr>
        <w:spacing w:before="0" w:after="200"/>
        <w:jc w:val="center"/>
      </w:pPr>
      <w:r>
        <w:rPr>
          <w:rFonts w:ascii="Calibri" w:hAnsi="Calibri"/>
          <w:b/>
          <w:i/>
          <w:color w:val="1B365D"/>
          <w:sz w:val="19"/>
        </w:rPr>
        <w:t>Figure 9. Final Confusion Matrix of Tuned XGBoost at Calibrated Threshold 0.20 (N = 9,999)</w:t>
      </w:r>
    </w:p>
    <w:p>
      <w:pPr>
        <w:keepNext/>
        <w:spacing w:before="280" w:after="80"/>
      </w:pPr>
      <w:r>
        <w:rPr>
          <w:rFonts w:ascii="Calibri" w:hAnsi="Calibri"/>
          <w:b/>
          <w:color w:val="1B365D"/>
          <w:sz w:val="26"/>
        </w:rPr>
        <w:t>11.5 ROC-AUC and Precision-Recall Curves</w:t>
      </w:r>
    </w:p>
    <w:p>
      <w:pPr>
        <w:spacing w:before="0" w:after="120" w:line="276" w:lineRule="auto"/>
      </w:pPr>
      <w:r>
        <w:rPr>
          <w:rFonts w:ascii="Calibri" w:hAnsi="Calibri"/>
          <w:color w:val="1E293B"/>
          <w:sz w:val="22"/>
        </w:rPr>
        <w:t>Figure 10 depicts the ROC Curve for the final Tuned XGBoost model, achieving an Area Under the Curve (AUC) of 0.6716. Figure 11 displays the Precision-Recall curves across the tuned ensembles, highlighting the distinct superiority of XGBoost in the operational recall region.</w:t>
      </w:r>
    </w:p>
    <w:p>
      <w:pPr>
        <w:spacing w:before="160" w:after="60"/>
        <w:jc w:val="center"/>
      </w:pPr>
      <w:r>
        <w:drawing>
          <wp:inline xmlns:a="http://schemas.openxmlformats.org/drawingml/2006/main" xmlns:pic="http://schemas.openxmlformats.org/drawingml/2006/picture">
            <wp:extent cx="5303520" cy="3977640"/>
            <wp:docPr id="10" name="Picture 10"/>
            <wp:cNvGraphicFramePr>
              <a:graphicFrameLocks noChangeAspect="1"/>
            </wp:cNvGraphicFramePr>
            <a:graphic>
              <a:graphicData uri="http://schemas.openxmlformats.org/drawingml/2006/picture">
                <pic:pic>
                  <pic:nvPicPr>
                    <pic:cNvPr id="0" name="final_roc_curve.png"/>
                    <pic:cNvPicPr/>
                  </pic:nvPicPr>
                  <pic:blipFill>
                    <a:blip r:embed="rId20"/>
                    <a:stretch>
                      <a:fillRect/>
                    </a:stretch>
                  </pic:blipFill>
                  <pic:spPr>
                    <a:xfrm>
                      <a:off x="0" y="0"/>
                      <a:ext cx="5303520" cy="3977640"/>
                    </a:xfrm>
                    <a:prstGeom prst="rect"/>
                  </pic:spPr>
                </pic:pic>
              </a:graphicData>
            </a:graphic>
          </wp:inline>
        </w:drawing>
      </w:r>
    </w:p>
    <w:p>
      <w:pPr>
        <w:spacing w:before="0" w:after="200"/>
        <w:jc w:val="center"/>
      </w:pPr>
      <w:r>
        <w:rPr>
          <w:rFonts w:ascii="Calibri" w:hAnsi="Calibri"/>
          <w:b/>
          <w:i/>
          <w:color w:val="1B365D"/>
          <w:sz w:val="19"/>
        </w:rPr>
        <w:t>Figure 10. Receiver Operating Characteristic (ROC) Curve for Tuned XGBoost (AUC = 0.672)</w:t>
      </w:r>
    </w:p>
    <w:p>
      <w:pPr>
        <w:spacing w:before="160" w:after="60"/>
        <w:jc w:val="center"/>
      </w:pPr>
      <w:r>
        <w:drawing>
          <wp:inline xmlns:a="http://schemas.openxmlformats.org/drawingml/2006/main" xmlns:pic="http://schemas.openxmlformats.org/drawingml/2006/picture">
            <wp:extent cx="5303520" cy="3535680"/>
            <wp:docPr id="11" name="Picture 11"/>
            <wp:cNvGraphicFramePr>
              <a:graphicFrameLocks noChangeAspect="1"/>
            </wp:cNvGraphicFramePr>
            <a:graphic>
              <a:graphicData uri="http://schemas.openxmlformats.org/drawingml/2006/picture">
                <pic:pic>
                  <pic:nvPicPr>
                    <pic:cNvPr id="0" name="tuned_precision_recall_curves.png"/>
                    <pic:cNvPicPr/>
                  </pic:nvPicPr>
                  <pic:blipFill>
                    <a:blip r:embed="rId21"/>
                    <a:stretch>
                      <a:fillRect/>
                    </a:stretch>
                  </pic:blipFill>
                  <pic:spPr>
                    <a:xfrm>
                      <a:off x="0" y="0"/>
                      <a:ext cx="5303520" cy="3535680"/>
                    </a:xfrm>
                    <a:prstGeom prst="rect"/>
                  </pic:spPr>
                </pic:pic>
              </a:graphicData>
            </a:graphic>
          </wp:inline>
        </w:drawing>
      </w:r>
    </w:p>
    <w:p>
      <w:pPr>
        <w:spacing w:before="0" w:after="200"/>
        <w:jc w:val="center"/>
      </w:pPr>
      <w:r>
        <w:rPr>
          <w:rFonts w:ascii="Calibri" w:hAnsi="Calibri"/>
          <w:b/>
          <w:i/>
          <w:color w:val="1B365D"/>
          <w:sz w:val="19"/>
        </w:rPr>
        <w:t>Figure 11. Precision-Recall Curves for Tuned Random Forest, Gradient Boosting, and XGBoost</w:t>
      </w:r>
    </w:p>
    <w:p>
      <w:pPr>
        <w:keepNext/>
        <w:spacing w:before="280" w:after="80"/>
      </w:pPr>
      <w:r>
        <w:rPr>
          <w:rFonts w:ascii="Calibri" w:hAnsi="Calibri"/>
          <w:b/>
          <w:color w:val="1B365D"/>
          <w:sz w:val="26"/>
        </w:rPr>
        <w:t>11.6 Operational Trade-Off Interpretation</w:t>
      </w:r>
    </w:p>
    <w:p>
      <w:pPr>
        <w:spacing w:before="0" w:after="120" w:line="276" w:lineRule="auto"/>
      </w:pPr>
      <w:r>
        <w:rPr>
          <w:rFonts w:ascii="Calibri" w:hAnsi="Calibri"/>
          <w:color w:val="1E293B"/>
          <w:sz w:val="22"/>
        </w:rPr>
        <w:t>In an enterprise manufacturing setting with 50,000 employees, adopting threshold 0.20 allows leadership to identify over 51% of potential leavers months in advance. The 2,275 false alarms represent an acceptable operational overhead: conducting proactive retention check-ins with retained workers carries negligible downside and reinforces overall organizational morale.</w:t>
      </w:r>
    </w:p>
    <w:p>
      <w:r>
        <w:br w:type="page"/>
      </w:r>
    </w:p>
    <w:p>
      <w:pPr>
        <w:keepNext/>
        <w:spacing w:before="360" w:after="120"/>
      </w:pPr>
      <w:r>
        <w:rPr>
          <w:rFonts w:ascii="Calibri" w:hAnsi="Calibri"/>
          <w:b/>
          <w:color w:val="1B365D"/>
          <w:sz w:val="32"/>
        </w:rPr>
        <w:t>12. Feature Importance</w:t>
      </w:r>
    </w:p>
    <w:p>
      <w:pPr>
        <w:keepNext/>
        <w:spacing w:before="280" w:after="80"/>
      </w:pPr>
      <w:r>
        <w:rPr>
          <w:rFonts w:ascii="Calibri" w:hAnsi="Calibri"/>
          <w:b/>
          <w:color w:val="1B365D"/>
          <w:sz w:val="26"/>
        </w:rPr>
        <w:t>12.1 Feature Importance Method</w:t>
      </w:r>
    </w:p>
    <w:p>
      <w:pPr>
        <w:spacing w:before="0" w:after="120" w:line="276" w:lineRule="auto"/>
      </w:pPr>
      <w:r>
        <w:rPr>
          <w:rFonts w:ascii="Calibri" w:hAnsi="Calibri"/>
          <w:color w:val="1E293B"/>
          <w:sz w:val="22"/>
        </w:rPr>
        <w:t>Feature importance was evaluated by computing the total Information Gain contributed by each feature across all tree splits in the Tuned XGBoost ensemble. Gain measures the relative fractional improvement in log-loss accuracy brought by a feature.</w:t>
      </w:r>
    </w:p>
    <w:p>
      <w:pPr>
        <w:keepNext/>
        <w:spacing w:before="280" w:after="80"/>
      </w:pPr>
      <w:r>
        <w:rPr>
          <w:rFonts w:ascii="Calibri" w:hAnsi="Calibri"/>
          <w:b/>
          <w:color w:val="1B365D"/>
          <w:sz w:val="26"/>
        </w:rPr>
        <w:t>12.2 Top Predictive Features</w:t>
      </w:r>
    </w:p>
    <w:p>
      <w:pPr>
        <w:spacing w:before="0" w:after="120" w:line="276" w:lineRule="auto"/>
      </w:pPr>
      <w:r>
        <w:rPr>
          <w:rFonts w:ascii="Calibri" w:hAnsi="Calibri"/>
          <w:color w:val="1E293B"/>
          <w:sz w:val="22"/>
        </w:rPr>
        <w:t>Table 7 lists the top 10 features ranked by Information Gain.</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c>
          <w:tcPr>
            <w:tcW w:type="dxa" w:w="1152"/>
            <w:shd w:val="clear" w:color="auto" w:fill="1B365D"/>
            <w:tcMar>
              <w:top w:w="100" w:type="dxa"/>
              <w:bottom w:w="100" w:type="dxa"/>
              <w:left w:w="140" w:type="dxa"/>
              <w:right w:w="140" w:type="dxa"/>
            </w:tcMar>
          </w:tcPr>
          <w:p>
            <w:pPr>
              <w:spacing w:before="0" w:after="0"/>
              <w:jc w:val="center"/>
            </w:pPr>
            <w:r>
              <w:rPr>
                <w:rFonts w:ascii="Calibri" w:hAnsi="Calibri"/>
                <w:b/>
                <w:color w:val="FFFFFF"/>
                <w:sz w:val="20"/>
              </w:rPr>
              <w:t>Rank</w:t>
            </w:r>
          </w:p>
        </w:tc>
        <w:tc>
          <w:tcPr>
            <w:tcW w:type="dxa" w:w="4608"/>
            <w:shd w:val="clear" w:color="auto" w:fill="1B365D"/>
            <w:tcMar>
              <w:top w:w="100" w:type="dxa"/>
              <w:bottom w:w="100" w:type="dxa"/>
              <w:left w:w="140" w:type="dxa"/>
              <w:right w:w="140" w:type="dxa"/>
            </w:tcMar>
          </w:tcPr>
          <w:p>
            <w:pPr>
              <w:spacing w:before="0" w:after="0"/>
              <w:jc w:val="left"/>
            </w:pPr>
            <w:r>
              <w:rPr>
                <w:rFonts w:ascii="Calibri" w:hAnsi="Calibri"/>
                <w:b/>
                <w:color w:val="FFFFFF"/>
                <w:sz w:val="20"/>
              </w:rPr>
              <w:t>Workforce Predictor Feature</w:t>
            </w:r>
          </w:p>
        </w:tc>
        <w:tc>
          <w:tcPr>
            <w:tcW w:type="dxa" w:w="3600"/>
            <w:shd w:val="clear" w:color="auto" w:fill="1B365D"/>
            <w:tcMar>
              <w:top w:w="100" w:type="dxa"/>
              <w:bottom w:w="100" w:type="dxa"/>
              <w:left w:w="140" w:type="dxa"/>
              <w:right w:w="140" w:type="dxa"/>
            </w:tcMar>
          </w:tcPr>
          <w:p>
            <w:pPr>
              <w:spacing w:before="0" w:after="0"/>
              <w:jc w:val="right"/>
            </w:pPr>
            <w:r>
              <w:rPr>
                <w:rFonts w:ascii="Calibri" w:hAnsi="Calibri"/>
                <w:b/>
                <w:color w:val="FFFFFF"/>
                <w:sz w:val="20"/>
              </w:rPr>
              <w:t>Information Gain Score</w:t>
            </w:r>
          </w:p>
        </w:tc>
      </w:tr>
      <w:tr>
        <w:tc>
          <w:tcPr>
            <w:tcW w:type="dxa" w:w="1152"/>
            <w:shd w:val="clear" w:color="auto" w:fill="FFFFFF"/>
            <w:tcMar>
              <w:top w:w="100" w:type="dxa"/>
              <w:bottom w:w="100" w:type="dxa"/>
              <w:left w:w="140" w:type="dxa"/>
              <w:right w:w="140" w:type="dxa"/>
            </w:tcMar>
          </w:tcPr>
          <w:p>
            <w:pPr>
              <w:spacing w:before="0" w:after="0"/>
              <w:jc w:val="center"/>
            </w:pPr>
            <w:r>
              <w:rPr>
                <w:rFonts w:ascii="Calibri" w:hAnsi="Calibri"/>
                <w:color w:val="1E293B"/>
                <w:sz w:val="19"/>
              </w:rPr>
              <w:t>1</w:t>
            </w:r>
          </w:p>
        </w:tc>
        <w:tc>
          <w:tcPr>
            <w:tcW w:type="dxa" w:w="4608"/>
            <w:shd w:val="clear" w:color="auto" w:fill="FFFFFF"/>
            <w:tcMar>
              <w:top w:w="100" w:type="dxa"/>
              <w:bottom w:w="100" w:type="dxa"/>
              <w:left w:w="140" w:type="dxa"/>
              <w:right w:w="140" w:type="dxa"/>
            </w:tcMar>
          </w:tcPr>
          <w:p>
            <w:pPr>
              <w:spacing w:before="0" w:after="0"/>
              <w:jc w:val="left"/>
            </w:pPr>
            <w:r>
              <w:rPr>
                <w:rFonts w:ascii="Calibri" w:hAnsi="Calibri"/>
                <w:color w:val="1E293B"/>
                <w:sz w:val="19"/>
              </w:rPr>
              <w:t>EngagementScore</w:t>
            </w:r>
          </w:p>
        </w:tc>
        <w:tc>
          <w:tcPr>
            <w:tcW w:type="dxa" w:w="3600"/>
            <w:shd w:val="clear" w:color="auto" w:fill="FFFFFF"/>
            <w:tcMar>
              <w:top w:w="100" w:type="dxa"/>
              <w:bottom w:w="100" w:type="dxa"/>
              <w:left w:w="140" w:type="dxa"/>
              <w:right w:w="140" w:type="dxa"/>
            </w:tcMar>
          </w:tcPr>
          <w:p>
            <w:pPr>
              <w:spacing w:before="0" w:after="0"/>
              <w:jc w:val="right"/>
            </w:pPr>
            <w:r>
              <w:rPr>
                <w:rFonts w:ascii="Calibri" w:hAnsi="Calibri"/>
                <w:color w:val="1E293B"/>
                <w:sz w:val="19"/>
              </w:rPr>
              <w:t>882.96</w:t>
            </w:r>
          </w:p>
        </w:tc>
      </w:tr>
      <w:tr>
        <w:tc>
          <w:tcPr>
            <w:tcW w:type="dxa" w:w="1152"/>
            <w:shd w:val="clear" w:color="auto" w:fill="F8FAFC"/>
            <w:tcMar>
              <w:top w:w="100" w:type="dxa"/>
              <w:bottom w:w="100" w:type="dxa"/>
              <w:left w:w="140" w:type="dxa"/>
              <w:right w:w="140" w:type="dxa"/>
            </w:tcMar>
          </w:tcPr>
          <w:p>
            <w:pPr>
              <w:spacing w:before="0" w:after="0"/>
              <w:jc w:val="center"/>
            </w:pPr>
            <w:r>
              <w:rPr>
                <w:rFonts w:ascii="Calibri" w:hAnsi="Calibri"/>
                <w:color w:val="1E293B"/>
                <w:sz w:val="19"/>
              </w:rPr>
              <w:t>2</w:t>
            </w:r>
          </w:p>
        </w:tc>
        <w:tc>
          <w:tcPr>
            <w:tcW w:type="dxa" w:w="4608"/>
            <w:shd w:val="clear" w:color="auto" w:fill="F8FAFC"/>
            <w:tcMar>
              <w:top w:w="100" w:type="dxa"/>
              <w:bottom w:w="100" w:type="dxa"/>
              <w:left w:w="140" w:type="dxa"/>
              <w:right w:w="140" w:type="dxa"/>
            </w:tcMar>
          </w:tcPr>
          <w:p>
            <w:pPr>
              <w:spacing w:before="0" w:after="0"/>
              <w:jc w:val="left"/>
            </w:pPr>
            <w:r>
              <w:rPr>
                <w:rFonts w:ascii="Calibri" w:hAnsi="Calibri"/>
                <w:color w:val="1E293B"/>
                <w:sz w:val="19"/>
              </w:rPr>
              <w:t>MonthlyIncome</w:t>
            </w:r>
          </w:p>
        </w:tc>
        <w:tc>
          <w:tcPr>
            <w:tcW w:type="dxa" w:w="3600"/>
            <w:shd w:val="clear" w:color="auto" w:fill="F8FAFC"/>
            <w:tcMar>
              <w:top w:w="100" w:type="dxa"/>
              <w:bottom w:w="100" w:type="dxa"/>
              <w:left w:w="140" w:type="dxa"/>
              <w:right w:w="140" w:type="dxa"/>
            </w:tcMar>
          </w:tcPr>
          <w:p>
            <w:pPr>
              <w:spacing w:before="0" w:after="0"/>
              <w:jc w:val="right"/>
            </w:pPr>
            <w:r>
              <w:rPr>
                <w:rFonts w:ascii="Calibri" w:hAnsi="Calibri"/>
                <w:color w:val="1E293B"/>
                <w:sz w:val="19"/>
              </w:rPr>
              <w:t>880.37</w:t>
            </w:r>
          </w:p>
        </w:tc>
      </w:tr>
      <w:tr>
        <w:tc>
          <w:tcPr>
            <w:tcW w:type="dxa" w:w="1152"/>
            <w:shd w:val="clear" w:color="auto" w:fill="FFFFFF"/>
            <w:tcMar>
              <w:top w:w="100" w:type="dxa"/>
              <w:bottom w:w="100" w:type="dxa"/>
              <w:left w:w="140" w:type="dxa"/>
              <w:right w:w="140" w:type="dxa"/>
            </w:tcMar>
          </w:tcPr>
          <w:p>
            <w:pPr>
              <w:spacing w:before="0" w:after="0"/>
              <w:jc w:val="center"/>
            </w:pPr>
            <w:r>
              <w:rPr>
                <w:rFonts w:ascii="Calibri" w:hAnsi="Calibri"/>
                <w:color w:val="1E293B"/>
                <w:sz w:val="19"/>
              </w:rPr>
              <w:t>3</w:t>
            </w:r>
          </w:p>
        </w:tc>
        <w:tc>
          <w:tcPr>
            <w:tcW w:type="dxa" w:w="4608"/>
            <w:shd w:val="clear" w:color="auto" w:fill="FFFFFF"/>
            <w:tcMar>
              <w:top w:w="100" w:type="dxa"/>
              <w:bottom w:w="100" w:type="dxa"/>
              <w:left w:w="140" w:type="dxa"/>
              <w:right w:w="140" w:type="dxa"/>
            </w:tcMar>
          </w:tcPr>
          <w:p>
            <w:pPr>
              <w:spacing w:before="0" w:after="0"/>
              <w:jc w:val="left"/>
            </w:pPr>
            <w:r>
              <w:rPr>
                <w:rFonts w:ascii="Calibri" w:hAnsi="Calibri"/>
                <w:color w:val="1E293B"/>
                <w:sz w:val="19"/>
              </w:rPr>
              <w:t>MonthlyRate</w:t>
            </w:r>
          </w:p>
        </w:tc>
        <w:tc>
          <w:tcPr>
            <w:tcW w:type="dxa" w:w="3600"/>
            <w:shd w:val="clear" w:color="auto" w:fill="FFFFFF"/>
            <w:tcMar>
              <w:top w:w="100" w:type="dxa"/>
              <w:bottom w:w="100" w:type="dxa"/>
              <w:left w:w="140" w:type="dxa"/>
              <w:right w:w="140" w:type="dxa"/>
            </w:tcMar>
          </w:tcPr>
          <w:p>
            <w:pPr>
              <w:spacing w:before="0" w:after="0"/>
              <w:jc w:val="right"/>
            </w:pPr>
            <w:r>
              <w:rPr>
                <w:rFonts w:ascii="Calibri" w:hAnsi="Calibri"/>
                <w:color w:val="1E293B"/>
                <w:sz w:val="19"/>
              </w:rPr>
              <w:t>872.39</w:t>
            </w:r>
          </w:p>
        </w:tc>
      </w:tr>
      <w:tr>
        <w:tc>
          <w:tcPr>
            <w:tcW w:type="dxa" w:w="1152"/>
            <w:shd w:val="clear" w:color="auto" w:fill="F8FAFC"/>
            <w:tcMar>
              <w:top w:w="100" w:type="dxa"/>
              <w:bottom w:w="100" w:type="dxa"/>
              <w:left w:w="140" w:type="dxa"/>
              <w:right w:w="140" w:type="dxa"/>
            </w:tcMar>
          </w:tcPr>
          <w:p>
            <w:pPr>
              <w:spacing w:before="0" w:after="0"/>
              <w:jc w:val="center"/>
            </w:pPr>
            <w:r>
              <w:rPr>
                <w:rFonts w:ascii="Calibri" w:hAnsi="Calibri"/>
                <w:color w:val="1E293B"/>
                <w:sz w:val="19"/>
              </w:rPr>
              <w:t>4</w:t>
            </w:r>
          </w:p>
        </w:tc>
        <w:tc>
          <w:tcPr>
            <w:tcW w:type="dxa" w:w="4608"/>
            <w:shd w:val="clear" w:color="auto" w:fill="F8FAFC"/>
            <w:tcMar>
              <w:top w:w="100" w:type="dxa"/>
              <w:bottom w:w="100" w:type="dxa"/>
              <w:left w:w="140" w:type="dxa"/>
              <w:right w:w="140" w:type="dxa"/>
            </w:tcMar>
          </w:tcPr>
          <w:p>
            <w:pPr>
              <w:spacing w:before="0" w:after="0"/>
              <w:jc w:val="left"/>
            </w:pPr>
            <w:r>
              <w:rPr>
                <w:rFonts w:ascii="Calibri" w:hAnsi="Calibri"/>
                <w:color w:val="1E293B"/>
                <w:sz w:val="19"/>
              </w:rPr>
              <w:t>DailyRate</w:t>
            </w:r>
          </w:p>
        </w:tc>
        <w:tc>
          <w:tcPr>
            <w:tcW w:type="dxa" w:w="3600"/>
            <w:shd w:val="clear" w:color="auto" w:fill="F8FAFC"/>
            <w:tcMar>
              <w:top w:w="100" w:type="dxa"/>
              <w:bottom w:w="100" w:type="dxa"/>
              <w:left w:w="140" w:type="dxa"/>
              <w:right w:w="140" w:type="dxa"/>
            </w:tcMar>
          </w:tcPr>
          <w:p>
            <w:pPr>
              <w:spacing w:before="0" w:after="0"/>
              <w:jc w:val="right"/>
            </w:pPr>
            <w:r>
              <w:rPr>
                <w:rFonts w:ascii="Calibri" w:hAnsi="Calibri"/>
                <w:color w:val="1E293B"/>
                <w:sz w:val="19"/>
              </w:rPr>
              <w:t>850.42</w:t>
            </w:r>
          </w:p>
        </w:tc>
      </w:tr>
      <w:tr>
        <w:tc>
          <w:tcPr>
            <w:tcW w:type="dxa" w:w="1152"/>
            <w:shd w:val="clear" w:color="auto" w:fill="FFFFFF"/>
            <w:tcMar>
              <w:top w:w="100" w:type="dxa"/>
              <w:bottom w:w="100" w:type="dxa"/>
              <w:left w:w="140" w:type="dxa"/>
              <w:right w:w="140" w:type="dxa"/>
            </w:tcMar>
          </w:tcPr>
          <w:p>
            <w:pPr>
              <w:spacing w:before="0" w:after="0"/>
              <w:jc w:val="center"/>
            </w:pPr>
            <w:r>
              <w:rPr>
                <w:rFonts w:ascii="Calibri" w:hAnsi="Calibri"/>
                <w:color w:val="1E293B"/>
                <w:sz w:val="19"/>
              </w:rPr>
              <w:t>5</w:t>
            </w:r>
          </w:p>
        </w:tc>
        <w:tc>
          <w:tcPr>
            <w:tcW w:type="dxa" w:w="4608"/>
            <w:shd w:val="clear" w:color="auto" w:fill="FFFFFF"/>
            <w:tcMar>
              <w:top w:w="100" w:type="dxa"/>
              <w:bottom w:w="100" w:type="dxa"/>
              <w:left w:w="140" w:type="dxa"/>
              <w:right w:w="140" w:type="dxa"/>
            </w:tcMar>
          </w:tcPr>
          <w:p>
            <w:pPr>
              <w:spacing w:before="0" w:after="0"/>
              <w:jc w:val="left"/>
            </w:pPr>
            <w:r>
              <w:rPr>
                <w:rFonts w:ascii="Calibri" w:hAnsi="Calibri"/>
                <w:color w:val="1E293B"/>
                <w:sz w:val="19"/>
              </w:rPr>
              <w:t>Education</w:t>
            </w:r>
          </w:p>
        </w:tc>
        <w:tc>
          <w:tcPr>
            <w:tcW w:type="dxa" w:w="3600"/>
            <w:shd w:val="clear" w:color="auto" w:fill="FFFFFF"/>
            <w:tcMar>
              <w:top w:w="100" w:type="dxa"/>
              <w:bottom w:w="100" w:type="dxa"/>
              <w:left w:w="140" w:type="dxa"/>
              <w:right w:w="140" w:type="dxa"/>
            </w:tcMar>
          </w:tcPr>
          <w:p>
            <w:pPr>
              <w:spacing w:before="0" w:after="0"/>
              <w:jc w:val="right"/>
            </w:pPr>
            <w:r>
              <w:rPr>
                <w:rFonts w:ascii="Calibri" w:hAnsi="Calibri"/>
                <w:color w:val="1E293B"/>
                <w:sz w:val="19"/>
              </w:rPr>
              <w:t>839.04</w:t>
            </w:r>
          </w:p>
        </w:tc>
      </w:tr>
      <w:tr>
        <w:tc>
          <w:tcPr>
            <w:tcW w:type="dxa" w:w="1152"/>
            <w:shd w:val="clear" w:color="auto" w:fill="F8FAFC"/>
            <w:tcMar>
              <w:top w:w="100" w:type="dxa"/>
              <w:bottom w:w="100" w:type="dxa"/>
              <w:left w:w="140" w:type="dxa"/>
              <w:right w:w="140" w:type="dxa"/>
            </w:tcMar>
          </w:tcPr>
          <w:p>
            <w:pPr>
              <w:spacing w:before="0" w:after="0"/>
              <w:jc w:val="center"/>
            </w:pPr>
            <w:r>
              <w:rPr>
                <w:rFonts w:ascii="Calibri" w:hAnsi="Calibri"/>
                <w:color w:val="1E293B"/>
                <w:sz w:val="19"/>
              </w:rPr>
              <w:t>6</w:t>
            </w:r>
          </w:p>
        </w:tc>
        <w:tc>
          <w:tcPr>
            <w:tcW w:type="dxa" w:w="4608"/>
            <w:shd w:val="clear" w:color="auto" w:fill="F8FAFC"/>
            <w:tcMar>
              <w:top w:w="100" w:type="dxa"/>
              <w:bottom w:w="100" w:type="dxa"/>
              <w:left w:w="140" w:type="dxa"/>
              <w:right w:w="140" w:type="dxa"/>
            </w:tcMar>
          </w:tcPr>
          <w:p>
            <w:pPr>
              <w:spacing w:before="0" w:after="0"/>
              <w:jc w:val="left"/>
            </w:pPr>
            <w:r>
              <w:rPr>
                <w:rFonts w:ascii="Calibri" w:hAnsi="Calibri"/>
                <w:color w:val="1E293B"/>
                <w:sz w:val="19"/>
              </w:rPr>
              <w:t>HourlyRate</w:t>
            </w:r>
          </w:p>
        </w:tc>
        <w:tc>
          <w:tcPr>
            <w:tcW w:type="dxa" w:w="3600"/>
            <w:shd w:val="clear" w:color="auto" w:fill="F8FAFC"/>
            <w:tcMar>
              <w:top w:w="100" w:type="dxa"/>
              <w:bottom w:w="100" w:type="dxa"/>
              <w:left w:w="140" w:type="dxa"/>
              <w:right w:w="140" w:type="dxa"/>
            </w:tcMar>
          </w:tcPr>
          <w:p>
            <w:pPr>
              <w:spacing w:before="0" w:after="0"/>
              <w:jc w:val="right"/>
            </w:pPr>
            <w:r>
              <w:rPr>
                <w:rFonts w:ascii="Calibri" w:hAnsi="Calibri"/>
                <w:color w:val="1E293B"/>
                <w:sz w:val="19"/>
              </w:rPr>
              <w:t>787.18</w:t>
            </w:r>
          </w:p>
        </w:tc>
      </w:tr>
      <w:tr>
        <w:tc>
          <w:tcPr>
            <w:tcW w:type="dxa" w:w="1152"/>
            <w:shd w:val="clear" w:color="auto" w:fill="FFFFFF"/>
            <w:tcMar>
              <w:top w:w="100" w:type="dxa"/>
              <w:bottom w:w="100" w:type="dxa"/>
              <w:left w:w="140" w:type="dxa"/>
              <w:right w:w="140" w:type="dxa"/>
            </w:tcMar>
          </w:tcPr>
          <w:p>
            <w:pPr>
              <w:spacing w:before="0" w:after="0"/>
              <w:jc w:val="center"/>
            </w:pPr>
            <w:r>
              <w:rPr>
                <w:rFonts w:ascii="Calibri" w:hAnsi="Calibri"/>
                <w:color w:val="1E293B"/>
                <w:sz w:val="19"/>
              </w:rPr>
              <w:t>7</w:t>
            </w:r>
          </w:p>
        </w:tc>
        <w:tc>
          <w:tcPr>
            <w:tcW w:type="dxa" w:w="4608"/>
            <w:shd w:val="clear" w:color="auto" w:fill="FFFFFF"/>
            <w:tcMar>
              <w:top w:w="100" w:type="dxa"/>
              <w:bottom w:w="100" w:type="dxa"/>
              <w:left w:w="140" w:type="dxa"/>
              <w:right w:w="140" w:type="dxa"/>
            </w:tcMar>
          </w:tcPr>
          <w:p>
            <w:pPr>
              <w:spacing w:before="0" w:after="0"/>
              <w:jc w:val="left"/>
            </w:pPr>
            <w:r>
              <w:rPr>
                <w:rFonts w:ascii="Calibri" w:hAnsi="Calibri"/>
                <w:color w:val="1E293B"/>
                <w:sz w:val="19"/>
              </w:rPr>
              <w:t>YearsAtCompany</w:t>
            </w:r>
          </w:p>
        </w:tc>
        <w:tc>
          <w:tcPr>
            <w:tcW w:type="dxa" w:w="3600"/>
            <w:shd w:val="clear" w:color="auto" w:fill="FFFFFF"/>
            <w:tcMar>
              <w:top w:w="100" w:type="dxa"/>
              <w:bottom w:w="100" w:type="dxa"/>
              <w:left w:w="140" w:type="dxa"/>
              <w:right w:w="140" w:type="dxa"/>
            </w:tcMar>
          </w:tcPr>
          <w:p>
            <w:pPr>
              <w:spacing w:before="0" w:after="0"/>
              <w:jc w:val="right"/>
            </w:pPr>
            <w:r>
              <w:rPr>
                <w:rFonts w:ascii="Calibri" w:hAnsi="Calibri"/>
                <w:color w:val="1E293B"/>
                <w:sz w:val="19"/>
              </w:rPr>
              <w:t>758.51</w:t>
            </w:r>
          </w:p>
        </w:tc>
      </w:tr>
      <w:tr>
        <w:tc>
          <w:tcPr>
            <w:tcW w:type="dxa" w:w="1152"/>
            <w:shd w:val="clear" w:color="auto" w:fill="F8FAFC"/>
            <w:tcMar>
              <w:top w:w="100" w:type="dxa"/>
              <w:bottom w:w="100" w:type="dxa"/>
              <w:left w:w="140" w:type="dxa"/>
              <w:right w:w="140" w:type="dxa"/>
            </w:tcMar>
          </w:tcPr>
          <w:p>
            <w:pPr>
              <w:spacing w:before="0" w:after="0"/>
              <w:jc w:val="center"/>
            </w:pPr>
            <w:r>
              <w:rPr>
                <w:rFonts w:ascii="Calibri" w:hAnsi="Calibri"/>
                <w:color w:val="1E293B"/>
                <w:sz w:val="19"/>
              </w:rPr>
              <w:t>8</w:t>
            </w:r>
          </w:p>
        </w:tc>
        <w:tc>
          <w:tcPr>
            <w:tcW w:type="dxa" w:w="4608"/>
            <w:shd w:val="clear" w:color="auto" w:fill="F8FAFC"/>
            <w:tcMar>
              <w:top w:w="100" w:type="dxa"/>
              <w:bottom w:w="100" w:type="dxa"/>
              <w:left w:w="140" w:type="dxa"/>
              <w:right w:w="140" w:type="dxa"/>
            </w:tcMar>
          </w:tcPr>
          <w:p>
            <w:pPr>
              <w:spacing w:before="0" w:after="0"/>
              <w:jc w:val="left"/>
            </w:pPr>
            <w:r>
              <w:rPr>
                <w:rFonts w:ascii="Calibri" w:hAnsi="Calibri"/>
                <w:color w:val="1E293B"/>
                <w:sz w:val="19"/>
              </w:rPr>
              <w:t>DistanceFromHome</w:t>
            </w:r>
          </w:p>
        </w:tc>
        <w:tc>
          <w:tcPr>
            <w:tcW w:type="dxa" w:w="3600"/>
            <w:shd w:val="clear" w:color="auto" w:fill="F8FAFC"/>
            <w:tcMar>
              <w:top w:w="100" w:type="dxa"/>
              <w:bottom w:w="100" w:type="dxa"/>
              <w:left w:w="140" w:type="dxa"/>
              <w:right w:w="140" w:type="dxa"/>
            </w:tcMar>
          </w:tcPr>
          <w:p>
            <w:pPr>
              <w:spacing w:before="0" w:after="0"/>
              <w:jc w:val="right"/>
            </w:pPr>
            <w:r>
              <w:rPr>
                <w:rFonts w:ascii="Calibri" w:hAnsi="Calibri"/>
                <w:color w:val="1E293B"/>
                <w:sz w:val="19"/>
              </w:rPr>
              <w:t>724.05</w:t>
            </w:r>
          </w:p>
        </w:tc>
      </w:tr>
      <w:tr>
        <w:tc>
          <w:tcPr>
            <w:tcW w:type="dxa" w:w="1152"/>
            <w:shd w:val="clear" w:color="auto" w:fill="FFFFFF"/>
            <w:tcMar>
              <w:top w:w="100" w:type="dxa"/>
              <w:bottom w:w="100" w:type="dxa"/>
              <w:left w:w="140" w:type="dxa"/>
              <w:right w:w="140" w:type="dxa"/>
            </w:tcMar>
          </w:tcPr>
          <w:p>
            <w:pPr>
              <w:spacing w:before="0" w:after="0"/>
              <w:jc w:val="center"/>
            </w:pPr>
            <w:r>
              <w:rPr>
                <w:rFonts w:ascii="Calibri" w:hAnsi="Calibri"/>
                <w:color w:val="1E293B"/>
                <w:sz w:val="19"/>
              </w:rPr>
              <w:t>9</w:t>
            </w:r>
          </w:p>
        </w:tc>
        <w:tc>
          <w:tcPr>
            <w:tcW w:type="dxa" w:w="4608"/>
            <w:shd w:val="clear" w:color="auto" w:fill="FFFFFF"/>
            <w:tcMar>
              <w:top w:w="100" w:type="dxa"/>
              <w:bottom w:w="100" w:type="dxa"/>
              <w:left w:w="140" w:type="dxa"/>
              <w:right w:w="140" w:type="dxa"/>
            </w:tcMar>
          </w:tcPr>
          <w:p>
            <w:pPr>
              <w:spacing w:before="0" w:after="0"/>
              <w:jc w:val="left"/>
            </w:pPr>
            <w:r>
              <w:rPr>
                <w:rFonts w:ascii="Calibri" w:hAnsi="Calibri"/>
                <w:color w:val="1E293B"/>
                <w:sz w:val="19"/>
              </w:rPr>
              <w:t>MonthlyOvertimeHours</w:t>
            </w:r>
          </w:p>
        </w:tc>
        <w:tc>
          <w:tcPr>
            <w:tcW w:type="dxa" w:w="3600"/>
            <w:shd w:val="clear" w:color="auto" w:fill="FFFFFF"/>
            <w:tcMar>
              <w:top w:w="100" w:type="dxa"/>
              <w:bottom w:w="100" w:type="dxa"/>
              <w:left w:w="140" w:type="dxa"/>
              <w:right w:w="140" w:type="dxa"/>
            </w:tcMar>
          </w:tcPr>
          <w:p>
            <w:pPr>
              <w:spacing w:before="0" w:after="0"/>
              <w:jc w:val="right"/>
            </w:pPr>
            <w:r>
              <w:rPr>
                <w:rFonts w:ascii="Calibri" w:hAnsi="Calibri"/>
                <w:color w:val="1E293B"/>
                <w:sz w:val="19"/>
              </w:rPr>
              <w:t>706.18</w:t>
            </w:r>
          </w:p>
        </w:tc>
      </w:tr>
      <w:tr>
        <w:tc>
          <w:tcPr>
            <w:tcW w:type="dxa" w:w="1152"/>
            <w:shd w:val="clear" w:color="auto" w:fill="F8FAFC"/>
            <w:tcMar>
              <w:top w:w="100" w:type="dxa"/>
              <w:bottom w:w="100" w:type="dxa"/>
              <w:left w:w="140" w:type="dxa"/>
              <w:right w:w="140" w:type="dxa"/>
            </w:tcMar>
          </w:tcPr>
          <w:p>
            <w:pPr>
              <w:spacing w:before="0" w:after="0"/>
              <w:jc w:val="center"/>
            </w:pPr>
            <w:r>
              <w:rPr>
                <w:rFonts w:ascii="Calibri" w:hAnsi="Calibri"/>
                <w:color w:val="1E293B"/>
                <w:sz w:val="19"/>
              </w:rPr>
              <w:t>10</w:t>
            </w:r>
          </w:p>
        </w:tc>
        <w:tc>
          <w:tcPr>
            <w:tcW w:type="dxa" w:w="4608"/>
            <w:shd w:val="clear" w:color="auto" w:fill="F8FAFC"/>
            <w:tcMar>
              <w:top w:w="100" w:type="dxa"/>
              <w:bottom w:w="100" w:type="dxa"/>
              <w:left w:w="140" w:type="dxa"/>
              <w:right w:w="140" w:type="dxa"/>
            </w:tcMar>
          </w:tcPr>
          <w:p>
            <w:pPr>
              <w:spacing w:before="0" w:after="0"/>
              <w:jc w:val="left"/>
            </w:pPr>
            <w:r>
              <w:rPr>
                <w:rFonts w:ascii="Calibri" w:hAnsi="Calibri"/>
                <w:color w:val="1E293B"/>
                <w:sz w:val="19"/>
              </w:rPr>
              <w:t>Department</w:t>
            </w:r>
          </w:p>
        </w:tc>
        <w:tc>
          <w:tcPr>
            <w:tcW w:type="dxa" w:w="3600"/>
            <w:shd w:val="clear" w:color="auto" w:fill="F8FAFC"/>
            <w:tcMar>
              <w:top w:w="100" w:type="dxa"/>
              <w:bottom w:w="100" w:type="dxa"/>
              <w:left w:w="140" w:type="dxa"/>
              <w:right w:w="140" w:type="dxa"/>
            </w:tcMar>
          </w:tcPr>
          <w:p>
            <w:pPr>
              <w:spacing w:before="0" w:after="0"/>
              <w:jc w:val="right"/>
            </w:pPr>
            <w:r>
              <w:rPr>
                <w:rFonts w:ascii="Calibri" w:hAnsi="Calibri"/>
                <w:color w:val="1E293B"/>
                <w:sz w:val="19"/>
              </w:rPr>
              <w:t>537.30</w:t>
            </w:r>
          </w:p>
        </w:tc>
      </w:tr>
    </w:tbl>
    <w:p>
      <w:pPr>
        <w:spacing w:before="160" w:after="60"/>
        <w:jc w:val="center"/>
      </w:pPr>
      <w:r>
        <w:drawing>
          <wp:inline xmlns:a="http://schemas.openxmlformats.org/drawingml/2006/main" xmlns:pic="http://schemas.openxmlformats.org/drawingml/2006/picture">
            <wp:extent cx="5303520" cy="4124960"/>
            <wp:docPr id="12" name="Picture 12"/>
            <wp:cNvGraphicFramePr>
              <a:graphicFrameLocks noChangeAspect="1"/>
            </wp:cNvGraphicFramePr>
            <a:graphic>
              <a:graphicData uri="http://schemas.openxmlformats.org/drawingml/2006/picture">
                <pic:pic>
                  <pic:nvPicPr>
                    <pic:cNvPr id="0" name="final_feature_importance.png"/>
                    <pic:cNvPicPr/>
                  </pic:nvPicPr>
                  <pic:blipFill>
                    <a:blip r:embed="rId22"/>
                    <a:stretch>
                      <a:fillRect/>
                    </a:stretch>
                  </pic:blipFill>
                  <pic:spPr>
                    <a:xfrm>
                      <a:off x="0" y="0"/>
                      <a:ext cx="5303520" cy="4124960"/>
                    </a:xfrm>
                    <a:prstGeom prst="rect"/>
                  </pic:spPr>
                </pic:pic>
              </a:graphicData>
            </a:graphic>
          </wp:inline>
        </w:drawing>
      </w:r>
    </w:p>
    <w:p>
      <w:pPr>
        <w:spacing w:before="0" w:after="200"/>
        <w:jc w:val="center"/>
      </w:pPr>
      <w:r>
        <w:rPr>
          <w:rFonts w:ascii="Calibri" w:hAnsi="Calibri"/>
          <w:b/>
          <w:i/>
          <w:color w:val="1B365D"/>
          <w:sz w:val="19"/>
        </w:rPr>
        <w:t>Figure 12. Top 15 Feature Importance Breakdown in Final Tuned XGBoost Model</w:t>
      </w:r>
    </w:p>
    <w:p>
      <w:pPr>
        <w:keepNext/>
        <w:spacing w:before="280" w:after="80"/>
      </w:pPr>
      <w:r>
        <w:rPr>
          <w:rFonts w:ascii="Calibri" w:hAnsi="Calibri"/>
          <w:b/>
          <w:color w:val="1B365D"/>
          <w:sz w:val="26"/>
        </w:rPr>
        <w:t>12.3 Interpretation of Predictive Drivers</w:t>
      </w:r>
    </w:p>
    <w:p>
      <w:pPr>
        <w:spacing w:before="0" w:after="120" w:line="276" w:lineRule="auto"/>
      </w:pPr>
      <w:r>
        <w:rPr>
          <w:rFonts w:ascii="Calibri" w:hAnsi="Calibri"/>
          <w:color w:val="1E293B"/>
          <w:sz w:val="22"/>
        </w:rPr>
        <w:t>Importantly, feature importance signifies predictive utility within the mathematical decision trees—it does not establish direct causal mechanics. EngagementScore and SatisfactionIndex act as early behavioral sensors of underlying distress. MonthlyOvertimeHours reflects physical work exhaustion, while DistanceFromHome captures daily transit fatigue. Compensation metrics contribute to subtle split stratifications within job-tier sub-populations.</w:t>
      </w:r>
    </w:p>
    <w:p>
      <w:pPr>
        <w:keepNext/>
        <w:spacing w:before="360" w:after="120"/>
      </w:pPr>
      <w:r>
        <w:rPr>
          <w:rFonts w:ascii="Calibri" w:hAnsi="Calibri"/>
          <w:b/>
          <w:color w:val="1B365D"/>
          <w:sz w:val="32"/>
        </w:rPr>
        <w:t>13. Interactive Decision Support Dashboard</w:t>
      </w:r>
    </w:p>
    <w:p>
      <w:pPr>
        <w:keepNext/>
        <w:spacing w:before="280" w:after="80"/>
      </w:pPr>
      <w:r>
        <w:rPr>
          <w:rFonts w:ascii="Calibri" w:hAnsi="Calibri"/>
          <w:b/>
          <w:color w:val="1B365D"/>
          <w:sz w:val="26"/>
        </w:rPr>
        <w:t>13.1 Dashboard Architecture</w:t>
      </w:r>
    </w:p>
    <w:p>
      <w:pPr>
        <w:spacing w:before="0" w:after="120" w:line="276" w:lineRule="auto"/>
      </w:pPr>
      <w:r>
        <w:rPr>
          <w:rFonts w:ascii="Calibri" w:hAnsi="Calibri"/>
          <w:color w:val="1E293B"/>
          <w:sz w:val="22"/>
        </w:rPr>
        <w:t>To operationalize the predictive models for industrial plant leadership, an enterprise decision-support dashboard was developed using Python Streamlit (`streamlit_app.py`) and Plotly. The application utilizes a decoupled, three-tier architecture:</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40" w:type="dxa"/>
              <w:bottom w:w="140" w:type="dxa"/>
              <w:left w:w="200" w:type="dxa"/>
              <w:right w:w="180" w:type="dxa"/>
            </w:tcMar>
            <w:tcBorders>
              <w:left w:val="single" w:sz="24" w:space="0" w:color="1B365D"/>
              <w:top w:val="none"/>
              <w:bottom w:val="none"/>
              <w:right w:val="none"/>
            </w:tcBorders>
          </w:tcPr>
          <w:p>
            <w:pPr>
              <w:spacing w:before="0" w:after="40" w:line="276" w:lineRule="auto"/>
            </w:pPr>
            <w:r>
              <w:rPr>
                <w:rFonts w:ascii="Calibri" w:hAnsi="Calibri"/>
                <w:b/>
                <w:color w:val="1B365D"/>
                <w:sz w:val="21"/>
              </w:rPr>
              <w:t>Three-Tier Interactive Dashboard Architecture</w:t>
              <w:br/>
            </w:r>
            <w:r>
              <w:rPr>
                <w:rFonts w:ascii="Calibri" w:hAnsi="Calibri"/>
                <w:color w:val="1E293B"/>
                <w:sz w:val="20"/>
              </w:rPr>
              <w:t>1. Streamlit Front-End: Reactive, mobile-responsive web interface featuring 8 specialized analytical tabs, dynamic sliders, and interactive Plotly data visualizations.</w:t>
              <w:br/>
              <w:t>2. Python Controller Layer: In-memory vectorized threshold calculation engine operating on 9,999 precomputed test probabilities via NumPy (&lt;1 ms latency), alongside direct SQLite querying of the 50,000-record workforce database (`results/hr_attrition.db`).</w:t>
              <w:br/>
              <w:t>3. R Prediction Bridge Engine: Headless R script (`streamlit_dashboard/predict_employee.R`) invoked via subprocess that loads the exact trained R artifacts (`tuned_xgboost_model.rds`, `preprocessing_model.rds`, `dummy_encoding_model.rds`) to score individual custom employee profiles without retraining.</w:t>
            </w:r>
          </w:p>
        </w:tc>
      </w:tr>
    </w:tbl>
    <w:p>
      <w:pPr>
        <w:spacing w:after="80"/>
      </w:pPr>
    </w:p>
    <w:p>
      <w:pPr>
        <w:keepNext/>
        <w:spacing w:before="280" w:after="80"/>
      </w:pPr>
      <w:r>
        <w:rPr>
          <w:rFonts w:ascii="Calibri" w:hAnsi="Calibri"/>
          <w:b/>
          <w:color w:val="1B365D"/>
          <w:sz w:val="26"/>
        </w:rPr>
        <w:t>13.2 Functional Capabilities across 8 Modules</w:t>
      </w:r>
    </w:p>
    <w:p>
      <w:pPr>
        <w:pStyle w:val="ListBullet"/>
        <w:spacing w:before="0" w:after="60" w:line="276" w:lineRule="auto"/>
      </w:pPr>
      <w:r>
        <w:rPr>
          <w:rFonts w:ascii="Calibri" w:hAnsi="Calibri"/>
          <w:b/>
          <w:color w:val="1B365D"/>
        </w:rPr>
        <w:t xml:space="preserve">Tab 1: Executive Overview: </w:t>
      </w:r>
      <w:r>
        <w:rPr>
          <w:rFonts w:ascii="Calibri" w:hAnsi="Calibri"/>
          <w:color w:val="1E293B"/>
        </w:rPr>
        <w:t>Displays enterprise KPIs (50,000 workforce, 16.66% attrition rate), champion model status, and threshold rationale.</w:t>
      </w:r>
    </w:p>
    <w:p>
      <w:pPr>
        <w:pStyle w:val="ListBullet"/>
        <w:spacing w:before="0" w:after="60" w:line="276" w:lineRule="auto"/>
      </w:pPr>
      <w:r>
        <w:rPr>
          <w:rFonts w:ascii="Calibri" w:hAnsi="Calibri"/>
          <w:b/>
          <w:color w:val="1B365D"/>
        </w:rPr>
        <w:t xml:space="preserve">Tab 2: Model Comparison: </w:t>
      </w:r>
      <w:r>
        <w:rPr>
          <w:rFonts w:ascii="Calibri" w:hAnsi="Calibri"/>
          <w:color w:val="1E293B"/>
        </w:rPr>
        <w:t>Interactive benchmarks across all 10 baseline classifiers and 3 tuned tree ensembles.</w:t>
      </w:r>
    </w:p>
    <w:p>
      <w:pPr>
        <w:pStyle w:val="ListBullet"/>
        <w:spacing w:before="0" w:after="60" w:line="276" w:lineRule="auto"/>
      </w:pPr>
      <w:r>
        <w:rPr>
          <w:rFonts w:ascii="Calibri" w:hAnsi="Calibri"/>
          <w:b/>
          <w:color w:val="1B365D"/>
        </w:rPr>
        <w:t xml:space="preserve">Tab 3: Dynamic Threshold Analysis: </w:t>
      </w:r>
      <w:r>
        <w:rPr>
          <w:rFonts w:ascii="Calibri" w:hAnsi="Calibri"/>
          <w:color w:val="1E293B"/>
        </w:rPr>
        <w:t>Reactive threshold slider (T ∈ [0.10, 0.90]) with instant confusion matrix updates and trade-off curves.</w:t>
      </w:r>
    </w:p>
    <w:p>
      <w:pPr>
        <w:pStyle w:val="ListBullet"/>
        <w:spacing w:before="0" w:after="60" w:line="276" w:lineRule="auto"/>
      </w:pPr>
      <w:r>
        <w:rPr>
          <w:rFonts w:ascii="Calibri" w:hAnsi="Calibri"/>
          <w:b/>
          <w:color w:val="1B365D"/>
        </w:rPr>
        <w:t xml:space="preserve">Tab 4: Workforce Analytics: </w:t>
      </w:r>
      <w:r>
        <w:rPr>
          <w:rFonts w:ascii="Calibri" w:hAnsi="Calibri"/>
          <w:color w:val="1E293B"/>
        </w:rPr>
        <w:t>Multi-dimensional demographic segmentation across plants, departments, shifts, and overtime bands.</w:t>
      </w:r>
    </w:p>
    <w:p>
      <w:pPr>
        <w:pStyle w:val="ListBullet"/>
        <w:spacing w:before="0" w:after="60" w:line="276" w:lineRule="auto"/>
      </w:pPr>
      <w:r>
        <w:rPr>
          <w:rFonts w:ascii="Calibri" w:hAnsi="Calibri"/>
          <w:b/>
          <w:color w:val="1B365D"/>
        </w:rPr>
        <w:t xml:space="preserve">Tab 5: Employee Risk Calculator: </w:t>
      </w:r>
      <w:r>
        <w:rPr>
          <w:rFonts w:ascii="Calibri" w:hAnsi="Calibri"/>
          <w:color w:val="1E293B"/>
        </w:rPr>
        <w:t>Interactive scoring tool taking 16 employee inputs, calculating SatisfactionIndex, and returning real-time flight probability.</w:t>
      </w:r>
    </w:p>
    <w:p>
      <w:pPr>
        <w:pStyle w:val="ListBullet"/>
        <w:spacing w:before="0" w:after="60" w:line="276" w:lineRule="auto"/>
      </w:pPr>
      <w:r>
        <w:rPr>
          <w:rFonts w:ascii="Calibri" w:hAnsi="Calibri"/>
          <w:b/>
          <w:color w:val="1B365D"/>
        </w:rPr>
        <w:t xml:space="preserve">Tab 6: Feature Importance: </w:t>
      </w:r>
      <w:r>
        <w:rPr>
          <w:rFonts w:ascii="Calibri" w:hAnsi="Calibri"/>
          <w:color w:val="1E293B"/>
        </w:rPr>
        <w:t>Interactive breakdown of tree-split gains, cover, and frequency.</w:t>
      </w:r>
    </w:p>
    <w:p>
      <w:pPr>
        <w:pStyle w:val="ListBullet"/>
        <w:spacing w:before="0" w:after="60" w:line="276" w:lineRule="auto"/>
      </w:pPr>
      <w:r>
        <w:rPr>
          <w:rFonts w:ascii="Calibri" w:hAnsi="Calibri"/>
          <w:b/>
          <w:color w:val="1B365D"/>
        </w:rPr>
        <w:t xml:space="preserve">Tab 7: Confusion Matrix Diagnostics: </w:t>
      </w:r>
      <w:r>
        <w:rPr>
          <w:rFonts w:ascii="Calibri" w:hAnsi="Calibri"/>
          <w:color w:val="1E293B"/>
        </w:rPr>
        <w:t>Visual confusion matrix analysis, sensitivity-specificity trade-offs, and cost curves.</w:t>
      </w:r>
    </w:p>
    <w:p>
      <w:pPr>
        <w:pStyle w:val="ListBullet"/>
        <w:spacing w:before="0" w:after="60" w:line="276" w:lineRule="auto"/>
      </w:pPr>
      <w:r>
        <w:rPr>
          <w:rFonts w:ascii="Calibri" w:hAnsi="Calibri"/>
          <w:b/>
          <w:color w:val="1B365D"/>
        </w:rPr>
        <w:t xml:space="preserve">Tab 8: Business Insights &amp; Strategic Prescriptions: </w:t>
      </w:r>
      <w:r>
        <w:rPr>
          <w:rFonts w:ascii="Calibri" w:hAnsi="Calibri"/>
          <w:color w:val="1E293B"/>
        </w:rPr>
        <w:t>Empirical synthesis of organizational risk drivers and executive intervention policies.</w:t>
      </w:r>
    </w:p>
    <w:p>
      <w:pPr>
        <w:keepNext/>
        <w:spacing w:before="280" w:after="80"/>
      </w:pPr>
      <w:r>
        <w:rPr>
          <w:rFonts w:ascii="Calibri" w:hAnsi="Calibri"/>
          <w:b/>
          <w:color w:val="1B365D"/>
          <w:sz w:val="26"/>
        </w:rPr>
        <w:t>13.3 Real-Time R Inference Bridge Execution</w:t>
      </w:r>
    </w:p>
    <w:p>
      <w:pPr>
        <w:spacing w:before="0" w:after="120" w:line="276" w:lineRule="auto"/>
      </w:pPr>
      <w:r>
        <w:rPr>
          <w:rFonts w:ascii="Calibri" w:hAnsi="Calibri"/>
          <w:color w:val="1E293B"/>
          <w:sz w:val="22"/>
        </w:rPr>
        <w:t>To ensure 100% mathematical fidelity to the validated R pipeline, Python serializes employee profile parameters into a JSON payload and passes it to `predict_employee.R`. The script computes `SatisfactionIndex`, aligns categorical levels with `train_data.rds`, applies center-scale transformations, scores the record via `tuned_xgboost_model.rds`, and returns the exact calibrated probability in under 0.8 seconds.</w:t>
      </w:r>
    </w:p>
    <w:p>
      <w:r>
        <w:br w:type="page"/>
      </w:r>
    </w:p>
    <w:p>
      <w:pPr>
        <w:keepNext/>
        <w:spacing w:before="360" w:after="120"/>
      </w:pPr>
      <w:r>
        <w:rPr>
          <w:rFonts w:ascii="Calibri" w:hAnsi="Calibri"/>
          <w:b/>
          <w:color w:val="1B365D"/>
          <w:sz w:val="32"/>
        </w:rPr>
        <w:t>14. Result Interpretation and Business Insights</w:t>
      </w:r>
    </w:p>
    <w:p>
      <w:pPr>
        <w:keepNext/>
        <w:spacing w:before="280" w:after="80"/>
      </w:pPr>
      <w:r>
        <w:rPr>
          <w:rFonts w:ascii="Calibri" w:hAnsi="Calibri"/>
          <w:b/>
          <w:color w:val="1B365D"/>
          <w:sz w:val="26"/>
        </w:rPr>
        <w:t>14.1 Major Findings</w:t>
      </w:r>
    </w:p>
    <w:p>
      <w:pPr>
        <w:spacing w:before="0" w:after="120" w:line="276" w:lineRule="auto"/>
      </w:pPr>
      <w:r>
        <w:rPr>
          <w:rFonts w:ascii="Calibri" w:hAnsi="Calibri"/>
          <w:color w:val="1E293B"/>
          <w:sz w:val="22"/>
        </w:rPr>
        <w:t>The empirical findings demonstrate that industrial workforce attrition is heavily governed by workplace friction points rather than compensation disparities. Front-line operators experiencing compounding overtime and long commutes represent over 65% of all voluntary departures.</w:t>
      </w:r>
    </w:p>
    <w:p>
      <w:pPr>
        <w:keepNext/>
        <w:spacing w:before="280" w:after="80"/>
      </w:pPr>
      <w:r>
        <w:rPr>
          <w:rFonts w:ascii="Calibri" w:hAnsi="Calibri"/>
          <w:b/>
          <w:color w:val="1B365D"/>
          <w:sz w:val="26"/>
        </w:rPr>
        <w:t>14.2 Workforce Risk Factors</w:t>
      </w:r>
    </w:p>
    <w:p>
      <w:pPr>
        <w:pStyle w:val="ListBullet"/>
        <w:spacing w:before="0" w:after="60" w:line="276" w:lineRule="auto"/>
      </w:pPr>
      <w:r>
        <w:rPr>
          <w:rFonts w:ascii="Calibri" w:hAnsi="Calibri"/>
          <w:b/>
          <w:color w:val="1B365D"/>
        </w:rPr>
        <w:t xml:space="preserve">Overtime Burnout Inflection: </w:t>
      </w:r>
      <w:r>
        <w:rPr>
          <w:rFonts w:ascii="Calibri" w:hAnsi="Calibri"/>
          <w:color w:val="1E293B"/>
        </w:rPr>
        <w:t>Logging over 28 overtime hours/month creates a steep risk inflection.</w:t>
      </w:r>
    </w:p>
    <w:p>
      <w:pPr>
        <w:pStyle w:val="ListBullet"/>
        <w:spacing w:before="0" w:after="60" w:line="276" w:lineRule="auto"/>
      </w:pPr>
      <w:r>
        <w:rPr>
          <w:rFonts w:ascii="Calibri" w:hAnsi="Calibri"/>
          <w:b/>
          <w:color w:val="1B365D"/>
        </w:rPr>
        <w:t xml:space="preserve">Commute Distance Fatigue: </w:t>
      </w:r>
      <w:r>
        <w:rPr>
          <w:rFonts w:ascii="Calibri" w:hAnsi="Calibri"/>
          <w:color w:val="1E293B"/>
        </w:rPr>
        <w:t>Workers commuting &gt;30 km exhibit 2.4x higher turnover propensity.</w:t>
      </w:r>
    </w:p>
    <w:p>
      <w:pPr>
        <w:pStyle w:val="ListBullet"/>
        <w:spacing w:before="0" w:after="60" w:line="276" w:lineRule="auto"/>
      </w:pPr>
      <w:r>
        <w:rPr>
          <w:rFonts w:ascii="Calibri" w:hAnsi="Calibri"/>
          <w:b/>
          <w:color w:val="1B365D"/>
        </w:rPr>
        <w:t xml:space="preserve">Psychometric Disengagement: </w:t>
      </w:r>
      <w:r>
        <w:rPr>
          <w:rFonts w:ascii="Calibri" w:hAnsi="Calibri"/>
          <w:color w:val="1E293B"/>
        </w:rPr>
        <w:t>Engagement scores dropping below 60.0 signal impending resignation within 60–90 days.</w:t>
      </w:r>
    </w:p>
    <w:p>
      <w:pPr>
        <w:keepNext/>
        <w:spacing w:before="280" w:after="80"/>
      </w:pPr>
      <w:r>
        <w:rPr>
          <w:rFonts w:ascii="Calibri" w:hAnsi="Calibri"/>
          <w:b/>
          <w:color w:val="1B365D"/>
          <w:sz w:val="26"/>
        </w:rPr>
        <w:t>14.3 Practical HR Applications &amp; 4 Operational Pillars</w:t>
      </w:r>
    </w:p>
    <w:p>
      <w:pPr>
        <w:spacing w:before="0" w:after="120" w:line="276" w:lineRule="auto"/>
      </w:pPr>
      <w:r>
        <w:rPr>
          <w:rFonts w:ascii="Calibri" w:hAnsi="Calibri"/>
          <w:color w:val="1E293B"/>
          <w:sz w:val="22"/>
        </w:rPr>
        <w:t>To translate predictive scores into operational impact, four evidence-based HR pillars are established:</w:t>
      </w:r>
    </w:p>
    <w:tbl>
      <w:tblPr>
        <w:tblW w:type="auto" w:w="0"/>
        <w:jc w:val="center"/>
        <w:tblLayout w:type="fixed"/>
        <w:tblLook w:firstColumn="1" w:firstRow="1" w:lastColumn="0" w:lastRow="0" w:noHBand="0" w:noVBand="1" w:val="04A0"/>
      </w:tblPr>
      <w:tblGrid>
        <w:gridCol w:w="9360"/>
      </w:tblGrid>
      <w:tr>
        <w:tc>
          <w:tcPr>
            <w:tcW w:type="dxa" w:w="9360"/>
            <w:shd w:val="clear" w:color="auto" w:fill="F0FDF4"/>
            <w:tcMar>
              <w:top w:w="140" w:type="dxa"/>
              <w:bottom w:w="140" w:type="dxa"/>
              <w:left w:w="200" w:type="dxa"/>
              <w:right w:w="180" w:type="dxa"/>
            </w:tcMar>
            <w:tcBorders>
              <w:left w:val="single" w:sz="24" w:space="0" w:color="16A34A"/>
              <w:top w:val="none"/>
              <w:bottom w:val="none"/>
              <w:right w:val="none"/>
            </w:tcBorders>
          </w:tcPr>
          <w:p>
            <w:pPr>
              <w:spacing w:before="0" w:after="40" w:line="276" w:lineRule="auto"/>
            </w:pPr>
            <w:r>
              <w:rPr>
                <w:rFonts w:ascii="Calibri" w:hAnsi="Calibri"/>
                <w:b/>
                <w:color w:val="1B365D"/>
                <w:sz w:val="21"/>
              </w:rPr>
              <w:t>Four Strategic HR Action Pillars</w:t>
              <w:br/>
            </w:r>
            <w:r>
              <w:rPr>
                <w:rFonts w:ascii="Calibri" w:hAnsi="Calibri"/>
                <w:color w:val="1E293B"/>
                <w:sz w:val="20"/>
              </w:rPr>
              <w:t>• Pillar 1: Overtime Capping Governance — Mandate hard monthly overtime caps at 28 hours in high-attrition units (Assembly A, Logistics) and rotate auxiliary workloads to relief operator pools.</w:t>
              <w:br/>
              <w:t>• Pillar 2: Industrial Transit Routing — Establish subsidized, plant-chartered shuttle routes connecting suburban hubs to Bawal and Pune manufacturing facilities to alleviate daily commute fatigue.</w:t>
              <w:br/>
              <w:t>• Pillar 3: Front-Line Supervisory Coaching — Introduce structured bi-weekly 1-on-1 development check-ins for technicians displaying engagement scores below 60.0 to resolve shop-floor friction.</w:t>
              <w:br/>
              <w:t>• Pillar 4: Predictive Decision-Support Integration — Embed the Streamlit risk calculator into bi-monthly HR operational reviews to identify and engage flight-risk operators before resignations occur.</w:t>
            </w:r>
          </w:p>
        </w:tc>
      </w:tr>
    </w:tbl>
    <w:p>
      <w:pPr>
        <w:spacing w:after="80"/>
      </w:pPr>
    </w:p>
    <w:p>
      <w:pPr>
        <w:keepNext/>
        <w:spacing w:before="280" w:after="80"/>
      </w:pPr>
      <w:r>
        <w:rPr>
          <w:rFonts w:ascii="Calibri" w:hAnsi="Calibri"/>
          <w:b/>
          <w:color w:val="1B365D"/>
          <w:sz w:val="26"/>
        </w:rPr>
        <w:t>14.4 Responsible Use of Predictions</w:t>
      </w:r>
    </w:p>
    <w:p>
      <w:pPr>
        <w:spacing w:before="0" w:after="120" w:line="276" w:lineRule="auto"/>
      </w:pPr>
      <w:r>
        <w:rPr>
          <w:rFonts w:ascii="Calibri" w:hAnsi="Calibri"/>
          <w:color w:val="1E293B"/>
          <w:sz w:val="22"/>
        </w:rPr>
        <w:t>All algorithmic predictions must remain advisory. Model outputs should serve exclusively as an early-warning trigger for supportive organizational interventions—such as workload rebalancing and mentorship—rather than punitive or automated employment actions.</w:t>
      </w:r>
    </w:p>
    <w:p>
      <w:pPr>
        <w:keepNext/>
        <w:spacing w:before="360" w:after="120"/>
      </w:pPr>
      <w:r>
        <w:rPr>
          <w:rFonts w:ascii="Calibri" w:hAnsi="Calibri"/>
          <w:b/>
          <w:color w:val="1B365D"/>
          <w:sz w:val="32"/>
        </w:rPr>
        <w:t>15. Limitations</w:t>
      </w:r>
    </w:p>
    <w:p>
      <w:pPr>
        <w:spacing w:before="0" w:after="120" w:line="276" w:lineRule="auto"/>
      </w:pPr>
      <w:r>
        <w:rPr>
          <w:rFonts w:ascii="Calibri" w:hAnsi="Calibri"/>
          <w:color w:val="1E293B"/>
          <w:sz w:val="22"/>
        </w:rPr>
        <w:t>To maintain rigorous technical transparency, several inherent limitations must be acknowledged:</w:t>
      </w:r>
    </w:p>
    <w:p>
      <w:pPr>
        <w:pStyle w:val="ListBullet"/>
        <w:spacing w:before="0" w:after="60" w:line="276" w:lineRule="auto"/>
      </w:pPr>
      <w:r>
        <w:rPr>
          <w:rFonts w:ascii="Calibri" w:hAnsi="Calibri"/>
          <w:b/>
          <w:color w:val="1B365D"/>
        </w:rPr>
        <w:t xml:space="preserve">1. Decision-Support Boundary: </w:t>
      </w:r>
      <w:r>
        <w:rPr>
          <w:rFonts w:ascii="Calibri" w:hAnsi="Calibri"/>
          <w:color w:val="1E293B"/>
        </w:rPr>
        <w:t>The system is an advisory tool. It does not replace human judgment, managerial empathy, or qualitative context.</w:t>
      </w:r>
    </w:p>
    <w:p>
      <w:pPr>
        <w:pStyle w:val="ListBullet"/>
        <w:spacing w:before="0" w:after="60" w:line="276" w:lineRule="auto"/>
      </w:pPr>
      <w:r>
        <w:rPr>
          <w:rFonts w:ascii="Calibri" w:hAnsi="Calibri"/>
          <w:b/>
          <w:color w:val="1B365D"/>
        </w:rPr>
        <w:t xml:space="preserve">2. Sector Specificity: </w:t>
      </w:r>
      <w:r>
        <w:rPr>
          <w:rFonts w:ascii="Calibri" w:hAnsi="Calibri"/>
          <w:color w:val="1E293B"/>
        </w:rPr>
        <w:t>The dataset reflects an automotive manufacturing workforce. Findings cannot be assumed to generalize directly to technology, retail, or healthcare sectors.</w:t>
      </w:r>
    </w:p>
    <w:p>
      <w:pPr>
        <w:pStyle w:val="ListBullet"/>
        <w:spacing w:before="0" w:after="60" w:line="276" w:lineRule="auto"/>
      </w:pPr>
      <w:r>
        <w:rPr>
          <w:rFonts w:ascii="Calibri" w:hAnsi="Calibri"/>
          <w:b/>
          <w:color w:val="1B365D"/>
        </w:rPr>
        <w:t xml:space="preserve">3. Class Imbalance Constraint: </w:t>
      </w:r>
      <w:r>
        <w:rPr>
          <w:rFonts w:ascii="Calibri" w:hAnsi="Calibri"/>
          <w:color w:val="1E293B"/>
        </w:rPr>
        <w:t>Despite threshold calibration, predicting a 16.66% minority class inherently entails a trade-off between sensitivity and precision.</w:t>
      </w:r>
    </w:p>
    <w:p>
      <w:pPr>
        <w:pStyle w:val="ListBullet"/>
        <w:spacing w:before="0" w:after="60" w:line="276" w:lineRule="auto"/>
      </w:pPr>
      <w:r>
        <w:rPr>
          <w:rFonts w:ascii="Calibri" w:hAnsi="Calibri"/>
          <w:b/>
          <w:color w:val="1B365D"/>
        </w:rPr>
        <w:t xml:space="preserve">4. Prohibition on Adverse Action: </w:t>
      </w:r>
      <w:r>
        <w:rPr>
          <w:rFonts w:ascii="Calibri" w:hAnsi="Calibri"/>
          <w:color w:val="1E293B"/>
        </w:rPr>
        <w:t>Predictions must never serve as the sole or primary basis for termination, demotion, or compensation adjustments.</w:t>
      </w:r>
    </w:p>
    <w:p>
      <w:pPr>
        <w:pStyle w:val="ListBullet"/>
        <w:spacing w:before="0" w:after="60" w:line="276" w:lineRule="auto"/>
      </w:pPr>
      <w:r>
        <w:rPr>
          <w:rFonts w:ascii="Calibri" w:hAnsi="Calibri"/>
          <w:b/>
          <w:color w:val="1B365D"/>
        </w:rPr>
        <w:t xml:space="preserve">5. Local Recalibration Requirement: </w:t>
      </w:r>
      <w:r>
        <w:rPr>
          <w:rFonts w:ascii="Calibri" w:hAnsi="Calibri"/>
          <w:color w:val="1E293B"/>
        </w:rPr>
        <w:t>Transferring this pipeline to other facilities requires local parameter re-estimation and threshold validation.</w:t>
      </w:r>
    </w:p>
    <w:p>
      <w:pPr>
        <w:keepNext/>
        <w:spacing w:before="360" w:after="120"/>
      </w:pPr>
      <w:r>
        <w:rPr>
          <w:rFonts w:ascii="Calibri" w:hAnsi="Calibri"/>
          <w:b/>
          <w:color w:val="1B365D"/>
          <w:sz w:val="32"/>
        </w:rPr>
        <w:t>16. Future Scope</w:t>
      </w:r>
    </w:p>
    <w:p>
      <w:pPr>
        <w:spacing w:before="0" w:after="120" w:line="276" w:lineRule="auto"/>
      </w:pPr>
      <w:r>
        <w:rPr>
          <w:rFonts w:ascii="Calibri" w:hAnsi="Calibri"/>
          <w:color w:val="1E293B"/>
          <w:sz w:val="22"/>
        </w:rPr>
        <w:t>Several technically realistic avenues exist for extending and hardening this architecture:</w:t>
      </w:r>
    </w:p>
    <w:p>
      <w:pPr>
        <w:pStyle w:val="ListBullet"/>
        <w:spacing w:before="0" w:after="60" w:line="276" w:lineRule="auto"/>
      </w:pPr>
      <w:r>
        <w:rPr>
          <w:rFonts w:ascii="Calibri" w:hAnsi="Calibri"/>
          <w:b/>
          <w:color w:val="1B365D"/>
        </w:rPr>
        <w:t xml:space="preserve">1. External Multi-Industry Validation: </w:t>
      </w:r>
      <w:r>
        <w:rPr>
          <w:rFonts w:ascii="Calibri" w:hAnsi="Calibri"/>
          <w:color w:val="1E293B"/>
        </w:rPr>
        <w:t>Validate the pipeline on diverse longitudinal datasets across logistics, heavy engineering, and electronics manufacturing.</w:t>
      </w:r>
    </w:p>
    <w:p>
      <w:pPr>
        <w:pStyle w:val="ListBullet"/>
        <w:spacing w:before="0" w:after="60" w:line="276" w:lineRule="auto"/>
      </w:pPr>
      <w:r>
        <w:rPr>
          <w:rFonts w:ascii="Calibri" w:hAnsi="Calibri"/>
          <w:b/>
          <w:color w:val="1B365D"/>
        </w:rPr>
        <w:t xml:space="preserve">2. Probability Calibration: </w:t>
      </w:r>
      <w:r>
        <w:rPr>
          <w:rFonts w:ascii="Calibri" w:hAnsi="Calibri"/>
          <w:color w:val="1E293B"/>
        </w:rPr>
        <w:t>Implement Platt Scaling or Isotonic Regression to ensure predicted probabilities match empirical observation frequencies.</w:t>
      </w:r>
    </w:p>
    <w:p>
      <w:pPr>
        <w:pStyle w:val="ListBullet"/>
        <w:spacing w:before="0" w:after="60" w:line="276" w:lineRule="auto"/>
      </w:pPr>
      <w:r>
        <w:rPr>
          <w:rFonts w:ascii="Calibri" w:hAnsi="Calibri"/>
          <w:b/>
          <w:color w:val="1B365D"/>
        </w:rPr>
        <w:t xml:space="preserve">3. Explainable AI (XAI) Integration: </w:t>
      </w:r>
      <w:r>
        <w:rPr>
          <w:rFonts w:ascii="Calibri" w:hAnsi="Calibri"/>
          <w:color w:val="1E293B"/>
        </w:rPr>
        <w:t>Embed SHAP (Shapley Additive exPlanations) directly into the Streamlit dashboard to generate individual force plots.</w:t>
      </w:r>
    </w:p>
    <w:p>
      <w:pPr>
        <w:pStyle w:val="ListBullet"/>
        <w:spacing w:before="0" w:after="60" w:line="276" w:lineRule="auto"/>
      </w:pPr>
      <w:r>
        <w:rPr>
          <w:rFonts w:ascii="Calibri" w:hAnsi="Calibri"/>
          <w:b/>
          <w:color w:val="1B365D"/>
        </w:rPr>
        <w:t xml:space="preserve">4. Fairness and Demographic Parity Auditing: </w:t>
      </w:r>
      <w:r>
        <w:rPr>
          <w:rFonts w:ascii="Calibri" w:hAnsi="Calibri"/>
          <w:color w:val="1E293B"/>
        </w:rPr>
        <w:t>Incorporate algorithmic fairness toolkits (Fairlearn, AIF360) to verify demographic parity across age and shift tiers.</w:t>
      </w:r>
    </w:p>
    <w:p>
      <w:pPr>
        <w:pStyle w:val="ListBullet"/>
        <w:spacing w:before="0" w:after="60" w:line="276" w:lineRule="auto"/>
      </w:pPr>
      <w:r>
        <w:rPr>
          <w:rFonts w:ascii="Calibri" w:hAnsi="Calibri"/>
          <w:b/>
          <w:color w:val="1B365D"/>
        </w:rPr>
        <w:t xml:space="preserve">5. Concept Drift Monitoring: </w:t>
      </w:r>
      <w:r>
        <w:rPr>
          <w:rFonts w:ascii="Calibri" w:hAnsi="Calibri"/>
          <w:color w:val="1E293B"/>
        </w:rPr>
        <w:t>Deploy automated Population Stability Index (PSI) monitors to detect macroeconomic and seasonal drift.</w:t>
      </w:r>
    </w:p>
    <w:p>
      <w:pPr>
        <w:pStyle w:val="ListBullet"/>
        <w:spacing w:before="0" w:after="60" w:line="276" w:lineRule="auto"/>
      </w:pPr>
      <w:r>
        <w:rPr>
          <w:rFonts w:ascii="Calibri" w:hAnsi="Calibri"/>
          <w:b/>
          <w:color w:val="1B365D"/>
        </w:rPr>
        <w:t xml:space="preserve">6. Enterprise HRIS Integration: </w:t>
      </w:r>
      <w:r>
        <w:rPr>
          <w:rFonts w:ascii="Calibri" w:hAnsi="Calibri"/>
          <w:color w:val="1E293B"/>
        </w:rPr>
        <w:t>Build secure REST API connectors for SAP SuccessFactors, Workday, and Oracle HCM.</w:t>
      </w:r>
    </w:p>
    <w:p>
      <w:r>
        <w:br w:type="page"/>
      </w:r>
    </w:p>
    <w:p>
      <w:pPr>
        <w:keepNext/>
        <w:spacing w:before="360" w:after="120"/>
      </w:pPr>
      <w:r>
        <w:rPr>
          <w:rFonts w:ascii="Calibri" w:hAnsi="Calibri"/>
          <w:b/>
          <w:color w:val="1B365D"/>
          <w:sz w:val="32"/>
        </w:rPr>
        <w:t>17. Conclusion</w:t>
      </w:r>
    </w:p>
    <w:p>
      <w:pPr>
        <w:spacing w:before="0" w:after="120" w:line="276" w:lineRule="auto"/>
      </w:pPr>
      <w:r>
        <w:rPr>
          <w:rFonts w:ascii="Calibri" w:hAnsi="Calibri"/>
          <w:color w:val="1E293B"/>
          <w:sz w:val="22"/>
        </w:rPr>
        <w:t>This project delivers a comprehensive, end-to-end data science solution to the challenge of voluntary employee attrition in multi-facility industrial manufacturing. Operating on an enterprise dataset of 50,000 workforce records, the project executed exhaustive data auditing, engineered domain-specific indicators, validated empirical cohort differences through non-parametric hypothesis testing, and systematically benchmarked 10 diverse supervised algorithms.</w:t>
      </w:r>
    </w:p>
    <w:p>
      <w:pPr>
        <w:spacing w:before="0" w:after="120" w:line="276" w:lineRule="auto"/>
      </w:pPr>
      <w:r>
        <w:rPr>
          <w:rFonts w:ascii="Calibri" w:hAnsi="Calibri"/>
          <w:color w:val="1E293B"/>
          <w:sz w:val="22"/>
        </w:rPr>
        <w:t>By confronting the Accuracy Paradox through rigorous threshold optimization, the project demonstrated that calibrating the decision boundary from 0.50 to 0.20 elevates leaver detection from 1.38% to 51.62% while preserving 72.70% specificity. Tuned XGBoost was selected as the operational champion model, achieving an F1-Score of 0.3583 and an ROC-AUC of 0.6716. Deployed within an interactive 8-module Python Streamlit dashboard connected to a native R prediction bridge, this system provides plant leadership with a scalable, evidence-based platform to protect institutional talent while upholding the highest standards of responsible algorithmic governance.</w:t>
      </w:r>
    </w:p>
    <w:p>
      <w:pPr>
        <w:keepNext/>
        <w:spacing w:before="360" w:after="120"/>
      </w:pPr>
      <w:r>
        <w:rPr>
          <w:rFonts w:ascii="Calibri" w:hAnsi="Calibri"/>
          <w:b/>
          <w:color w:val="1B365D"/>
          <w:sz w:val="32"/>
        </w:rPr>
        <w:t>18. Project Organization</w:t>
      </w:r>
    </w:p>
    <w:p>
      <w:pPr>
        <w:spacing w:before="0" w:after="120" w:line="276" w:lineRule="auto"/>
      </w:pPr>
      <w:r>
        <w:rPr>
          <w:rFonts w:ascii="Calibri" w:hAnsi="Calibri"/>
          <w:color w:val="1E293B"/>
          <w:sz w:val="22"/>
        </w:rPr>
        <w:t>The project is structured according to modular software engineering and reproducible data science standards:</w:t>
      </w:r>
    </w:p>
    <w:p>
      <w:pPr>
        <w:spacing w:before="120" w:after="240" w:line="252" w:lineRule="auto"/>
      </w:pPr>
      <w:r>
        <w:rPr>
          <w:rFonts w:ascii="Consolas" w:hAnsi="Consolas"/>
          <w:color w:val="1E293B"/>
          <w:sz w:val="17"/>
        </w:rPr>
        <w:t>employee-attrition-rate/</w:t>
        <w:br/>
        <w:t>├── data/</w:t>
        <w:br/>
        <w:t>│   ├── Uno_Minda_Multi_Plant_HR_Data_50000.xlsx          (Raw enterprise dataset)</w:t>
        <w:br/>
        <w:t>│   ├── Uno_Minda_Multi_Plant_HR_Data_50000_Realistic.xlsx(Realistic benchmark dataset)</w:t>
        <w:br/>
        <w:t>│   └── README.md                                         (Data dictionary and sourcing)</w:t>
        <w:br/>
        <w:t>├── docs/</w:t>
        <w:br/>
        <w:t>│   ├── DA1_Report_Formatted.docx                         (Exploratory analysis report)</w:t>
        <w:br/>
        <w:t>│   ├── DA2_Final_Report.docx                             (Machine learning report)</w:t>
        <w:br/>
        <w:t>│   ├── DA3_Dashboard_Documentation.md                    (Technical dashboard documentation)</w:t>
        <w:br/>
        <w:t>│   └── DA3_Final_Project_Report.docx                     (Consolidated final project report)</w:t>
        <w:br/>
        <w:t>├── presentation/</w:t>
        <w:br/>
        <w:t>│   ├── DA1_Presentation.pptx                             (Phase 1 technical presentation)</w:t>
        <w:br/>
        <w:t>│   ├── DA2_Final_Presentation.pptx                       (Phase 2 machine learning presentation)</w:t>
        <w:br/>
        <w:t>│   └── DA3_Final_Presentation.pptx                       (Final consolidated executive presentation)</w:t>
        <w:br/>
        <w:t>├── R/</w:t>
        <w:br/>
        <w:t>│   ├── 01_data_import_check.R through 12_final_model_analysis.R (End-to-end analytical pipeline)</w:t>
        <w:br/>
        <w:t>├── results/</w:t>
        <w:br/>
        <w:t>│   ├── hr_attrition.db                                   (SQLite production database)</w:t>
        <w:br/>
        <w:t>│   ├── tuned_xgboost_model.rds                           (Trained R champion model)</w:t>
        <w:br/>
        <w:t>│   ├── preprocessing_model.rds                           (Caret normalization pipeline)</w:t>
        <w:br/>
        <w:t>│   ├── dummy_encoding_model.rds                          (Caret one-hot encoder)</w:t>
        <w:br/>
        <w:t>│   ├── test_data.rds / train_data.rds                    (Stratified partitions)</w:t>
        <w:br/>
        <w:t>│   └── *.csv / *.png                                     (Validated empirical tables &amp; figures)</w:t>
        <w:br/>
        <w:t>├── streamlit_dashboard/</w:t>
        <w:br/>
        <w:t>│   ├── model_utils.py                                    (NumPy vectorization &amp; metrics)</w:t>
        <w:br/>
        <w:t>│   ├── utils.py                                          (SQLite query &amp; recommendation engine)</w:t>
        <w:br/>
        <w:t>│   ├── predict_employee.R                                (R headless inference bridge)</w:t>
        <w:br/>
        <w:t>│   ├── test_predictions.csv                              (9,999 holdout predictions)</w:t>
        <w:br/>
        <w:t>│   ├── requirements.txt                                  (Python dependencies)</w:t>
        <w:br/>
        <w:t>│   └── README.md                                         (Dashboard execution guide)</w:t>
        <w:br/>
        <w:t>├── streamlit_app.py                                      (Main 8-tab Streamlit dashboard)</w:t>
        <w:br/>
        <w:t>├── README.md                                             (Repository overview &amp; quickstart)</w:t>
        <w:br/>
        <w:t>└── .gitignore                                            (Version control exclusions)</w:t>
        <w:br/>
      </w:r>
    </w:p>
    <w:p>
      <w:pPr>
        <w:keepNext/>
        <w:spacing w:before="360" w:after="120"/>
      </w:pPr>
      <w:r>
        <w:rPr>
          <w:rFonts w:ascii="Calibri" w:hAnsi="Calibri"/>
          <w:b/>
          <w:color w:val="1B365D"/>
          <w:sz w:val="32"/>
        </w:rPr>
        <w:t>References</w:t>
      </w:r>
    </w:p>
    <w:p>
      <w:pPr>
        <w:spacing w:before="40" w:after="80"/>
        <w:ind w:left="576" w:hanging="576"/>
      </w:pPr>
      <w:r>
        <w:rPr>
          <w:rFonts w:ascii="Calibri" w:hAnsi="Calibri"/>
          <w:color w:val="1E293B"/>
          <w:sz w:val="19"/>
        </w:rPr>
        <w:t>Breiman, L. (2001). Random Forests. Machine Learning, 45(1), 5–32. https://doi.org/10.1023/A:1010933404324</w:t>
      </w:r>
    </w:p>
    <w:p>
      <w:pPr>
        <w:spacing w:before="40" w:after="80"/>
        <w:ind w:left="576" w:hanging="576"/>
      </w:pPr>
      <w:r>
        <w:rPr>
          <w:rFonts w:ascii="Calibri" w:hAnsi="Calibri"/>
          <w:color w:val="1E293B"/>
          <w:sz w:val="19"/>
        </w:rPr>
        <w:t>Chen, T., &amp; Guestrin, C. (2016). XGBoost: A Scalable Tree Boosting System. In Proceedings of the 22nd ACM SIGKDD International Conference on Knowledge Discovery and Data Mining (pp. 785–794). https://doi.org/10.1145/2939672.2939785</w:t>
      </w:r>
    </w:p>
    <w:p>
      <w:pPr>
        <w:spacing w:before="40" w:after="80"/>
        <w:ind w:left="576" w:hanging="576"/>
      </w:pPr>
      <w:r>
        <w:rPr>
          <w:rFonts w:ascii="Calibri" w:hAnsi="Calibri"/>
          <w:color w:val="1E293B"/>
          <w:sz w:val="19"/>
        </w:rPr>
        <w:t>Friedman, J. H. (2001). Greedy Function Approximation: A Gradient Boosting Machine. Annals of Statistics, 29(5), 1189–1232.</w:t>
      </w:r>
    </w:p>
    <w:p>
      <w:pPr>
        <w:spacing w:before="40" w:after="80"/>
        <w:ind w:left="576" w:hanging="576"/>
      </w:pPr>
      <w:r>
        <w:rPr>
          <w:rFonts w:ascii="Calibri" w:hAnsi="Calibri"/>
          <w:color w:val="1E293B"/>
          <w:sz w:val="19"/>
        </w:rPr>
        <w:t>Guerranti, F., &amp; Dimitri, G. M. (2023). A Comparison of Machine Learning Approaches for Predicting Employee Attrition. IEEE Access, 11, 45120–45132.</w:t>
      </w:r>
    </w:p>
    <w:p>
      <w:pPr>
        <w:spacing w:before="40" w:after="80"/>
        <w:ind w:left="576" w:hanging="576"/>
      </w:pPr>
      <w:r>
        <w:rPr>
          <w:rFonts w:ascii="Calibri" w:hAnsi="Calibri"/>
          <w:color w:val="1E293B"/>
          <w:sz w:val="19"/>
        </w:rPr>
        <w:t>Kuhn, M. (2008). Building Predictive Models in R Using the caret Package. Journal of Statistical Software, 28(5), 1–26.</w:t>
      </w:r>
    </w:p>
    <w:p>
      <w:pPr>
        <w:spacing w:before="40" w:after="80"/>
        <w:ind w:left="576" w:hanging="576"/>
      </w:pPr>
      <w:r>
        <w:rPr>
          <w:rFonts w:ascii="Calibri" w:hAnsi="Calibri"/>
          <w:color w:val="1E293B"/>
          <w:sz w:val="19"/>
        </w:rPr>
        <w:t>Li, W. (2023). A Transformer-Based Deep Learning Framework to Predict Employee Attrition. PeerJ Computer Science, 9, e1458.</w:t>
      </w:r>
    </w:p>
    <w:p>
      <w:pPr>
        <w:spacing w:before="40" w:after="80"/>
        <w:ind w:left="576" w:hanging="576"/>
      </w:pPr>
      <w:r>
        <w:rPr>
          <w:rFonts w:ascii="Calibri" w:hAnsi="Calibri"/>
          <w:color w:val="1E293B"/>
          <w:sz w:val="19"/>
        </w:rPr>
        <w:t>Nawaz, M. S., Nawaz, M. Z., Fournier-Viger, P., &amp; Luna, J. M. (2024). Analysis and Classification of Employee Attrition and Absenteeism in Industry: A Sequential Pattern Mining-Based Methodology. Computers in Industry, 159, 104106.</w:t>
      </w:r>
    </w:p>
    <w:p>
      <w:pPr>
        <w:spacing w:before="40" w:after="80"/>
        <w:ind w:left="576" w:hanging="576"/>
      </w:pPr>
      <w:r>
        <w:rPr>
          <w:rFonts w:ascii="Calibri" w:hAnsi="Calibri"/>
          <w:color w:val="1E293B"/>
          <w:sz w:val="19"/>
        </w:rPr>
        <w:t>Raza, A., Munir, K., Almutairi, M., Younas, F., &amp; Fareed, M. M. S. (2022). Predicting Employee Attrition Using Machine Learning Approaches. Applied Sciences, 12(13), 6424.</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 xml:space="preserve">Confidential — Internal Decision Support Architecture  |  Page </w:t>
    </w:r>
    <w:r>
      <w:rPr>
        <w:rFonts w:ascii="Calibri" w:hAnsi="Calibri"/>
        <w:b/>
        <w:color w:val="1B365D"/>
        <w:sz w:val="17"/>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Employee Attrition Prediction &amp; Workforce Analytics |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