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2</w:t>
      </w:r>
    </w:p>
    <w:p>
      <w:pPr>
        <w:jc w:val="center"/>
      </w:pPr>
      <w:r>
        <w:rPr>
          <w:b/>
          <w:color w:val="1C7293"/>
          <w:sz w:val="32"/>
        </w:rPr>
        <w:t>Literature Review</w:t>
      </w:r>
    </w:p>
    <w:p>
      <w:pPr>
        <w:jc w:val="center"/>
      </w:pPr>
      <w:r>
        <w:rPr>
          <w:i/>
          <w:color w:val="555555"/>
          <w:sz w:val="22"/>
        </w:rPr>
        <w:t>Domain-Aware Federated Log Anomaly Detection under Heterogeneous and Sequentially Arriving Domains</w:t>
      </w:r>
    </w:p>
    <w:p/>
    <w:p>
      <w:pPr>
        <w:pStyle w:val="Heading1"/>
      </w:pPr>
      <w:r>
        <w:t>2.1  Introduction and Scope of the Review</w:t>
      </w:r>
    </w:p>
    <w:p>
      <w:pPr>
        <w:jc w:val="both"/>
      </w:pPr>
      <w:r>
        <w:t>This chapter surveys the research that our project builds upon and situates our contribution within it. Our work sits at the intersection of three fields: (i) log-based anomaly detection, which supplies the detectors and benchmarks we study; (ii) federated learning, which supplies the privacy-preserving training setting and the theory of data heterogeneity; and (iii) continual (lifelong) learning, which explains what happens when new data domains arrive over time. The review is organised thematically along these three axes, followed by the specific sub-field of federated log anomaly detection where they meet. For each body of work we do not merely summarise; we identify the assumptions it makes and the setting it was validated in, so that the research gap our project targets emerges as a concrete, testable omission rather than a vague claim of novelty. Section 2.6 consolidates this analysis into a comparison table and a precise statement of the gap.</w:t>
      </w:r>
    </w:p>
    <w:p>
      <w:pPr>
        <w:pStyle w:val="Heading1"/>
      </w:pPr>
      <w:r>
        <w:t>2.2  Log-Based Anomaly Detection</w:t>
      </w:r>
    </w:p>
    <w:p>
      <w:pPr>
        <w:jc w:val="both"/>
      </w:pPr>
      <w:r>
        <w:t>System logs are the primary forensic record of large software and infrastructure deployments, and detecting anomalous log sequences is central to reliability, availability, and security engineering. He et al. [1], in an influential experience report, benchmarked a range of classical detectors on real system logs and reached a conclusion that still frames the field: no single method dominates across datasets, which motivates both ensemble approaches and careful, dataset-specific evaluation. The broad move since then has been from hand-crafted statistical features toward deep sequence models, a trajectory catalogued in the survey by Landauer et al. [2].</w:t>
      </w:r>
    </w:p>
    <w:p>
      <w:pPr>
        <w:pStyle w:val="Heading2"/>
      </w:pPr>
      <w:r>
        <w:t>2.2.1  Log Parsing</w:t>
      </w:r>
    </w:p>
    <w:p>
      <w:pPr>
        <w:jc w:val="both"/>
      </w:pPr>
      <w:r>
        <w:t>Nearly all detectors first convert unstructured log lines into structured event templates. Drain, proposed by He et al. [3], is the de-facto standard: it parses logs online using a fixed-depth parse tree, producing a compact set of event templates that downstream models consume as discrete event identifiers. This parsing step is important to our work because it defines the finite event vocabulary on which the published bounded-size claim depends, and because two different log domains produce two disjoint template sets — the structural fact our domain-aware method exploits.</w:t>
      </w:r>
    </w:p>
    <w:p>
      <w:pPr>
        <w:pStyle w:val="Heading2"/>
      </w:pPr>
      <w:r>
        <w:t>2.2.2  Benchmarks and the Critique of Evaluation</w:t>
      </w:r>
    </w:p>
    <w:p>
      <w:pPr>
        <w:jc w:val="both"/>
      </w:pPr>
      <w:r>
        <w:t>Progress in the field is measured on shared benchmarks. LogHub, assembled by Zhu et al. [4], is the standard collection of labelled system-log datasets, and it provides the two domains we use: HDFS (a Hadoop distributed file system, with a small vocabulary and tightly distributed sequence lengths) and BGL (a Blue Gene/L supercomputer, with a much larger vocabulary and highly variable lengths). Crucially, Landauer et al. [7] issue a critical review of these very datasets, showing that evaluation choices — such as how thresholds are set and whether test data leaks into calibration — can inflate reported scores. We adopt their cautionary stance: our study compares methods only within a single controlled harness and reports every number from a real run, rather than making cross-study comparisons that this critique warns against.</w:t>
      </w:r>
    </w:p>
    <w:p>
      <w:pPr>
        <w:pStyle w:val="Heading2"/>
      </w:pPr>
      <w:r>
        <w:t>2.2.3  Statistical and Deep Detectors</w:t>
      </w:r>
    </w:p>
    <w:p>
      <w:pPr>
        <w:jc w:val="both"/>
      </w:pPr>
      <w:r>
        <w:t>Two detector families recur throughout this project. Lightweight statistical detectors score a sequence with cheap, interpretable features: the range of normal sequence lengths, the set of previously seen events, or the distance between event-count histograms. The last of these, a count-vector nearest-neighbour detector, is described in the review by Landauer et al. [7] and is one component of the ensembles we study. Deep detectors instead model event sequences directly. DeepLog, introduced by Du et al. [5], trains a Long Short-Term Memory (LSTM) network to predict the next event from a sliding window and flags a sequence as anomalous when the true next event is not among the model's top-g predictions. LogAnomaly, by Meng et al. [6], extends this with template semantics and quantitative patterns. These deep models are powerful but, as our review of continual learning (Section 2.5) will show, they inherit the fragility of neural networks under sequential retraining. We reuse the DeepLog mechanism as the representative deep detector, and the lightweight detectors as their efficient counterpart, because this pairing is exactly the comparison drawn by the reference work we test.</w:t>
      </w:r>
    </w:p>
    <w:p>
      <w:pPr>
        <w:pStyle w:val="Heading1"/>
      </w:pPr>
      <w:r>
        <w:t>2.3  Federated Learning and Data Heterogeneity</w:t>
      </w:r>
    </w:p>
    <w:p>
      <w:pPr>
        <w:jc w:val="both"/>
      </w:pPr>
      <w:r>
        <w:t>As logs increasingly originate from distributed, privacy-sensitive, or bandwidth-constrained sources, centralising them for analysis is often infeasible or unlawful. Federated learning, introduced by McMahan et al. [8] through the Federated Averaging (FedAvg) algorithm, offers an alternative: clients train locally and share only model updates, which the server averages, so raw data never leaves the device. FedAvg is the aggregation mechanism our project adopts for both the deep and the lightweight detectors.</w:t>
      </w:r>
    </w:p>
    <w:p>
      <w:pPr>
        <w:jc w:val="both"/>
      </w:pPr>
      <w:r>
        <w:t>The central obstacle to federated learning is data heterogeneity — the fact that clients do not hold identically distributed data. Zhao et al. [9] demonstrated that such non-independent, non-identically distributed (non-IID) data induces weight divergence during averaging and can reduce accuracy by tens of percentage points, and they proposed data-sharing as a partial remedy. The comprehensive survey by Kairouz et al. [10] organises heterogeneity into distinct regimes — quantity skew (clients differ in how much data they hold), label skew (they differ in class proportions), and feature skew (they differ in the input distribution itself). This taxonomy is directly relevant to our contribution. The heterogeneity we study, where clients hold data from entirely different log domains with largely disjoint vocabularies, sits at the extreme of feature skew — a regime the survey identifies as comparatively under-explored, and one that, for log data specifically, has not been isolated at all. A notable nuance our work later surfaces is that the usual 'non-IID hurts FedAvg' narrative is representation-dependent: when domains occupy disjoint input ranges they need not compete for the same parameters, which reconciles our findings with this literature rather than contradicting it.</w:t>
      </w:r>
    </w:p>
    <w:p>
      <w:pPr>
        <w:pStyle w:val="Heading1"/>
      </w:pPr>
      <w:r>
        <w:t>2.4  Federated Log Anomaly Detection</w:t>
      </w:r>
    </w:p>
    <w:p>
      <w:pPr>
        <w:jc w:val="both"/>
      </w:pPr>
      <w:r>
        <w:t>The specific intersection of the two fields above — federated learning applied to log anomaly detection — is a young but active area, and it contains the work we build upon most directly. The closest and anchoring study is by Pustozerova et al. [11], who benchmark lightweight statistical detectors against deep detectors (including DeepLog) under FedAvg. They report two attractive properties of the lightweight family: (C1) the detectors are approximately invariant to client data distribution, so their federated score matches the centralised score even under non-IID splits; and (C2) their model size is bounded by the finite event vocabulary, so memory stabilises once the vocabulary saturates. These two claims are the object of our study.</w:t>
      </w:r>
    </w:p>
    <w:p>
      <w:pPr>
        <w:jc w:val="both"/>
      </w:pPr>
      <w:r>
        <w:t>The critical limitation of that evaluation — and the opening for our work — is that it is homogeneous. Its non-IID setting is quantity skew: each client receives a different amount of data drawn from the same dataset (HDFS or BGL, never both). The two claims are therefore never tested where clients hold different log domains, nor where new domains arrive over time; indeed the public artifact of [11] ships single-dataset configurations but no mixed-domain one. Two adjacent efforts confirm the gap without closing it. Himler et al. [12] study a federated deep learning approach to log-event-sequence anomaly detection and explicitly enumerate open challenges, but keep clients on the same dataset. FedLAD, by Liao et al. [13], provides a modular and adaptive testbed for varying client configurations, but supplies infrastructure rather than an isolation of the invariance and bounded-size claims under a single federation that mixes two distinct log domains. None of these works identifies the input representation as the variable that governs whether a deep model forgets — the mechanistic finding at the heart of our contribution.</w:t>
      </w:r>
    </w:p>
    <w:p>
      <w:pPr>
        <w:pStyle w:val="Heading1"/>
      </w:pPr>
      <w:r>
        <w:t>2.5  Continual and Federated Continual Learning</w:t>
      </w:r>
    </w:p>
    <w:p>
      <w:pPr>
        <w:jc w:val="both"/>
      </w:pPr>
      <w:r>
        <w:t>When log domains arrive sequentially rather than all at once, training becomes a continual (lifelong) learning problem, and the dominant failure mode of that setting is catastrophic forgetting: a neural network trained on a new task abruptly loses performance on earlier ones. Kirkpatrick et al. [14] characterised this phenomenon and proposed Elastic Weight Consolidation (EWC), which adds a quadratic penalty that anchors weights important to earlier tasks, estimated through the Fisher information. The broader continual-learning survey by De Lange et al. [15] catalogues the main families of defences — regularisation-based methods such as EWC, and rehearsal (replay) methods that retain a small buffer of earlier examples — and analyses their trade-offs in storage and stability. Our project evaluates one method from each family and reports an honest trade-off between them.</w:t>
      </w:r>
    </w:p>
    <w:p>
      <w:pPr>
        <w:jc w:val="both"/>
      </w:pPr>
      <w:r>
        <w:t>When continual learning is combined with federation, forgetting compounds with the difficulties of non-IID aggregation. Dupuy et al. [16] quantify catastrophic forgetting in exactly this continual-federated setting, establishing that the two problems interact. What this literature does not yet provide, and what our work contributes, is a concrete, reproducible instance in the log-analytics domain together with the observation that whether forgetting occurs at all is decided by the input representation — a lever orthogonal to the EWC-style penalties this literature proposes, and one that renders the reference model's apparent robustness a property of its encoding rather than of federated log analysis in general.</w:t>
      </w:r>
    </w:p>
    <w:p>
      <w:pPr>
        <w:pStyle w:val="Heading1"/>
      </w:pPr>
      <w:r>
        <w:t>2.6  Comparative Analysis and Research Gap</w:t>
      </w:r>
    </w:p>
    <w:p>
      <w:pPr>
        <w:jc w:val="both"/>
      </w:pPr>
      <w:r>
        <w:t>Table 2.1 consolidates the reviewed approaches along the dimensions that matter for our study: the category of method, the heterogeneity setting in which it was validated, and the limitation that our work addresses. Read together, the reviewed literature establishes each ingredient in isolation — deep and lightweight log detectors [5], [6], [7]; federated averaging and its behaviour under quantity and label skew [8], [9], [10]; the two efficiency claims for federated log detection under a single dataset [11]; and catastrophic forgetting with its regularisation and replay defences [14], [15], [16] — but no prior work brings them together in the one setting that real deployments actually present.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Work / approach</w:t>
            </w:r>
          </w:p>
        </w:tc>
        <w:tc>
          <w:tcPr>
            <w:tcW w:type="dxa" w:w="2160"/>
          </w:tcPr>
          <w:p>
            <w:r>
              <w:rPr>
                <w:b/>
                <w:sz w:val="19"/>
              </w:rPr>
              <w:t>Category</w:t>
            </w:r>
          </w:p>
        </w:tc>
        <w:tc>
          <w:tcPr>
            <w:tcW w:type="dxa" w:w="2160"/>
          </w:tcPr>
          <w:p>
            <w:r>
              <w:rPr>
                <w:b/>
                <w:sz w:val="19"/>
              </w:rPr>
              <w:t>Heterogeneity setting tested</w:t>
            </w:r>
          </w:p>
        </w:tc>
        <w:tc>
          <w:tcPr>
            <w:tcW w:type="dxa" w:w="2160"/>
          </w:tcPr>
          <w:p>
            <w:r>
              <w:rPr>
                <w:b/>
                <w:sz w:val="19"/>
              </w:rPr>
              <w:t>Limitation addressed by this project</w:t>
            </w:r>
          </w:p>
        </w:tc>
      </w:tr>
      <w:tr>
        <w:tc>
          <w:tcPr>
            <w:tcW w:type="dxa" w:w="2160"/>
          </w:tcPr>
          <w:p>
            <w:r>
              <w:rPr>
                <w:sz w:val="19"/>
              </w:rPr>
              <w:t>DeepLog [5], LogAnomaly [6]</w:t>
            </w:r>
          </w:p>
        </w:tc>
        <w:tc>
          <w:tcPr>
            <w:tcW w:type="dxa" w:w="2160"/>
          </w:tcPr>
          <w:p>
            <w:r>
              <w:rPr>
                <w:sz w:val="19"/>
              </w:rPr>
              <w:t>Deep log detector (LSTM)</w:t>
            </w:r>
          </w:p>
        </w:tc>
        <w:tc>
          <w:tcPr>
            <w:tcW w:type="dxa" w:w="2160"/>
          </w:tcPr>
          <w:p>
            <w:r>
              <w:rPr>
                <w:sz w:val="19"/>
              </w:rPr>
              <w:t>Single dataset, centralised</w:t>
            </w:r>
          </w:p>
        </w:tc>
        <w:tc>
          <w:tcPr>
            <w:tcW w:type="dxa" w:w="2160"/>
          </w:tcPr>
          <w:p>
            <w:r>
              <w:rPr>
                <w:sz w:val="19"/>
              </w:rPr>
              <w:t>Not federated; never tested across log domains or sequential arrival</w:t>
            </w:r>
          </w:p>
        </w:tc>
      </w:tr>
      <w:tr>
        <w:tc>
          <w:tcPr>
            <w:tcW w:type="dxa" w:w="2160"/>
          </w:tcPr>
          <w:p>
            <w:r>
              <w:rPr>
                <w:sz w:val="19"/>
              </w:rPr>
              <w:t>Count-vector / lightweight detectors [7]</w:t>
            </w:r>
          </w:p>
        </w:tc>
        <w:tc>
          <w:tcPr>
            <w:tcW w:type="dxa" w:w="2160"/>
          </w:tcPr>
          <w:p>
            <w:r>
              <w:rPr>
                <w:sz w:val="19"/>
              </w:rPr>
              <w:t>Statistical log detector</w:t>
            </w:r>
          </w:p>
        </w:tc>
        <w:tc>
          <w:tcPr>
            <w:tcW w:type="dxa" w:w="2160"/>
          </w:tcPr>
          <w:p>
            <w:r>
              <w:rPr>
                <w:sz w:val="19"/>
              </w:rPr>
              <w:t>Single dataset</w:t>
            </w:r>
          </w:p>
        </w:tc>
        <w:tc>
          <w:tcPr>
            <w:tcW w:type="dxa" w:w="2160"/>
          </w:tcPr>
          <w:p>
            <w:r>
              <w:rPr>
                <w:sz w:val="19"/>
              </w:rPr>
              <w:t>Evaluation pitfalls flagged; not studied under domain mixing</w:t>
            </w:r>
          </w:p>
        </w:tc>
      </w:tr>
      <w:tr>
        <w:tc>
          <w:tcPr>
            <w:tcW w:type="dxa" w:w="2160"/>
          </w:tcPr>
          <w:p>
            <w:r>
              <w:rPr>
                <w:sz w:val="19"/>
              </w:rPr>
              <w:t>FedAvg [8]; non-IID FL [9], [10]</w:t>
            </w:r>
          </w:p>
        </w:tc>
        <w:tc>
          <w:tcPr>
            <w:tcW w:type="dxa" w:w="2160"/>
          </w:tcPr>
          <w:p>
            <w:r>
              <w:rPr>
                <w:sz w:val="19"/>
              </w:rPr>
              <w:t>Federated aggregation / theory</w:t>
            </w:r>
          </w:p>
        </w:tc>
        <w:tc>
          <w:tcPr>
            <w:tcW w:type="dxa" w:w="2160"/>
          </w:tcPr>
          <w:p>
            <w:r>
              <w:rPr>
                <w:sz w:val="19"/>
              </w:rPr>
              <w:t>Quantity &amp; label skew (same task)</w:t>
            </w:r>
          </w:p>
        </w:tc>
        <w:tc>
          <w:tcPr>
            <w:tcW w:type="dxa" w:w="2160"/>
          </w:tcPr>
          <w:p>
            <w:r>
              <w:rPr>
                <w:sz w:val="19"/>
              </w:rPr>
              <w:t>Domain (extreme feature) skew for logs is under-explored</w:t>
            </w:r>
          </w:p>
        </w:tc>
      </w:tr>
      <w:tr>
        <w:tc>
          <w:tcPr>
            <w:tcW w:type="dxa" w:w="2160"/>
          </w:tcPr>
          <w:p>
            <w:r>
              <w:rPr>
                <w:sz w:val="19"/>
              </w:rPr>
              <w:t>Pustozerova et al. [11] (anchor)</w:t>
            </w:r>
          </w:p>
        </w:tc>
        <w:tc>
          <w:tcPr>
            <w:tcW w:type="dxa" w:w="2160"/>
          </w:tcPr>
          <w:p>
            <w:r>
              <w:rPr>
                <w:sz w:val="19"/>
              </w:rPr>
              <w:t>Federated log AD</w:t>
            </w:r>
          </w:p>
        </w:tc>
        <w:tc>
          <w:tcPr>
            <w:tcW w:type="dxa" w:w="2160"/>
          </w:tcPr>
          <w:p>
            <w:r>
              <w:rPr>
                <w:sz w:val="19"/>
              </w:rPr>
              <w:t>Quantity skew within one dataset</w:t>
            </w:r>
          </w:p>
        </w:tc>
        <w:tc>
          <w:tcPr>
            <w:tcW w:type="dxa" w:w="2160"/>
          </w:tcPr>
          <w:p>
            <w:r>
              <w:rPr>
                <w:sz w:val="19"/>
              </w:rPr>
              <w:t>Two claims (invariance, bounded size) never tested across domains</w:t>
            </w:r>
          </w:p>
        </w:tc>
      </w:tr>
      <w:tr>
        <w:tc>
          <w:tcPr>
            <w:tcW w:type="dxa" w:w="2160"/>
          </w:tcPr>
          <w:p>
            <w:r>
              <w:rPr>
                <w:sz w:val="19"/>
              </w:rPr>
              <w:t>Himler et al. [12]; FedLAD [13]</w:t>
            </w:r>
          </w:p>
        </w:tc>
        <w:tc>
          <w:tcPr>
            <w:tcW w:type="dxa" w:w="2160"/>
          </w:tcPr>
          <w:p>
            <w:r>
              <w:rPr>
                <w:sz w:val="19"/>
              </w:rPr>
              <w:t>Federated deep log AD / testbed</w:t>
            </w:r>
          </w:p>
        </w:tc>
        <w:tc>
          <w:tcPr>
            <w:tcW w:type="dxa" w:w="2160"/>
          </w:tcPr>
          <w:p>
            <w:r>
              <w:rPr>
                <w:sz w:val="19"/>
              </w:rPr>
              <w:t>Varied clients, same dataset</w:t>
            </w:r>
          </w:p>
        </w:tc>
        <w:tc>
          <w:tcPr>
            <w:tcW w:type="dxa" w:w="2160"/>
          </w:tcPr>
          <w:p>
            <w:r>
              <w:rPr>
                <w:sz w:val="19"/>
              </w:rPr>
              <w:t>Provide tooling/challenges; do not isolate the two claims under mixing</w:t>
            </w:r>
          </w:p>
        </w:tc>
      </w:tr>
      <w:tr>
        <w:tc>
          <w:tcPr>
            <w:tcW w:type="dxa" w:w="2160"/>
          </w:tcPr>
          <w:p>
            <w:r>
              <w:rPr>
                <w:sz w:val="19"/>
              </w:rPr>
              <w:t>EWC [14]; continual survey [15]; CFL [16]</w:t>
            </w:r>
          </w:p>
        </w:tc>
        <w:tc>
          <w:tcPr>
            <w:tcW w:type="dxa" w:w="2160"/>
          </w:tcPr>
          <w:p>
            <w:r>
              <w:rPr>
                <w:sz w:val="19"/>
              </w:rPr>
              <w:t>Continual / federated-continual learning</w:t>
            </w:r>
          </w:p>
        </w:tc>
        <w:tc>
          <w:tcPr>
            <w:tcW w:type="dxa" w:w="2160"/>
          </w:tcPr>
          <w:p>
            <w:r>
              <w:rPr>
                <w:sz w:val="19"/>
              </w:rPr>
              <w:t>Task-incremental (vision/NLP)</w:t>
            </w:r>
          </w:p>
        </w:tc>
        <w:tc>
          <w:tcPr>
            <w:tcW w:type="dxa" w:w="2160"/>
          </w:tcPr>
          <w:p>
            <w:r>
              <w:rPr>
                <w:sz w:val="19"/>
              </w:rPr>
              <w:t>No log-domain instance; representation not identified as the lever</w:t>
            </w:r>
          </w:p>
        </w:tc>
      </w:tr>
      <w:tr>
        <w:tc>
          <w:tcPr>
            <w:tcW w:type="dxa" w:w="2160"/>
          </w:tcPr>
          <w:p>
            <w:r>
              <w:rPr>
                <w:sz w:val="19"/>
              </w:rPr>
              <w:t>This project</w:t>
            </w:r>
          </w:p>
        </w:tc>
        <w:tc>
          <w:tcPr>
            <w:tcW w:type="dxa" w:w="2160"/>
          </w:tcPr>
          <w:p>
            <w:r>
              <w:rPr>
                <w:sz w:val="19"/>
              </w:rPr>
              <w:t>Domain-aware federated log AD</w:t>
            </w:r>
          </w:p>
        </w:tc>
        <w:tc>
          <w:tcPr>
            <w:tcW w:type="dxa" w:w="2160"/>
          </w:tcPr>
          <w:p>
            <w:r>
              <w:rPr>
                <w:sz w:val="19"/>
              </w:rPr>
              <w:t>Mixed HDFS+BGL &amp; sequential arrival</w:t>
            </w:r>
          </w:p>
        </w:tc>
        <w:tc>
          <w:tcPr>
            <w:tcW w:type="dxa" w:w="2160"/>
          </w:tcPr>
          <w:p>
            <w:r>
              <w:rPr>
                <w:sz w:val="19"/>
              </w:rPr>
              <w:t>Tests both claims, explains the mechanism, and provides working fixes</w:t>
            </w:r>
          </w:p>
        </w:tc>
      </w:tr>
    </w:tbl>
    <w:p>
      <w:pPr>
        <w:jc w:val="center"/>
      </w:pPr>
      <w:r>
        <w:rPr>
          <w:i/>
          <w:sz w:val="18"/>
        </w:rPr>
        <w:t>Table 2.1  Comparative analysis of existing approaches and the gap this project targets.</w:t>
      </w:r>
    </w:p>
    <w:p/>
    <w:p>
      <w:pPr>
        <w:pStyle w:val="Heading2"/>
      </w:pPr>
      <w:r>
        <w:t>2.6.1  Statement of the Gap</w:t>
      </w:r>
    </w:p>
    <w:p>
      <w:pPr>
        <w:jc w:val="both"/>
      </w:pPr>
      <w:r>
        <w:t>Synthesising the above, the research gap is precise: no prior work isolates the published distribution-invariance and bounded-size claims of federated log anomaly detection under a single federation that mixes two genuinely distinct log domains, or under the sequential arrival of a new domain, and none identifies the input representation as the variable that governs catastrophic forgetting in this setting. The absence is not merely conceptual: the reference artifact literally ships single-dataset configurations and no mixed-domain one.</w:t>
      </w:r>
    </w:p>
    <w:p>
      <w:pPr>
        <w:pStyle w:val="Heading2"/>
      </w:pPr>
      <w:r>
        <w:t>2.6.2  How This Project Addresses the Gap</w:t>
      </w:r>
    </w:p>
    <w:p>
      <w:pPr>
        <w:jc w:val="both"/>
      </w:pPr>
      <w:r>
        <w:t>Our project closes this gap directly. We place HDFS and BGL clients in one federation over a merged event vocabulary and, separately, let the two domains arrive sequentially, then test the two claims. We show that domain-blind range aggregation collapses on the tighter-distributed domain and that a minimal domain-aware aggregation restores it; that simultaneous federated averaging on the deep model is in fact robust, whereas sequential onboarding into a shared-representation model forgets catastrophically, and only then; and that this forgetting is directional. We further contribute working, deployable fixes — a tag-free domain-aware router, and a comparison of replay-based and EWC-based mitigations drawn from the continual-learning literature reviewed above [14], [15]. In doing so we convert the reviewed ingredients into a single, reproducible account of when federated log anomaly detection is safe and when it is not, and why.</w:t>
      </w:r>
    </w:p>
    <w:p>
      <w:r>
        <w:br w:type="page"/>
      </w:r>
    </w:p>
    <w:p>
      <w:pPr>
        <w:pStyle w:val="Heading1"/>
      </w:pPr>
      <w:r>
        <w:t>References</w:t>
      </w:r>
    </w:p>
    <w:p>
      <w:pPr>
        <w:spacing w:after="120"/>
        <w:ind w:left="504" w:hanging="504"/>
      </w:pPr>
      <w:r>
        <w:rPr>
          <w:b/>
        </w:rPr>
        <w:t xml:space="preserve">[1]  </w:t>
      </w:r>
      <w:r>
        <w:rPr>
          <w:sz w:val="20"/>
        </w:rPr>
        <w:t>S. He, J. Zhu, P. He, and M. R. Lyu, "Experience report: System log analysis for anomaly detection," in Proc. IEEE 27th Int. Symp. Softw. Rel. Eng. (ISSRE), 2016, pp. 207–218.</w:t>
      </w:r>
    </w:p>
    <w:p>
      <w:pPr>
        <w:spacing w:after="120"/>
        <w:ind w:left="504" w:hanging="504"/>
      </w:pPr>
      <w:r>
        <w:rPr>
          <w:b/>
        </w:rPr>
        <w:t xml:space="preserve">[2]  </w:t>
      </w:r>
      <w:r>
        <w:rPr>
          <w:sz w:val="20"/>
        </w:rPr>
        <w:t>M. Landauer, S. Onder, F. Skopik, and M. Wurzenberger, "Deep learning for anomaly detection in log data: A survey," Machine Learning with Applications, vol. 12, p. 100470, 2023.</w:t>
      </w:r>
    </w:p>
    <w:p>
      <w:pPr>
        <w:spacing w:after="120"/>
        <w:ind w:left="504" w:hanging="504"/>
      </w:pPr>
      <w:r>
        <w:rPr>
          <w:b/>
        </w:rPr>
        <w:t xml:space="preserve">[3]  </w:t>
      </w:r>
      <w:r>
        <w:rPr>
          <w:sz w:val="20"/>
        </w:rPr>
        <w:t>P. He, J. Zhu, Z. Zheng, and M. R. Lyu, "Drain: An online log parsing approach with fixed depth tree," in Proc. IEEE Int. Conf. Web Services (ICWS), 2017, pp. 33–40.</w:t>
      </w:r>
    </w:p>
    <w:p>
      <w:pPr>
        <w:spacing w:after="120"/>
        <w:ind w:left="504" w:hanging="504"/>
      </w:pPr>
      <w:r>
        <w:rPr>
          <w:b/>
        </w:rPr>
        <w:t xml:space="preserve">[4]  </w:t>
      </w:r>
      <w:r>
        <w:rPr>
          <w:sz w:val="20"/>
        </w:rPr>
        <w:t>J. Zhu, S. He, P. He, J. Liu, and M. R. Lyu, "Loghub: A large collection of system log datasets for AI-driven log analytics," in Proc. IEEE 34th Int. Symp. Softw. Rel. Eng. (ISSRE), 2023.</w:t>
      </w:r>
    </w:p>
    <w:p>
      <w:pPr>
        <w:spacing w:after="120"/>
        <w:ind w:left="504" w:hanging="504"/>
      </w:pPr>
      <w:r>
        <w:rPr>
          <w:b/>
        </w:rPr>
        <w:t xml:space="preserve">[5]  </w:t>
      </w:r>
      <w:r>
        <w:rPr>
          <w:sz w:val="20"/>
        </w:rPr>
        <w:t>M. Du, F. Li, G. Zheng, and V. Srikumar, "DeepLog: Anomaly detection and diagnosis from system logs through deep learning," in Proc. ACM SIGSAC Conf. Comput. Commun. Secur. (CCS), 2017, pp. 1285–1298.</w:t>
      </w:r>
    </w:p>
    <w:p>
      <w:pPr>
        <w:spacing w:after="120"/>
        <w:ind w:left="504" w:hanging="504"/>
      </w:pPr>
      <w:r>
        <w:rPr>
          <w:b/>
        </w:rPr>
        <w:t xml:space="preserve">[6]  </w:t>
      </w:r>
      <w:r>
        <w:rPr>
          <w:sz w:val="20"/>
        </w:rPr>
        <w:t>W. Meng et al., "LogAnomaly: Unsupervised detection of sequential and quantitative anomalies in unstructured logs," in Proc. 28th Int. Joint Conf. Artif. Intell. (IJCAI), 2019, pp. 4739–4745.</w:t>
      </w:r>
    </w:p>
    <w:p>
      <w:pPr>
        <w:spacing w:after="120"/>
        <w:ind w:left="504" w:hanging="504"/>
      </w:pPr>
      <w:r>
        <w:rPr>
          <w:b/>
        </w:rPr>
        <w:t xml:space="preserve">[7]  </w:t>
      </w:r>
      <w:r>
        <w:rPr>
          <w:sz w:val="20"/>
        </w:rPr>
        <w:t>M. Landauer, F. Skopik, and M. Wurzenberger, "A critical review of common log data sets used for evaluation of sequence-based anomaly detection techniques," Proc. ACM Softw. Eng., vol. 1, no. FSE, pp. 1354–1375, 2024.</w:t>
      </w:r>
    </w:p>
    <w:p>
      <w:pPr>
        <w:spacing w:after="120"/>
        <w:ind w:left="504" w:hanging="504"/>
      </w:pPr>
      <w:r>
        <w:rPr>
          <w:b/>
        </w:rPr>
        <w:t xml:space="preserve">[8]  </w:t>
      </w:r>
      <w:r>
        <w:rPr>
          <w:sz w:val="20"/>
        </w:rPr>
        <w:t>B. McMahan, E. Moore, D. Ramage, S. Hampson, and B. Agüera y Arcas, "Communication-efficient learning of deep networks from decentralized data," in Proc. 20th Int. Conf. Artif. Intell. Statist. (AISTATS), 2017, pp. 1273–1282.</w:t>
      </w:r>
    </w:p>
    <w:p>
      <w:pPr>
        <w:spacing w:after="120"/>
        <w:ind w:left="504" w:hanging="504"/>
      </w:pPr>
      <w:r>
        <w:rPr>
          <w:b/>
        </w:rPr>
        <w:t xml:space="preserve">[9]  </w:t>
      </w:r>
      <w:r>
        <w:rPr>
          <w:sz w:val="20"/>
        </w:rPr>
        <w:t>Y. Zhao, M. Li, L. Lai, N. Suda, D. Civin, and V. Chandra, "Federated learning with non-IID data," arXiv preprint arXiv:1806.00582, 2018.</w:t>
      </w:r>
    </w:p>
    <w:p>
      <w:pPr>
        <w:spacing w:after="120"/>
        <w:ind w:left="504" w:hanging="504"/>
      </w:pPr>
      <w:r>
        <w:rPr>
          <w:b/>
        </w:rPr>
        <w:t xml:space="preserve">[10]  </w:t>
      </w:r>
      <w:r>
        <w:rPr>
          <w:sz w:val="20"/>
        </w:rPr>
        <w:t>P. Kairouz, H. B. McMahan, B. Avent et al., "Advances and open problems in federated learning," Foundations and Trends in Machine Learning, vol. 14, no. 1–2, pp. 1–210, 2021.</w:t>
      </w:r>
    </w:p>
    <w:p>
      <w:pPr>
        <w:spacing w:after="120"/>
        <w:ind w:left="504" w:hanging="504"/>
      </w:pPr>
      <w:r>
        <w:rPr>
          <w:b/>
        </w:rPr>
        <w:t xml:space="preserve">[11]  </w:t>
      </w:r>
      <w:r>
        <w:rPr>
          <w:sz w:val="20"/>
        </w:rPr>
        <w:t>A. Pustozerova, A. García Gómez, M. Landauer, M. Wurzenberger, F. Skopik, E. Weippl, R. Mayer, and A. Ekelhart, "Lightweight techniques for federated anomaly detection in log data," IEEE Trans. Rel., vol. 75, 2026, doi: 10.1109/TR.2026.3677674.</w:t>
      </w:r>
    </w:p>
    <w:p>
      <w:pPr>
        <w:spacing w:after="120"/>
        <w:ind w:left="504" w:hanging="504"/>
      </w:pPr>
      <w:r>
        <w:rPr>
          <w:b/>
        </w:rPr>
        <w:t xml:space="preserve">[12]  </w:t>
      </w:r>
      <w:r>
        <w:rPr>
          <w:sz w:val="20"/>
        </w:rPr>
        <w:t>P. Himler, M. Landauer, F. Skopik, and M. Wurzenberger, "Anomaly detection in log-event sequences: A federated deep learning approach and open challenges," Machine Learning with Applications, vol. 16, p. 100554, 2024.</w:t>
      </w:r>
    </w:p>
    <w:p>
      <w:pPr>
        <w:spacing w:after="120"/>
        <w:ind w:left="504" w:hanging="504"/>
      </w:pPr>
      <w:r>
        <w:rPr>
          <w:b/>
        </w:rPr>
        <w:t xml:space="preserve">[13]  </w:t>
      </w:r>
      <w:r>
        <w:rPr>
          <w:sz w:val="20"/>
        </w:rPr>
        <w:t>Y. Liao, J. Keung, Z. Mao, J. Zhang, and J. Li, "FedLAD: A modular and adaptive testbed for federated log anomaly detection," arXiv preprint arXiv:2512.08277, 2025.</w:t>
      </w:r>
    </w:p>
    <w:p>
      <w:pPr>
        <w:spacing w:after="120"/>
        <w:ind w:left="504" w:hanging="504"/>
      </w:pPr>
      <w:r>
        <w:rPr>
          <w:b/>
        </w:rPr>
        <w:t xml:space="preserve">[14]  </w:t>
      </w:r>
      <w:r>
        <w:rPr>
          <w:sz w:val="20"/>
        </w:rPr>
        <w:t>J. Kirkpatrick et al., "Overcoming catastrophic forgetting in neural networks," Proc. Nat. Acad. Sci. (PNAS), vol. 114, no. 13, pp. 3521–3526, 2017.</w:t>
      </w:r>
    </w:p>
    <w:p>
      <w:pPr>
        <w:spacing w:after="120"/>
        <w:ind w:left="504" w:hanging="504"/>
      </w:pPr>
      <w:r>
        <w:rPr>
          <w:b/>
        </w:rPr>
        <w:t xml:space="preserve">[15]  </w:t>
      </w:r>
      <w:r>
        <w:rPr>
          <w:sz w:val="20"/>
        </w:rPr>
        <w:t>M. De Lange, R. Aljundi, M. Masana, S. Parisot, X. Jia, A. Leonardis, G. Slabaugh, and T. Tuytelaars, "A continual learning survey: Defying forgetting in classification tasks," IEEE Trans. Pattern Anal. Mach. Intell., vol. 44, no. 7, pp. 3366–3385, 2022.</w:t>
      </w:r>
    </w:p>
    <w:p>
      <w:pPr>
        <w:spacing w:after="120"/>
        <w:ind w:left="504" w:hanging="504"/>
      </w:pPr>
      <w:r>
        <w:rPr>
          <w:b/>
        </w:rPr>
        <w:t xml:space="preserve">[16]  </w:t>
      </w:r>
      <w:r>
        <w:rPr>
          <w:sz w:val="20"/>
        </w:rPr>
        <w:t>C. Dupuy, J. Majmudar, J. Wang, T. G. Roosta, R. Gupta, C. Chung, J. Ding, and S. Avestimehr, "Quantifying catastrophic forgetting in continual federated learning," in Proc. IEEE Int. Conf. Acoust., Speech, Signal Process. (ICASSP), 2023, pp.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729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729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A1A1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