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0B5563"/>
          <w:sz w:val="26"/>
          <w:szCs w:val="26"/>
        </w:rPr>
        <w:t xml:space="preserve">VIT Chennai</w:t>
      </w:r>
    </w:p>
    <w:p>
      <w:pPr>
        <w:spacing w:after="20"/>
        <w:jc w:val="center"/>
      </w:pPr>
      <w:r>
        <w:rPr>
          <w:sz w:val="22"/>
          <w:szCs w:val="22"/>
        </w:rPr>
        <w:t xml:space="preserve">BCSE335L — Healthcare Data Analytics</w:t>
      </w:r>
    </w:p>
    <w:p>
      <w:pPr>
        <w:spacing w:after="500"/>
        <w:jc w:val="center"/>
      </w:pPr>
      <w:r>
        <w:rPr>
          <w:i/>
          <w:iCs/>
          <w:color w:val="666666"/>
          <w:sz w:val="20"/>
          <w:szCs w:val="20"/>
        </w:rPr>
        <w:t xml:space="preserve">Semester Project</w:t>
      </w:r>
    </w:p>
    <w:p>
      <w:pPr>
        <w:pBdr>
          <w:bottom w:val="single" w:color="0B5563" w:sz="12" w:space="1"/>
        </w:pBdr>
        <w:spacing w:after="500"/>
      </w:pPr>
    </w:p>
    <w:p>
      <w:pPr>
        <w:spacing w:after="80"/>
        <w:jc w:val="center"/>
      </w:pPr>
      <w:r>
        <w:rPr>
          <w:caps/>
          <w:color w:val="888888"/>
          <w:sz w:val="20"/>
          <w:szCs w:val="20"/>
        </w:rPr>
        <w:t xml:space="preserve">TEAM</w:t>
      </w:r>
    </w:p>
    <w:p>
      <w:pPr>
        <w:spacing w:after="460"/>
        <w:jc w:val="center"/>
      </w:pPr>
      <w:r>
        <w:rPr>
          <w:b/>
          <w:bCs/>
          <w:color w:val="1A1A1A"/>
          <w:sz w:val="40"/>
          <w:szCs w:val="40"/>
        </w:rPr>
        <w:t xml:space="preserve">Team Sentinel</w:t>
      </w:r>
    </w:p>
    <w:p>
      <w:pPr>
        <w:spacing w:after="80"/>
        <w:jc w:val="center"/>
      </w:pPr>
      <w:r>
        <w:rPr>
          <w:caps/>
          <w:color w:val="888888"/>
          <w:sz w:val="20"/>
          <w:szCs w:val="20"/>
        </w:rPr>
        <w:t xml:space="preserve">WORKING PROJECT TITLE</w:t>
      </w:r>
    </w:p>
    <w:p>
      <w:pPr>
        <w:spacing w:after="120"/>
        <w:jc w:val="center"/>
      </w:pPr>
      <w:r>
        <w:rPr>
          <w:b/>
          <w:bCs/>
          <w:color w:val="0B5563"/>
          <w:sz w:val="32"/>
          <w:szCs w:val="32"/>
        </w:rPr>
        <w:t xml:space="preserve">Trustworthy False-Alarm Reduction for ICU Bedside Monitors</w:t>
      </w:r>
    </w:p>
    <w:p>
      <w:pPr>
        <w:spacing w:after="560"/>
        <w:jc w:val="center"/>
      </w:pPr>
      <w:r>
        <w:rPr>
          <w:i/>
          <w:iCs/>
          <w:color w:val="444444"/>
          <w:sz w:val="24"/>
          <w:szCs w:val="24"/>
        </w:rPr>
        <w:t xml:space="preserve">A Cross-Dataset, Safety-Constrained, and Explainable Approach to ICU Alarm Fatigue</w:t>
      </w:r>
    </w:p>
    <w:p>
      <w:pPr>
        <w:spacing w:after="160"/>
      </w:pPr>
      <w:r>
        <w:rPr>
          <w:b/>
          <w:bCs/>
          <w:color w:val="1A1A1A"/>
          <w:sz w:val="26"/>
          <w:szCs w:val="26"/>
        </w:rPr>
        <w:t xml:space="preserve">Team Members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0B556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3000"/>
            <w:shd w:fill="0B556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Register Number</w:t>
            </w:r>
          </w:p>
        </w:tc>
      </w:tr>
      <w:tr>
        <w:tc>
          <w:tcPr>
            <w:tcW w:type="dxa" w:w="6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Vansh Mundhra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23BCE1254</w:t>
            </w:r>
          </w:p>
        </w:tc>
      </w:tr>
      <w:tr>
        <w:tc>
          <w:tcPr>
            <w:tcW w:type="dxa" w:w="6000"/>
            <w:shd w:fill="F2F6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Tanishk Yadav</w:t>
            </w:r>
          </w:p>
        </w:tc>
        <w:tc>
          <w:tcPr>
            <w:tcW w:type="dxa" w:w="3000"/>
            <w:shd w:fill="F2F6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23BCE1588</w:t>
            </w:r>
          </w:p>
        </w:tc>
      </w:tr>
      <w:tr>
        <w:tc>
          <w:tcPr>
            <w:tcW w:type="dxa" w:w="6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[ Third member — your name ]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[ Register No. ]</w:t>
            </w:r>
          </w:p>
        </w:tc>
      </w:tr>
    </w:tbl>
    <w:p>
      <w:pPr>
        <w:spacing w:after="560" w:before="240"/>
      </w:pPr>
      <w:r>
        <w:rPr>
          <w:color w:val="555555"/>
          <w:sz w:val="22"/>
          <w:szCs w:val="22"/>
        </w:rPr>
        <w:t xml:space="preserve">Faculty / Guide:  ______________________________</w:t>
      </w:r>
    </w:p>
    <w:p>
      <w:pPr>
        <w:spacing w:after="140"/>
      </w:pPr>
      <w:r>
        <w:rPr>
          <w:b/>
          <w:bCs/>
          <w:color w:val="1A1A1A"/>
          <w:sz w:val="26"/>
          <w:szCs w:val="26"/>
        </w:rPr>
        <w:t xml:space="preserve">Abstract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Intensive care unit (ICU) bedside monitors generate a very high volume of arrhythmia alarms, the overwhelming majority of which are false. This constant noise desensitises clinical staff — a phenomenon known as alarm fatigue — slows response times, and risks real, life-threatening events being missed. This project develops a machine-learning system that distinguishes true from false arrhythmia alarms directly from multi-channel physiological waveforms (electrocardiogram, arterial blood pressure, and photoplethysmogram). Moving beyond raw accuracy, the work targets three requirements that determine whether such a system is usable in practice: generalisation across hospitals and monitor manufacturers, validated on the PhysioNet/CinC 2015 and VTaC datasets; a safety-constrained decision layer that suppresses false alarms while preserving true-alarm sensitivity, so that a genuine emergency is never silenced; and per-alarm explanations that make each verdict interpretable to clinicians. The outcome is delivered both as a research study and as a working web-based prototype that visualises live alarm triage, demonstrating a trustworthy and deployable approach to reducing ICU alarm fatigue.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2026-07-12T17:33:30.206Z</dcterms:created>
  <dcterms:modified xsi:type="dcterms:W3CDTF">2026-07-12T17:33:30.221Z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