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tbl>
      <w:tblPr>
        <w:tblStyle w:val="TableGrid"/>
        <w:tblW w:type="auto" w:w="0"/>
        <w:tblLook w:firstColumn="1" w:firstRow="1" w:lastColumn="0" w:lastRow="0" w:noHBand="0" w:noVBand="1" w:val="04A0"/>
      </w:tblPr>
      <w:tblGrid>
        <w:gridCol w:w="9406"/>
      </w:tblGrid>
      <w:tr>
        <w:trPr>
          <w:trHeight w:val="720" w:hRule="exact"/>
        </w:trPr>
        <w:tc>
          <w:tcPr>
            <w:tcW w:type="dxa" w:w="9406"/>
            <w:shd w:val="clear" w:color="auto" w:fill="002C5F"/>
          </w:tcPr>
          <w:p>
            <w:r/>
          </w:p>
        </w:tc>
      </w:tr>
    </w:tbl>
    <w:p/>
    <w:p>
      <w:pPr>
        <w:spacing w:before="80" w:after="40"/>
        <w:jc w:val="center"/>
      </w:pPr>
      <w:r>
        <w:rPr>
          <w:b/>
          <w:color w:val="002C5F"/>
          <w:sz w:val="26"/>
        </w:rPr>
        <w:t>HYUNDAI MOTOR INDIA LIMITED</w:t>
      </w:r>
    </w:p>
    <w:p>
      <w:pPr>
        <w:spacing w:before="0" w:after="400"/>
        <w:jc w:val="center"/>
      </w:pPr>
      <w:r>
        <w:rPr>
          <w:i/>
          <w:color w:val="004A97"/>
          <w:sz w:val="22"/>
        </w:rPr>
        <w:t>Authorised Dealership Division</w:t>
      </w:r>
    </w:p>
    <w:p>
      <w:pPr>
        <w:spacing w:before="600" w:after="120"/>
        <w:jc w:val="center"/>
      </w:pPr>
      <w:r>
        <w:rPr>
          <w:b/>
          <w:color w:val="002C5F"/>
          <w:sz w:val="56"/>
        </w:rPr>
        <w:t>BUSINESS REQUIREMENT DOCUMENT</w:t>
      </w:r>
    </w:p>
    <w:p>
      <w:pPr>
        <w:spacing w:before="0" w:after="800"/>
        <w:jc w:val="center"/>
      </w:pPr>
      <w:r>
        <w:rPr>
          <w:b w:val="0"/>
          <w:color w:val="004A97"/>
          <w:sz w:val="36"/>
        </w:rPr>
        <w:t>Dealer Management System (DMS)</w:t>
      </w:r>
    </w:p>
    <w:tbl>
      <w:tblPr>
        <w:tblW w:type="auto" w:w="0"/>
        <w:tblLook w:firstColumn="1" w:firstRow="1" w:lastColumn="0" w:lastRow="0" w:noHBand="0" w:noVBand="1" w:val="04A0"/>
      </w:tblPr>
      <w:tblGrid>
        <w:gridCol w:w="9406"/>
      </w:tblGrid>
      <w:tr>
        <w:trPr>
          <w:trHeight w:val="40" w:hRule="exact"/>
        </w:trPr>
        <w:tc>
          <w:tcPr>
            <w:tcW w:type="dxa" w:w="9406"/>
            <w:shd w:val="clear" w:color="auto" w:fill="0072CE"/>
          </w:tcPr>
          <w:p>
            <w:r/>
          </w:p>
        </w:tc>
      </w:tr>
    </w:tbl>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F2F5FA"/>
          </w:tcPr>
          <w:p>
            <w:r>
              <w:rPr>
                <w:b/>
                <w:color w:val="002C5F"/>
                <w:sz w:val="21"/>
              </w:rPr>
              <w:t>Document Type</w:t>
            </w:r>
          </w:p>
        </w:tc>
        <w:tc>
          <w:tcPr>
            <w:tcW w:type="dxa" w:w="5760"/>
            <w:shd w:val="clear" w:color="auto" w:fill="FAFCFF"/>
          </w:tcPr>
          <w:p>
            <w:r>
              <w:rPr>
                <w:sz w:val="21"/>
              </w:rPr>
              <w:t>Business Requirement Document (BRD)</w:t>
            </w:r>
          </w:p>
        </w:tc>
      </w:tr>
      <w:tr>
        <w:tc>
          <w:tcPr>
            <w:tcW w:type="dxa" w:w="3168"/>
            <w:shd w:val="clear" w:color="auto" w:fill="F2F5FA"/>
          </w:tcPr>
          <w:p>
            <w:r>
              <w:rPr>
                <w:b/>
                <w:color w:val="002C5F"/>
                <w:sz w:val="21"/>
              </w:rPr>
              <w:t>Project Name</w:t>
            </w:r>
          </w:p>
        </w:tc>
        <w:tc>
          <w:tcPr>
            <w:tcW w:type="dxa" w:w="5760"/>
            <w:shd w:val="clear" w:color="auto" w:fill="FFFFFF"/>
          </w:tcPr>
          <w:p>
            <w:r>
              <w:rPr>
                <w:sz w:val="21"/>
              </w:rPr>
              <w:t>Hyundai Dealer Management System (DMS)</w:t>
            </w:r>
          </w:p>
        </w:tc>
      </w:tr>
      <w:tr>
        <w:tc>
          <w:tcPr>
            <w:tcW w:type="dxa" w:w="3168"/>
            <w:shd w:val="clear" w:color="auto" w:fill="F2F5FA"/>
          </w:tcPr>
          <w:p>
            <w:r>
              <w:rPr>
                <w:b/>
                <w:color w:val="002C5F"/>
                <w:sz w:val="21"/>
              </w:rPr>
              <w:t>Version</w:t>
            </w:r>
          </w:p>
        </w:tc>
        <w:tc>
          <w:tcPr>
            <w:tcW w:type="dxa" w:w="5760"/>
            <w:shd w:val="clear" w:color="auto" w:fill="FAFCFF"/>
          </w:tcPr>
          <w:p>
            <w:r>
              <w:rPr>
                <w:sz w:val="21"/>
              </w:rPr>
              <w:t>1.0</w:t>
            </w:r>
          </w:p>
        </w:tc>
      </w:tr>
      <w:tr>
        <w:tc>
          <w:tcPr>
            <w:tcW w:type="dxa" w:w="3168"/>
            <w:shd w:val="clear" w:color="auto" w:fill="F2F5FA"/>
          </w:tcPr>
          <w:p>
            <w:r>
              <w:rPr>
                <w:b/>
                <w:color w:val="002C5F"/>
                <w:sz w:val="21"/>
              </w:rPr>
              <w:t>Prepared By</w:t>
            </w:r>
          </w:p>
        </w:tc>
        <w:tc>
          <w:tcPr>
            <w:tcW w:type="dxa" w:w="5760"/>
            <w:shd w:val="clear" w:color="auto" w:fill="FFFFFF"/>
          </w:tcPr>
          <w:p>
            <w:r>
              <w:rPr>
                <w:sz w:val="21"/>
              </w:rPr>
              <w:t>Business Analysis Team</w:t>
            </w:r>
          </w:p>
        </w:tc>
      </w:tr>
      <w:tr>
        <w:tc>
          <w:tcPr>
            <w:tcW w:type="dxa" w:w="3168"/>
            <w:shd w:val="clear" w:color="auto" w:fill="F2F5FA"/>
          </w:tcPr>
          <w:p>
            <w:r>
              <w:rPr>
                <w:b/>
                <w:color w:val="002C5F"/>
                <w:sz w:val="21"/>
              </w:rPr>
              <w:t>Date</w:t>
            </w:r>
          </w:p>
        </w:tc>
        <w:tc>
          <w:tcPr>
            <w:tcW w:type="dxa" w:w="5760"/>
            <w:shd w:val="clear" w:color="auto" w:fill="FAFCFF"/>
          </w:tcPr>
          <w:p>
            <w:r>
              <w:rPr>
                <w:sz w:val="21"/>
              </w:rPr>
              <w:t>April 2026</w:t>
            </w:r>
          </w:p>
        </w:tc>
      </w:tr>
      <w:tr>
        <w:tc>
          <w:tcPr>
            <w:tcW w:type="dxa" w:w="3168"/>
            <w:shd w:val="clear" w:color="auto" w:fill="F2F5FA"/>
          </w:tcPr>
          <w:p>
            <w:r>
              <w:rPr>
                <w:b/>
                <w:color w:val="002C5F"/>
                <w:sz w:val="21"/>
              </w:rPr>
              <w:t>Classification</w:t>
            </w:r>
          </w:p>
        </w:tc>
        <w:tc>
          <w:tcPr>
            <w:tcW w:type="dxa" w:w="5760"/>
            <w:shd w:val="clear" w:color="auto" w:fill="FFFFFF"/>
          </w:tcPr>
          <w:p>
            <w:r>
              <w:rPr>
                <w:sz w:val="21"/>
              </w:rPr>
              <w:t>Academic Submission – Confidential</w:t>
            </w:r>
          </w:p>
        </w:tc>
      </w:tr>
    </w:tbl>
    <w:p/>
    <w:p/>
    <w:tbl>
      <w:tblPr>
        <w:tblW w:type="auto" w:w="0"/>
        <w:tblLook w:firstColumn="1" w:firstRow="1" w:lastColumn="0" w:lastRow="0" w:noHBand="0" w:noVBand="1" w:val="04A0"/>
      </w:tblPr>
      <w:tblGrid>
        <w:gridCol w:w="9406"/>
      </w:tblGrid>
      <w:tr>
        <w:trPr>
          <w:trHeight w:val="480" w:hRule="exact"/>
        </w:trPr>
        <w:tc>
          <w:tcPr>
            <w:tcW w:type="dxa" w:w="9406"/>
            <w:shd w:val="clear" w:color="auto" w:fill="002C5F"/>
            <w:vAlign w:val="center"/>
          </w:tcPr>
          <w:p>
            <w:pPr>
              <w:spacing w:before="0" w:after="0"/>
              <w:jc w:val="center"/>
            </w:pPr>
            <w:r>
              <w:rPr>
                <w:b/>
                <w:color w:val="FFFFFF"/>
                <w:sz w:val="18"/>
              </w:rPr>
              <w:t>Confidential | For Academic Use Only | Version 1.0 | April 2026</w:t>
            </w:r>
          </w:p>
        </w:tc>
      </w:tr>
    </w:tbl>
    <w:p>
      <w:r>
        <w:br w:type="page"/>
      </w:r>
    </w:p>
    <w:p>
      <w:pPr>
        <w:pStyle w:val="Heading1"/>
        <w:spacing w:before="280" w:after="120"/>
      </w:pPr>
      <w:r>
        <w:t>Table of Contents</w:t>
      </w:r>
    </w:p>
    <w:tbl>
      <w:tblPr>
        <w:tblStyle w:val="TableGrid"/>
        <w:tblW w:type="auto" w:w="0"/>
        <w:tblLook w:firstColumn="1" w:firstRow="1" w:lastColumn="0" w:lastRow="0" w:noHBand="0" w:noVBand="1" w:val="04A0"/>
      </w:tblPr>
      <w:tblGrid>
        <w:gridCol w:w="3135"/>
        <w:gridCol w:w="3135"/>
        <w:gridCol w:w="3135"/>
      </w:tblGrid>
      <w:tr>
        <w:tc>
          <w:tcPr>
            <w:tcW w:type="dxa" w:w="576"/>
            <w:shd w:val="clear" w:color="auto" w:fill="F2F5FA"/>
          </w:tcPr>
          <w:p>
            <w:r>
              <w:rPr>
                <w:rFonts w:ascii="Calibri" w:hAnsi="Calibri"/>
                <w:b/>
                <w:color w:val="002C5F"/>
                <w:sz w:val="21"/>
              </w:rPr>
              <w:t>1</w:t>
            </w:r>
          </w:p>
        </w:tc>
        <w:tc>
          <w:tcPr>
            <w:tcW w:type="dxa" w:w="7200"/>
            <w:shd w:val="clear" w:color="auto" w:fill="F2F5FA"/>
          </w:tcPr>
          <w:p>
            <w:r>
              <w:rPr>
                <w:rFonts w:ascii="Calibri" w:hAnsi="Calibri"/>
                <w:sz w:val="21"/>
              </w:rPr>
              <w:t>Executive Summary</w:t>
            </w:r>
          </w:p>
        </w:tc>
        <w:tc>
          <w:tcPr>
            <w:tcW w:type="dxa" w:w="864"/>
            <w:shd w:val="clear" w:color="auto" w:fill="F2F5FA"/>
          </w:tcPr>
          <w:p>
            <w:pPr>
              <w:jc w:val="right"/>
            </w:pPr>
            <w:r>
              <w:rPr>
                <w:rFonts w:ascii="Calibri" w:hAnsi="Calibri"/>
                <w:sz w:val="21"/>
              </w:rPr>
              <w:t>3</w:t>
            </w:r>
          </w:p>
        </w:tc>
      </w:tr>
      <w:tr>
        <w:tc>
          <w:tcPr>
            <w:tcW w:type="dxa" w:w="576"/>
            <w:shd w:val="clear" w:color="auto" w:fill="FFFFFF"/>
          </w:tcPr>
          <w:p>
            <w:r>
              <w:rPr>
                <w:rFonts w:ascii="Calibri" w:hAnsi="Calibri"/>
                <w:b/>
                <w:color w:val="002C5F"/>
                <w:sz w:val="21"/>
              </w:rPr>
              <w:t>2</w:t>
            </w:r>
          </w:p>
        </w:tc>
        <w:tc>
          <w:tcPr>
            <w:tcW w:type="dxa" w:w="7200"/>
            <w:shd w:val="clear" w:color="auto" w:fill="FFFFFF"/>
          </w:tcPr>
          <w:p>
            <w:r>
              <w:rPr>
                <w:rFonts w:ascii="Calibri" w:hAnsi="Calibri"/>
                <w:sz w:val="21"/>
              </w:rPr>
              <w:t>Project Objectives</w:t>
            </w:r>
          </w:p>
        </w:tc>
        <w:tc>
          <w:tcPr>
            <w:tcW w:type="dxa" w:w="864"/>
            <w:shd w:val="clear" w:color="auto" w:fill="FFFFFF"/>
          </w:tcPr>
          <w:p>
            <w:pPr>
              <w:jc w:val="right"/>
            </w:pPr>
            <w:r>
              <w:rPr>
                <w:rFonts w:ascii="Calibri" w:hAnsi="Calibri"/>
                <w:sz w:val="21"/>
              </w:rPr>
              <w:t>4</w:t>
            </w:r>
          </w:p>
        </w:tc>
      </w:tr>
      <w:tr>
        <w:tc>
          <w:tcPr>
            <w:tcW w:type="dxa" w:w="576"/>
            <w:shd w:val="clear" w:color="auto" w:fill="F2F5FA"/>
          </w:tcPr>
          <w:p>
            <w:r>
              <w:rPr>
                <w:rFonts w:ascii="Calibri" w:hAnsi="Calibri"/>
                <w:b/>
                <w:color w:val="002C5F"/>
                <w:sz w:val="21"/>
              </w:rPr>
              <w:t>3</w:t>
            </w:r>
          </w:p>
        </w:tc>
        <w:tc>
          <w:tcPr>
            <w:tcW w:type="dxa" w:w="7200"/>
            <w:shd w:val="clear" w:color="auto" w:fill="F2F5FA"/>
          </w:tcPr>
          <w:p>
            <w:r>
              <w:rPr>
                <w:rFonts w:ascii="Calibri" w:hAnsi="Calibri"/>
                <w:sz w:val="21"/>
              </w:rPr>
              <w:t>Project Scope</w:t>
            </w:r>
          </w:p>
        </w:tc>
        <w:tc>
          <w:tcPr>
            <w:tcW w:type="dxa" w:w="864"/>
            <w:shd w:val="clear" w:color="auto" w:fill="F2F5FA"/>
          </w:tcPr>
          <w:p>
            <w:pPr>
              <w:jc w:val="right"/>
            </w:pPr>
            <w:r>
              <w:rPr>
                <w:rFonts w:ascii="Calibri" w:hAnsi="Calibri"/>
                <w:sz w:val="21"/>
              </w:rPr>
              <w:t>5</w:t>
            </w:r>
          </w:p>
        </w:tc>
      </w:tr>
      <w:tr>
        <w:tc>
          <w:tcPr>
            <w:tcW w:type="dxa" w:w="576"/>
            <w:shd w:val="clear" w:color="auto" w:fill="FFFFFF"/>
          </w:tcPr>
          <w:p>
            <w:r>
              <w:rPr>
                <w:rFonts w:ascii="Calibri" w:hAnsi="Calibri"/>
                <w:b/>
                <w:color w:val="002C5F"/>
                <w:sz w:val="21"/>
              </w:rPr>
              <w:t>4</w:t>
            </w:r>
          </w:p>
        </w:tc>
        <w:tc>
          <w:tcPr>
            <w:tcW w:type="dxa" w:w="7200"/>
            <w:shd w:val="clear" w:color="auto" w:fill="FFFFFF"/>
          </w:tcPr>
          <w:p>
            <w:r>
              <w:rPr>
                <w:rFonts w:ascii="Calibri" w:hAnsi="Calibri"/>
                <w:sz w:val="21"/>
              </w:rPr>
              <w:t>Stakeholders</w:t>
            </w:r>
          </w:p>
        </w:tc>
        <w:tc>
          <w:tcPr>
            <w:tcW w:type="dxa" w:w="864"/>
            <w:shd w:val="clear" w:color="auto" w:fill="FFFFFF"/>
          </w:tcPr>
          <w:p>
            <w:pPr>
              <w:jc w:val="right"/>
            </w:pPr>
            <w:r>
              <w:rPr>
                <w:rFonts w:ascii="Calibri" w:hAnsi="Calibri"/>
                <w:sz w:val="21"/>
              </w:rPr>
              <w:t>6</w:t>
            </w:r>
          </w:p>
        </w:tc>
      </w:tr>
      <w:tr>
        <w:tc>
          <w:tcPr>
            <w:tcW w:type="dxa" w:w="576"/>
            <w:shd w:val="clear" w:color="auto" w:fill="F2F5FA"/>
          </w:tcPr>
          <w:p>
            <w:r>
              <w:rPr>
                <w:rFonts w:ascii="Calibri" w:hAnsi="Calibri"/>
                <w:b/>
                <w:color w:val="002C5F"/>
                <w:sz w:val="21"/>
              </w:rPr>
              <w:t>5</w:t>
            </w:r>
          </w:p>
        </w:tc>
        <w:tc>
          <w:tcPr>
            <w:tcW w:type="dxa" w:w="7200"/>
            <w:shd w:val="clear" w:color="auto" w:fill="F2F5FA"/>
          </w:tcPr>
          <w:p>
            <w:r>
              <w:rPr>
                <w:rFonts w:ascii="Calibri" w:hAnsi="Calibri"/>
                <w:sz w:val="21"/>
              </w:rPr>
              <w:t>Business Requirements</w:t>
            </w:r>
          </w:p>
        </w:tc>
        <w:tc>
          <w:tcPr>
            <w:tcW w:type="dxa" w:w="864"/>
            <w:shd w:val="clear" w:color="auto" w:fill="F2F5FA"/>
          </w:tcPr>
          <w:p>
            <w:pPr>
              <w:jc w:val="right"/>
            </w:pPr>
            <w:r>
              <w:rPr>
                <w:rFonts w:ascii="Calibri" w:hAnsi="Calibri"/>
                <w:sz w:val="21"/>
              </w:rPr>
              <w:t>7</w:t>
            </w:r>
          </w:p>
        </w:tc>
      </w:tr>
      <w:tr>
        <w:tc>
          <w:tcPr>
            <w:tcW w:type="dxa" w:w="576"/>
            <w:shd w:val="clear" w:color="auto" w:fill="FFFFFF"/>
          </w:tcPr>
          <w:p>
            <w:r>
              <w:rPr>
                <w:rFonts w:ascii="Calibri" w:hAnsi="Calibri"/>
                <w:b/>
                <w:color w:val="002C5F"/>
                <w:sz w:val="21"/>
              </w:rPr>
              <w:t>6</w:t>
            </w:r>
          </w:p>
        </w:tc>
        <w:tc>
          <w:tcPr>
            <w:tcW w:type="dxa" w:w="7200"/>
            <w:shd w:val="clear" w:color="auto" w:fill="FFFFFF"/>
          </w:tcPr>
          <w:p>
            <w:r>
              <w:rPr>
                <w:rFonts w:ascii="Calibri" w:hAnsi="Calibri"/>
                <w:sz w:val="21"/>
              </w:rPr>
              <w:t>Functional Module Overview</w:t>
            </w:r>
          </w:p>
        </w:tc>
        <w:tc>
          <w:tcPr>
            <w:tcW w:type="dxa" w:w="864"/>
            <w:shd w:val="clear" w:color="auto" w:fill="FFFFFF"/>
          </w:tcPr>
          <w:p>
            <w:pPr>
              <w:jc w:val="right"/>
            </w:pPr>
            <w:r>
              <w:rPr>
                <w:rFonts w:ascii="Calibri" w:hAnsi="Calibri"/>
                <w:sz w:val="21"/>
              </w:rPr>
              <w:t>9</w:t>
            </w:r>
          </w:p>
        </w:tc>
      </w:tr>
      <w:tr>
        <w:tc>
          <w:tcPr>
            <w:tcW w:type="dxa" w:w="576"/>
            <w:shd w:val="clear" w:color="auto" w:fill="F2F5FA"/>
          </w:tcPr>
          <w:p>
            <w:r>
              <w:rPr>
                <w:rFonts w:ascii="Calibri" w:hAnsi="Calibri"/>
                <w:b/>
                <w:color w:val="002C5F"/>
                <w:sz w:val="21"/>
              </w:rPr>
              <w:t>7</w:t>
            </w:r>
          </w:p>
        </w:tc>
        <w:tc>
          <w:tcPr>
            <w:tcW w:type="dxa" w:w="7200"/>
            <w:shd w:val="clear" w:color="auto" w:fill="F2F5FA"/>
          </w:tcPr>
          <w:p>
            <w:r>
              <w:rPr>
                <w:rFonts w:ascii="Calibri" w:hAnsi="Calibri"/>
                <w:sz w:val="21"/>
              </w:rPr>
              <w:t>Non-Functional Requirements</w:t>
            </w:r>
          </w:p>
        </w:tc>
        <w:tc>
          <w:tcPr>
            <w:tcW w:type="dxa" w:w="864"/>
            <w:shd w:val="clear" w:color="auto" w:fill="F2F5FA"/>
          </w:tcPr>
          <w:p>
            <w:pPr>
              <w:jc w:val="right"/>
            </w:pPr>
            <w:r>
              <w:rPr>
                <w:rFonts w:ascii="Calibri" w:hAnsi="Calibri"/>
                <w:sz w:val="21"/>
              </w:rPr>
              <w:t>13</w:t>
            </w:r>
          </w:p>
        </w:tc>
      </w:tr>
      <w:tr>
        <w:tc>
          <w:tcPr>
            <w:tcW w:type="dxa" w:w="576"/>
            <w:shd w:val="clear" w:color="auto" w:fill="FFFFFF"/>
          </w:tcPr>
          <w:p>
            <w:r>
              <w:rPr>
                <w:rFonts w:ascii="Calibri" w:hAnsi="Calibri"/>
                <w:b/>
                <w:color w:val="002C5F"/>
                <w:sz w:val="21"/>
              </w:rPr>
              <w:t>8</w:t>
            </w:r>
          </w:p>
        </w:tc>
        <w:tc>
          <w:tcPr>
            <w:tcW w:type="dxa" w:w="7200"/>
            <w:shd w:val="clear" w:color="auto" w:fill="FFFFFF"/>
          </w:tcPr>
          <w:p>
            <w:r>
              <w:rPr>
                <w:rFonts w:ascii="Calibri" w:hAnsi="Calibri"/>
                <w:sz w:val="21"/>
              </w:rPr>
              <w:t>Assumptions &amp; Constraints</w:t>
            </w:r>
          </w:p>
        </w:tc>
        <w:tc>
          <w:tcPr>
            <w:tcW w:type="dxa" w:w="864"/>
            <w:shd w:val="clear" w:color="auto" w:fill="FFFFFF"/>
          </w:tcPr>
          <w:p>
            <w:pPr>
              <w:jc w:val="right"/>
            </w:pPr>
            <w:r>
              <w:rPr>
                <w:rFonts w:ascii="Calibri" w:hAnsi="Calibri"/>
                <w:sz w:val="21"/>
              </w:rPr>
              <w:t>14</w:t>
            </w:r>
          </w:p>
        </w:tc>
      </w:tr>
      <w:tr>
        <w:tc>
          <w:tcPr>
            <w:tcW w:type="dxa" w:w="576"/>
            <w:shd w:val="clear" w:color="auto" w:fill="F2F5FA"/>
          </w:tcPr>
          <w:p>
            <w:r>
              <w:rPr>
                <w:rFonts w:ascii="Calibri" w:hAnsi="Calibri"/>
                <w:b/>
                <w:color w:val="002C5F"/>
                <w:sz w:val="21"/>
              </w:rPr>
              <w:t>9</w:t>
            </w:r>
          </w:p>
        </w:tc>
        <w:tc>
          <w:tcPr>
            <w:tcW w:type="dxa" w:w="7200"/>
            <w:shd w:val="clear" w:color="auto" w:fill="F2F5FA"/>
          </w:tcPr>
          <w:p>
            <w:r>
              <w:rPr>
                <w:rFonts w:ascii="Calibri" w:hAnsi="Calibri"/>
                <w:sz w:val="21"/>
              </w:rPr>
              <w:t>Risk Assessment</w:t>
            </w:r>
          </w:p>
        </w:tc>
        <w:tc>
          <w:tcPr>
            <w:tcW w:type="dxa" w:w="864"/>
            <w:shd w:val="clear" w:color="auto" w:fill="F2F5FA"/>
          </w:tcPr>
          <w:p>
            <w:pPr>
              <w:jc w:val="right"/>
            </w:pPr>
            <w:r>
              <w:rPr>
                <w:rFonts w:ascii="Calibri" w:hAnsi="Calibri"/>
                <w:sz w:val="21"/>
              </w:rPr>
              <w:t>15</w:t>
            </w:r>
          </w:p>
        </w:tc>
      </w:tr>
      <w:tr>
        <w:tc>
          <w:tcPr>
            <w:tcW w:type="dxa" w:w="576"/>
            <w:shd w:val="clear" w:color="auto" w:fill="FFFFFF"/>
          </w:tcPr>
          <w:p>
            <w:r>
              <w:rPr>
                <w:rFonts w:ascii="Calibri" w:hAnsi="Calibri"/>
                <w:b/>
                <w:color w:val="002C5F"/>
                <w:sz w:val="21"/>
              </w:rPr>
              <w:t>10</w:t>
            </w:r>
          </w:p>
        </w:tc>
        <w:tc>
          <w:tcPr>
            <w:tcW w:type="dxa" w:w="7200"/>
            <w:shd w:val="clear" w:color="auto" w:fill="FFFFFF"/>
          </w:tcPr>
          <w:p>
            <w:r>
              <w:rPr>
                <w:rFonts w:ascii="Calibri" w:hAnsi="Calibri"/>
                <w:sz w:val="21"/>
              </w:rPr>
              <w:t>Success Criteria</w:t>
            </w:r>
          </w:p>
        </w:tc>
        <w:tc>
          <w:tcPr>
            <w:tcW w:type="dxa" w:w="864"/>
            <w:shd w:val="clear" w:color="auto" w:fill="FFFFFF"/>
          </w:tcPr>
          <w:p>
            <w:pPr>
              <w:jc w:val="right"/>
            </w:pPr>
            <w:r>
              <w:rPr>
                <w:rFonts w:ascii="Calibri" w:hAnsi="Calibri"/>
                <w:sz w:val="21"/>
              </w:rPr>
              <w:t>16</w:t>
            </w:r>
          </w:p>
        </w:tc>
      </w:tr>
      <w:tr>
        <w:tc>
          <w:tcPr>
            <w:tcW w:type="dxa" w:w="576"/>
            <w:shd w:val="clear" w:color="auto" w:fill="F2F5FA"/>
          </w:tcPr>
          <w:p>
            <w:r>
              <w:rPr>
                <w:rFonts w:ascii="Calibri" w:hAnsi="Calibri"/>
                <w:b/>
                <w:color w:val="002C5F"/>
                <w:sz w:val="21"/>
              </w:rPr>
              <w:t>11</w:t>
            </w:r>
          </w:p>
        </w:tc>
        <w:tc>
          <w:tcPr>
            <w:tcW w:type="dxa" w:w="7200"/>
            <w:shd w:val="clear" w:color="auto" w:fill="F2F5FA"/>
          </w:tcPr>
          <w:p>
            <w:r>
              <w:rPr>
                <w:rFonts w:ascii="Calibri" w:hAnsi="Calibri"/>
                <w:sz w:val="21"/>
              </w:rPr>
              <w:t>Glossary of Terms</w:t>
            </w:r>
          </w:p>
        </w:tc>
        <w:tc>
          <w:tcPr>
            <w:tcW w:type="dxa" w:w="864"/>
            <w:shd w:val="clear" w:color="auto" w:fill="F2F5FA"/>
          </w:tcPr>
          <w:p>
            <w:pPr>
              <w:jc w:val="right"/>
            </w:pPr>
            <w:r>
              <w:rPr>
                <w:rFonts w:ascii="Calibri" w:hAnsi="Calibri"/>
                <w:sz w:val="21"/>
              </w:rPr>
              <w:t>17</w:t>
            </w:r>
          </w:p>
        </w:tc>
      </w:tr>
    </w:tbl>
    <w:p>
      <w:r>
        <w:br w:type="page"/>
      </w:r>
    </w:p>
    <w:p>
      <w:pPr>
        <w:pStyle w:val="Heading1"/>
        <w:spacing w:before="280" w:after="120"/>
      </w:pPr>
      <w:r>
        <w:t>1. Executive Summary</w:t>
      </w:r>
    </w:p>
    <w:p>
      <w:pPr>
        <w:pStyle w:val="Heading2"/>
        <w:spacing w:before="200" w:after="80"/>
      </w:pPr>
      <w:r>
        <w:t>1.1  Overview</w:t>
      </w:r>
    </w:p>
    <w:p>
      <w:pPr>
        <w:spacing w:before="40" w:after="100" w:line="280" w:lineRule="exact"/>
      </w:pPr>
      <w:r>
        <w:t>The Hyundai Dealer Management System (DMS) is an enterprise-grade, full-stack web application purpose-built to digitise and centralise the operational workflows of Hyundai Motor India authorised dealerships. The platform replaces fragmented, manual dealership processes with a unified, roles-aware digital ecosystem that governs the complete vehicle sales lifecycle — from customer onboarding and vehicle booking through to dispatch, sales closure, and post-sale reporting.</w:t>
      </w:r>
    </w:p>
    <w:p>
      <w:pPr>
        <w:spacing w:before="40" w:after="100" w:line="280" w:lineRule="exact"/>
      </w:pPr>
      <w:r>
        <w:t>The system is architected as a three-tier application: a React 18 Single Page Application (SPA) serves as the presentation layer, a Spring Boot 3.x RESTful back-end constitutes the business logic and API tier, and a MySQL 8 relational database underpins persistent data storage. Communication between the frontend and backend is secured via JSON Web Token (JWT) authentication enforced by Spring Security.</w:t>
      </w:r>
    </w:p>
    <w:p>
      <w:pPr>
        <w:pStyle w:val="Heading2"/>
        <w:spacing w:before="200" w:after="80"/>
      </w:pPr>
      <w:r>
        <w:t>1.2  Purpose of the Project</w:t>
      </w:r>
    </w:p>
    <w:p>
      <w:pPr>
        <w:spacing w:before="40" w:after="100" w:line="280" w:lineRule="exact"/>
      </w:pPr>
      <w:r>
        <w:t>The primary purpose of the DMS project is to provide Hyundai dealership personnel with a consolidated, role-sensitive platform that eliminates operational silos, reduces data duplication, and enforces business rules through systematic automation. Specifically, the system aims to:</w:t>
      </w:r>
    </w:p>
    <w:p>
      <w:pPr>
        <w:pStyle w:val="ListBullet"/>
        <w:spacing w:before="20" w:after="60"/>
        <w:ind w:left="432"/>
        <w:numPr>
          <w:ilvl w:val="0"/>
          <w:numId w:val="1"/>
        </w:numPr>
      </w:pPr>
      <w:r>
        <w:rPr>
          <w:rFonts w:ascii="Calibri" w:hAnsi="Calibri"/>
          <w:color w:val="1A1A1A"/>
          <w:sz w:val="22"/>
        </w:rPr>
        <w:t>Automate vehicle inventory tracking across multiple statusworkflow states (In Transit → In Stockyard → In Showroom → Booked → Dispatched → Sold).</w:t>
      </w:r>
    </w:p>
    <w:p>
      <w:pPr>
        <w:pStyle w:val="ListBullet"/>
        <w:spacing w:before="20" w:after="60"/>
        <w:ind w:left="432"/>
        <w:numPr>
          <w:ilvl w:val="0"/>
          <w:numId w:val="1"/>
        </w:numPr>
      </w:pPr>
      <w:r>
        <w:rPr>
          <w:rFonts w:ascii="Calibri" w:hAnsi="Calibri"/>
          <w:color w:val="1A1A1A"/>
          <w:sz w:val="22"/>
        </w:rPr>
        <w:t>Digitise the end-to-end customer booking and delivery workflow with full audit traceability.</w:t>
      </w:r>
    </w:p>
    <w:p>
      <w:pPr>
        <w:pStyle w:val="ListBullet"/>
        <w:spacing w:before="20" w:after="60"/>
        <w:ind w:left="432"/>
        <w:numPr>
          <w:ilvl w:val="0"/>
          <w:numId w:val="1"/>
        </w:numPr>
      </w:pPr>
      <w:r>
        <w:rPr>
          <w:rFonts w:ascii="Calibri" w:hAnsi="Calibri"/>
          <w:color w:val="1A1A1A"/>
          <w:sz w:val="22"/>
        </w:rPr>
        <w:t>Provide real-time dashboards and analytics to support data-driven management decisions.</w:t>
      </w:r>
    </w:p>
    <w:p>
      <w:pPr>
        <w:pStyle w:val="ListBullet"/>
        <w:spacing w:before="20" w:after="60"/>
        <w:ind w:left="432"/>
        <w:numPr>
          <w:ilvl w:val="0"/>
          <w:numId w:val="1"/>
        </w:numPr>
      </w:pPr>
      <w:r>
        <w:rPr>
          <w:rFonts w:ascii="Calibri" w:hAnsi="Calibri"/>
          <w:color w:val="1A1A1A"/>
          <w:sz w:val="22"/>
        </w:rPr>
        <w:t>Enforce granular Role-Based Access Control (RBAC) to protect sensitive business and financial data.</w:t>
      </w:r>
    </w:p>
    <w:p>
      <w:pPr>
        <w:pStyle w:val="ListBullet"/>
        <w:spacing w:before="20" w:after="60"/>
        <w:ind w:left="432"/>
        <w:numPr>
          <w:ilvl w:val="0"/>
          <w:numId w:val="1"/>
        </w:numPr>
      </w:pPr>
      <w:r>
        <w:rPr>
          <w:rFonts w:ascii="Calibri" w:hAnsi="Calibri"/>
          <w:color w:val="1A1A1A"/>
          <w:sz w:val="22"/>
        </w:rPr>
        <w:t>Standardise reporting across sales, inventory, dispatch, and customer engagement metrics.</w:t>
      </w:r>
    </w:p>
    <w:p>
      <w:pPr>
        <w:pStyle w:val="Heading2"/>
        <w:spacing w:before="200" w:after="80"/>
      </w:pPr>
      <w:r>
        <w:t>1.3  Business Value</w:t>
      </w:r>
    </w:p>
    <w:p>
      <w:pPr>
        <w:spacing w:before="40" w:after="100" w:line="280" w:lineRule="exact"/>
      </w:pPr>
      <w:r>
        <w:t>By implementing the DMS, dealerships stand to achieve the following tangible business benefits: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02C5F"/>
          </w:tcPr>
          <w:p>
            <w:pPr>
              <w:spacing w:before="60" w:after="60"/>
              <w:jc w:val="center"/>
            </w:pPr>
            <w:r/>
            <w:r>
              <w:rPr>
                <w:rFonts w:ascii="Calibri" w:hAnsi="Calibri"/>
                <w:b/>
                <w:color w:val="FFFFFF"/>
                <w:sz w:val="21"/>
              </w:rPr>
              <w:t>Business Benefit</w:t>
            </w:r>
          </w:p>
        </w:tc>
        <w:tc>
          <w:tcPr>
            <w:tcW w:type="dxa" w:w="6624"/>
            <w:shd w:val="clear" w:color="auto" w:fill="002C5F"/>
          </w:tcPr>
          <w:p>
            <w:pPr>
              <w:spacing w:before="60" w:after="60"/>
              <w:jc w:val="center"/>
            </w:pPr>
            <w:r/>
            <w:r>
              <w:rPr>
                <w:rFonts w:ascii="Calibri" w:hAnsi="Calibri"/>
                <w:b/>
                <w:color w:val="FFFFFF"/>
                <w:sz w:val="21"/>
              </w:rPr>
              <w:t>Description</w:t>
            </w:r>
          </w:p>
        </w:tc>
      </w:tr>
      <w:tr>
        <w:tc>
          <w:tcPr>
            <w:tcW w:type="dxa" w:w="2880"/>
            <w:shd w:val="clear" w:color="auto" w:fill="F9FBFF"/>
          </w:tcPr>
          <w:p>
            <w:pPr>
              <w:spacing w:before="40" w:after="40"/>
            </w:pPr>
            <w:r/>
            <w:r>
              <w:rPr>
                <w:rFonts w:ascii="Calibri" w:hAnsi="Calibri"/>
                <w:sz w:val="21"/>
              </w:rPr>
              <w:t>Operational Efficiency</w:t>
            </w:r>
          </w:p>
        </w:tc>
        <w:tc>
          <w:tcPr>
            <w:tcW w:type="dxa" w:w="6624"/>
            <w:shd w:val="clear" w:color="auto" w:fill="F9FBFF"/>
          </w:tcPr>
          <w:p>
            <w:pPr>
              <w:spacing w:before="40" w:after="40"/>
            </w:pPr>
            <w:r/>
            <w:r>
              <w:rPr>
                <w:rFonts w:ascii="Calibri" w:hAnsi="Calibri"/>
                <w:sz w:val="21"/>
              </w:rPr>
              <w:t>Reduction in manual data entry; automated booking number, invoice, and dispatch record generation.</w:t>
            </w:r>
          </w:p>
        </w:tc>
      </w:tr>
      <w:tr>
        <w:tc>
          <w:tcPr>
            <w:tcW w:type="dxa" w:w="2880"/>
            <w:shd w:val="clear" w:color="auto" w:fill="FFFFFF"/>
          </w:tcPr>
          <w:p>
            <w:pPr>
              <w:spacing w:before="40" w:after="40"/>
            </w:pPr>
            <w:r/>
            <w:r>
              <w:rPr>
                <w:rFonts w:ascii="Calibri" w:hAnsi="Calibri"/>
                <w:sz w:val="21"/>
              </w:rPr>
              <w:t>Data Accuracy</w:t>
            </w:r>
          </w:p>
        </w:tc>
        <w:tc>
          <w:tcPr>
            <w:tcW w:type="dxa" w:w="6624"/>
            <w:shd w:val="clear" w:color="auto" w:fill="FFFFFF"/>
          </w:tcPr>
          <w:p>
            <w:pPr>
              <w:spacing w:before="40" w:after="40"/>
            </w:pPr>
            <w:r/>
            <w:r>
              <w:rPr>
                <w:rFonts w:ascii="Calibri" w:hAnsi="Calibri"/>
                <w:sz w:val="21"/>
              </w:rPr>
              <w:t>Centralised master records for vehicles, customers, and transactions eliminate redundancy.</w:t>
            </w:r>
          </w:p>
        </w:tc>
      </w:tr>
      <w:tr>
        <w:tc>
          <w:tcPr>
            <w:tcW w:type="dxa" w:w="2880"/>
            <w:shd w:val="clear" w:color="auto" w:fill="F9FBFF"/>
          </w:tcPr>
          <w:p>
            <w:pPr>
              <w:spacing w:before="40" w:after="40"/>
            </w:pPr>
            <w:r/>
            <w:r>
              <w:rPr>
                <w:rFonts w:ascii="Calibri" w:hAnsi="Calibri"/>
                <w:sz w:val="21"/>
              </w:rPr>
              <w:t>Customer Experience</w:t>
            </w:r>
          </w:p>
        </w:tc>
        <w:tc>
          <w:tcPr>
            <w:tcW w:type="dxa" w:w="6624"/>
            <w:shd w:val="clear" w:color="auto" w:fill="F9FBFF"/>
          </w:tcPr>
          <w:p>
            <w:pPr>
              <w:spacing w:before="40" w:after="40"/>
            </w:pPr>
            <w:r/>
            <w:r>
              <w:rPr>
                <w:rFonts w:ascii="Calibri" w:hAnsi="Calibri"/>
                <w:sz w:val="21"/>
              </w:rPr>
              <w:t>360° customer profiles, test drive scheduling, and loyalty tracking improve customer relationship management.</w:t>
            </w:r>
          </w:p>
        </w:tc>
      </w:tr>
      <w:tr>
        <w:tc>
          <w:tcPr>
            <w:tcW w:type="dxa" w:w="2880"/>
            <w:shd w:val="clear" w:color="auto" w:fill="FFFFFF"/>
          </w:tcPr>
          <w:p>
            <w:pPr>
              <w:spacing w:before="40" w:after="40"/>
            </w:pPr>
            <w:r/>
            <w:r>
              <w:rPr>
                <w:rFonts w:ascii="Calibri" w:hAnsi="Calibri"/>
                <w:sz w:val="21"/>
              </w:rPr>
              <w:t>Management Visibility</w:t>
            </w:r>
          </w:p>
        </w:tc>
        <w:tc>
          <w:tcPr>
            <w:tcW w:type="dxa" w:w="6624"/>
            <w:shd w:val="clear" w:color="auto" w:fill="FFFFFF"/>
          </w:tcPr>
          <w:p>
            <w:pPr>
              <w:spacing w:before="40" w:after="40"/>
            </w:pPr>
            <w:r/>
            <w:r>
              <w:rPr>
                <w:rFonts w:ascii="Calibri" w:hAnsi="Calibri"/>
                <w:sz w:val="21"/>
              </w:rPr>
              <w:t>Interactive KPI dashboards provide real-time insight into revenue, bookings, and inventory status.</w:t>
            </w:r>
          </w:p>
        </w:tc>
      </w:tr>
      <w:tr>
        <w:tc>
          <w:tcPr>
            <w:tcW w:type="dxa" w:w="2880"/>
            <w:shd w:val="clear" w:color="auto" w:fill="F9FBFF"/>
          </w:tcPr>
          <w:p>
            <w:pPr>
              <w:spacing w:before="40" w:after="40"/>
            </w:pPr>
            <w:r/>
            <w:r>
              <w:rPr>
                <w:rFonts w:ascii="Calibri" w:hAnsi="Calibri"/>
                <w:sz w:val="21"/>
              </w:rPr>
              <w:t>Regulatory Compliance</w:t>
            </w:r>
          </w:p>
        </w:tc>
        <w:tc>
          <w:tcPr>
            <w:tcW w:type="dxa" w:w="6624"/>
            <w:shd w:val="clear" w:color="auto" w:fill="F9FBFF"/>
          </w:tcPr>
          <w:p>
            <w:pPr>
              <w:spacing w:before="40" w:after="40"/>
            </w:pPr>
            <w:r/>
            <w:r>
              <w:rPr>
                <w:rFonts w:ascii="Calibri" w:hAnsi="Calibri"/>
                <w:sz w:val="21"/>
              </w:rPr>
              <w:t>Immutable audit logs ensure accountability for all system actions, supporting compliance requirements.</w:t>
            </w:r>
          </w:p>
        </w:tc>
      </w:tr>
      <w:tr>
        <w:tc>
          <w:tcPr>
            <w:tcW w:type="dxa" w:w="2880"/>
            <w:shd w:val="clear" w:color="auto" w:fill="FFFFFF"/>
          </w:tcPr>
          <w:p>
            <w:pPr>
              <w:spacing w:before="40" w:after="40"/>
            </w:pPr>
            <w:r/>
            <w:r>
              <w:rPr>
                <w:rFonts w:ascii="Calibri" w:hAnsi="Calibri"/>
                <w:sz w:val="21"/>
              </w:rPr>
              <w:t>Scalability</w:t>
            </w:r>
          </w:p>
        </w:tc>
        <w:tc>
          <w:tcPr>
            <w:tcW w:type="dxa" w:w="6624"/>
            <w:shd w:val="clear" w:color="auto" w:fill="FFFFFF"/>
          </w:tcPr>
          <w:p>
            <w:pPr>
              <w:spacing w:before="40" w:after="40"/>
            </w:pPr>
            <w:r/>
            <w:r>
              <w:rPr>
                <w:rFonts w:ascii="Calibri" w:hAnsi="Calibri"/>
                <w:sz w:val="21"/>
              </w:rPr>
              <w:t>Multi-dealership architecture allows future onboarding of additional dealership locations.</w:t>
            </w:r>
          </w:p>
        </w:tc>
      </w:tr>
    </w:tbl>
    <w:p/>
    <w:p>
      <w:r>
        <w:br w:type="page"/>
      </w:r>
    </w:p>
    <w:p>
      <w:pPr>
        <w:pStyle w:val="Heading1"/>
        <w:spacing w:before="280" w:after="120"/>
      </w:pPr>
      <w:r>
        <w:t>2. Project Objectives</w:t>
      </w:r>
    </w:p>
    <w:p>
      <w:pPr>
        <w:spacing w:before="40" w:after="100" w:line="280" w:lineRule="exact"/>
      </w:pPr>
      <w:r>
        <w:t>The Hyundai DMS project is guided by the following strategic and operational objectives:</w:t>
      </w:r>
    </w:p>
    <w:tbl>
      <w:tblPr>
        <w:tblStyle w:val="TableGrid"/>
        <w:tblW w:type="auto" w:w="0"/>
        <w:jc w:val="left"/>
        <w:tblLook w:firstColumn="1" w:firstRow="1" w:lastColumn="0" w:lastRow="0" w:noHBand="0" w:noVBand="1" w:val="04A0"/>
      </w:tblPr>
      <w:tblGrid>
        <w:gridCol w:w="3135"/>
        <w:gridCol w:w="3135"/>
        <w:gridCol w:w="3135"/>
      </w:tblGrid>
      <w:tr>
        <w:tc>
          <w:tcPr>
            <w:tcW w:type="dxa" w:w="1080"/>
            <w:shd w:val="clear" w:color="auto" w:fill="002C5F"/>
          </w:tcPr>
          <w:p>
            <w:pPr>
              <w:spacing w:before="60" w:after="60"/>
              <w:jc w:val="center"/>
            </w:pPr>
            <w:r/>
            <w:r>
              <w:rPr>
                <w:rFonts w:ascii="Calibri" w:hAnsi="Calibri"/>
                <w:b/>
                <w:color w:val="FFFFFF"/>
                <w:sz w:val="21"/>
              </w:rPr>
              <w:t>ID</w:t>
            </w:r>
          </w:p>
        </w:tc>
        <w:tc>
          <w:tcPr>
            <w:tcW w:type="dxa" w:w="2448"/>
            <w:shd w:val="clear" w:color="auto" w:fill="002C5F"/>
          </w:tcPr>
          <w:p>
            <w:pPr>
              <w:spacing w:before="60" w:after="60"/>
              <w:jc w:val="center"/>
            </w:pPr>
            <w:r/>
            <w:r>
              <w:rPr>
                <w:rFonts w:ascii="Calibri" w:hAnsi="Calibri"/>
                <w:b/>
                <w:color w:val="FFFFFF"/>
                <w:sz w:val="21"/>
              </w:rPr>
              <w:t>Objective</w:t>
            </w:r>
          </w:p>
        </w:tc>
        <w:tc>
          <w:tcPr>
            <w:tcW w:type="dxa" w:w="5976"/>
            <w:shd w:val="clear" w:color="auto" w:fill="002C5F"/>
          </w:tcPr>
          <w:p>
            <w:pPr>
              <w:spacing w:before="60" w:after="60"/>
              <w:jc w:val="center"/>
            </w:pPr>
            <w:r/>
            <w:r>
              <w:rPr>
                <w:rFonts w:ascii="Calibri" w:hAnsi="Calibri"/>
                <w:b/>
                <w:color w:val="FFFFFF"/>
                <w:sz w:val="21"/>
              </w:rPr>
              <w:t>Description</w:t>
            </w:r>
          </w:p>
        </w:tc>
      </w:tr>
      <w:tr>
        <w:tc>
          <w:tcPr>
            <w:tcW w:type="dxa" w:w="1080"/>
            <w:shd w:val="clear" w:color="auto" w:fill="F9FBFF"/>
          </w:tcPr>
          <w:p>
            <w:pPr>
              <w:spacing w:before="40" w:after="40"/>
            </w:pPr>
            <w:r/>
            <w:r>
              <w:rPr>
                <w:rFonts w:ascii="Calibri" w:hAnsi="Calibri"/>
                <w:sz w:val="21"/>
              </w:rPr>
              <w:t>OBJ-01</w:t>
            </w:r>
          </w:p>
        </w:tc>
        <w:tc>
          <w:tcPr>
            <w:tcW w:type="dxa" w:w="2448"/>
            <w:shd w:val="clear" w:color="auto" w:fill="F9FBFF"/>
          </w:tcPr>
          <w:p>
            <w:pPr>
              <w:spacing w:before="40" w:after="40"/>
            </w:pPr>
            <w:r/>
            <w:r>
              <w:rPr>
                <w:rFonts w:ascii="Calibri" w:hAnsi="Calibri"/>
                <w:sz w:val="21"/>
              </w:rPr>
              <w:t>Automation</w:t>
            </w:r>
          </w:p>
        </w:tc>
        <w:tc>
          <w:tcPr>
            <w:tcW w:type="dxa" w:w="5976"/>
            <w:shd w:val="clear" w:color="auto" w:fill="F9FBFF"/>
          </w:tcPr>
          <w:p>
            <w:pPr>
              <w:spacing w:before="40" w:after="40"/>
            </w:pPr>
            <w:r/>
            <w:r>
              <w:rPr>
                <w:rFonts w:ascii="Calibri" w:hAnsi="Calibri"/>
                <w:sz w:val="21"/>
              </w:rPr>
              <w:t>Automate manual dealership workflows covering vehicle receipt, booking, delivery, and sales invoicing to reduce processing time and human error.</w:t>
            </w:r>
          </w:p>
        </w:tc>
      </w:tr>
      <w:tr>
        <w:tc>
          <w:tcPr>
            <w:tcW w:type="dxa" w:w="1080"/>
            <w:shd w:val="clear" w:color="auto" w:fill="FFFFFF"/>
          </w:tcPr>
          <w:p>
            <w:pPr>
              <w:spacing w:before="40" w:after="40"/>
            </w:pPr>
            <w:r/>
            <w:r>
              <w:rPr>
                <w:rFonts w:ascii="Calibri" w:hAnsi="Calibri"/>
                <w:sz w:val="21"/>
              </w:rPr>
              <w:t>OBJ-02</w:t>
            </w:r>
          </w:p>
        </w:tc>
        <w:tc>
          <w:tcPr>
            <w:tcW w:type="dxa" w:w="2448"/>
            <w:shd w:val="clear" w:color="auto" w:fill="FFFFFF"/>
          </w:tcPr>
          <w:p>
            <w:pPr>
              <w:spacing w:before="40" w:after="40"/>
            </w:pPr>
            <w:r/>
            <w:r>
              <w:rPr>
                <w:rFonts w:ascii="Calibri" w:hAnsi="Calibri"/>
                <w:sz w:val="21"/>
              </w:rPr>
              <w:t>Centralised Data</w:t>
            </w:r>
          </w:p>
        </w:tc>
        <w:tc>
          <w:tcPr>
            <w:tcW w:type="dxa" w:w="5976"/>
            <w:shd w:val="clear" w:color="auto" w:fill="FFFFFF"/>
          </w:tcPr>
          <w:p>
            <w:pPr>
              <w:spacing w:before="40" w:after="40"/>
            </w:pPr>
            <w:r/>
            <w:r>
              <w:rPr>
                <w:rFonts w:ascii="Calibri" w:hAnsi="Calibri"/>
                <w:sz w:val="21"/>
              </w:rPr>
              <w:t>Establish a single source of truth for all dealership data — vehicles, customers, bookings, accessories, and financial transactions — within a relational database.</w:t>
            </w:r>
          </w:p>
        </w:tc>
      </w:tr>
      <w:tr>
        <w:tc>
          <w:tcPr>
            <w:tcW w:type="dxa" w:w="1080"/>
            <w:shd w:val="clear" w:color="auto" w:fill="F9FBFF"/>
          </w:tcPr>
          <w:p>
            <w:pPr>
              <w:spacing w:before="40" w:after="40"/>
            </w:pPr>
            <w:r/>
            <w:r>
              <w:rPr>
                <w:rFonts w:ascii="Calibri" w:hAnsi="Calibri"/>
                <w:sz w:val="21"/>
              </w:rPr>
              <w:t>OBJ-03</w:t>
            </w:r>
          </w:p>
        </w:tc>
        <w:tc>
          <w:tcPr>
            <w:tcW w:type="dxa" w:w="2448"/>
            <w:shd w:val="clear" w:color="auto" w:fill="F9FBFF"/>
          </w:tcPr>
          <w:p>
            <w:pPr>
              <w:spacing w:before="40" w:after="40"/>
            </w:pPr>
            <w:r/>
            <w:r>
              <w:rPr>
                <w:rFonts w:ascii="Calibri" w:hAnsi="Calibri"/>
                <w:sz w:val="21"/>
              </w:rPr>
              <w:t>Role-Based Access</w:t>
            </w:r>
          </w:p>
        </w:tc>
        <w:tc>
          <w:tcPr>
            <w:tcW w:type="dxa" w:w="5976"/>
            <w:shd w:val="clear" w:color="auto" w:fill="F9FBFF"/>
          </w:tcPr>
          <w:p>
            <w:pPr>
              <w:spacing w:before="40" w:after="40"/>
            </w:pPr>
            <w:r/>
            <w:r>
              <w:rPr>
                <w:rFonts w:ascii="Calibri" w:hAnsi="Calibri"/>
                <w:sz w:val="21"/>
              </w:rPr>
              <w:t>Implement granular RBAC with four distinct roles (Super Admin, Dealer Manager, Sales Executive, Senior Official) ensuring each user accesses only the data and functions relevant to their responsibilities.</w:t>
            </w:r>
          </w:p>
        </w:tc>
      </w:tr>
      <w:tr>
        <w:tc>
          <w:tcPr>
            <w:tcW w:type="dxa" w:w="1080"/>
            <w:shd w:val="clear" w:color="auto" w:fill="FFFFFF"/>
          </w:tcPr>
          <w:p>
            <w:pPr>
              <w:spacing w:before="40" w:after="40"/>
            </w:pPr>
            <w:r/>
            <w:r>
              <w:rPr>
                <w:rFonts w:ascii="Calibri" w:hAnsi="Calibri"/>
                <w:sz w:val="21"/>
              </w:rPr>
              <w:t>OBJ-04</w:t>
            </w:r>
          </w:p>
        </w:tc>
        <w:tc>
          <w:tcPr>
            <w:tcW w:type="dxa" w:w="2448"/>
            <w:shd w:val="clear" w:color="auto" w:fill="FFFFFF"/>
          </w:tcPr>
          <w:p>
            <w:pPr>
              <w:spacing w:before="40" w:after="40"/>
            </w:pPr>
            <w:r/>
            <w:r>
              <w:rPr>
                <w:rFonts w:ascii="Calibri" w:hAnsi="Calibri"/>
                <w:sz w:val="21"/>
              </w:rPr>
              <w:t>Real-Time Analytics</w:t>
            </w:r>
          </w:p>
        </w:tc>
        <w:tc>
          <w:tcPr>
            <w:tcW w:type="dxa" w:w="5976"/>
            <w:shd w:val="clear" w:color="auto" w:fill="FFFFFF"/>
          </w:tcPr>
          <w:p>
            <w:pPr>
              <w:spacing w:before="40" w:after="40"/>
            </w:pPr>
            <w:r/>
            <w:r>
              <w:rPr>
                <w:rFonts w:ascii="Calibri" w:hAnsi="Calibri"/>
                <w:sz w:val="21"/>
              </w:rPr>
              <w:t>Deliver live KPI dashboards and scheduled/custom reports enabling management to monitor sales performance, inventory levels, and booking trends on demand.</w:t>
            </w:r>
          </w:p>
        </w:tc>
      </w:tr>
      <w:tr>
        <w:tc>
          <w:tcPr>
            <w:tcW w:type="dxa" w:w="1080"/>
            <w:shd w:val="clear" w:color="auto" w:fill="F9FBFF"/>
          </w:tcPr>
          <w:p>
            <w:pPr>
              <w:spacing w:before="40" w:after="40"/>
            </w:pPr>
            <w:r/>
            <w:r>
              <w:rPr>
                <w:rFonts w:ascii="Calibri" w:hAnsi="Calibri"/>
                <w:sz w:val="21"/>
              </w:rPr>
              <w:t>OBJ-05</w:t>
            </w:r>
          </w:p>
        </w:tc>
        <w:tc>
          <w:tcPr>
            <w:tcW w:type="dxa" w:w="2448"/>
            <w:shd w:val="clear" w:color="auto" w:fill="F9FBFF"/>
          </w:tcPr>
          <w:p>
            <w:pPr>
              <w:spacing w:before="40" w:after="40"/>
            </w:pPr>
            <w:r/>
            <w:r>
              <w:rPr>
                <w:rFonts w:ascii="Calibri" w:hAnsi="Calibri"/>
                <w:sz w:val="21"/>
              </w:rPr>
              <w:t>Customer Management</w:t>
            </w:r>
          </w:p>
        </w:tc>
        <w:tc>
          <w:tcPr>
            <w:tcW w:type="dxa" w:w="5976"/>
            <w:shd w:val="clear" w:color="auto" w:fill="F9FBFF"/>
          </w:tcPr>
          <w:p>
            <w:pPr>
              <w:spacing w:before="40" w:after="40"/>
            </w:pPr>
            <w:r/>
            <w:r>
              <w:rPr>
                <w:rFonts w:ascii="Calibri" w:hAnsi="Calibri"/>
                <w:sz w:val="21"/>
              </w:rPr>
              <w:t>Provide a comprehensive CRM module that tracks customer demographics, purchase history, test drives, exchange requests, and loyalty points.</w:t>
            </w:r>
          </w:p>
        </w:tc>
      </w:tr>
      <w:tr>
        <w:tc>
          <w:tcPr>
            <w:tcW w:type="dxa" w:w="1080"/>
            <w:shd w:val="clear" w:color="auto" w:fill="FFFFFF"/>
          </w:tcPr>
          <w:p>
            <w:pPr>
              <w:spacing w:before="40" w:after="40"/>
            </w:pPr>
            <w:r/>
            <w:r>
              <w:rPr>
                <w:rFonts w:ascii="Calibri" w:hAnsi="Calibri"/>
                <w:sz w:val="21"/>
              </w:rPr>
              <w:t>OBJ-06</w:t>
            </w:r>
          </w:p>
        </w:tc>
        <w:tc>
          <w:tcPr>
            <w:tcW w:type="dxa" w:w="2448"/>
            <w:shd w:val="clear" w:color="auto" w:fill="FFFFFF"/>
          </w:tcPr>
          <w:p>
            <w:pPr>
              <w:spacing w:before="40" w:after="40"/>
            </w:pPr>
            <w:r/>
            <w:r>
              <w:rPr>
                <w:rFonts w:ascii="Calibri" w:hAnsi="Calibri"/>
                <w:sz w:val="21"/>
              </w:rPr>
              <w:t>Inventory Control</w:t>
            </w:r>
          </w:p>
        </w:tc>
        <w:tc>
          <w:tcPr>
            <w:tcW w:type="dxa" w:w="5976"/>
            <w:shd w:val="clear" w:color="auto" w:fill="FFFFFF"/>
          </w:tcPr>
          <w:p>
            <w:pPr>
              <w:spacing w:before="40" w:after="40"/>
            </w:pPr>
            <w:r/>
            <w:r>
              <w:rPr>
                <w:rFonts w:ascii="Calibri" w:hAnsi="Calibri"/>
                <w:sz w:val="21"/>
              </w:rPr>
              <w:t>Maintain real-time status visibility over every vehicle from arrival at stockyard to final sale dispatch, including physical location, VIN, chassis, engine numbers, and pricing.</w:t>
            </w:r>
          </w:p>
        </w:tc>
      </w:tr>
      <w:tr>
        <w:tc>
          <w:tcPr>
            <w:tcW w:type="dxa" w:w="1080"/>
            <w:shd w:val="clear" w:color="auto" w:fill="F9FBFF"/>
          </w:tcPr>
          <w:p>
            <w:pPr>
              <w:spacing w:before="40" w:after="40"/>
            </w:pPr>
            <w:r/>
            <w:r>
              <w:rPr>
                <w:rFonts w:ascii="Calibri" w:hAnsi="Calibri"/>
                <w:sz w:val="21"/>
              </w:rPr>
              <w:t>OBJ-07</w:t>
            </w:r>
          </w:p>
        </w:tc>
        <w:tc>
          <w:tcPr>
            <w:tcW w:type="dxa" w:w="2448"/>
            <w:shd w:val="clear" w:color="auto" w:fill="F9FBFF"/>
          </w:tcPr>
          <w:p>
            <w:pPr>
              <w:spacing w:before="40" w:after="40"/>
            </w:pPr>
            <w:r/>
            <w:r>
              <w:rPr>
                <w:rFonts w:ascii="Calibri" w:hAnsi="Calibri"/>
                <w:sz w:val="21"/>
              </w:rPr>
              <w:t>Audit &amp; Compliance</w:t>
            </w:r>
          </w:p>
        </w:tc>
        <w:tc>
          <w:tcPr>
            <w:tcW w:type="dxa" w:w="5976"/>
            <w:shd w:val="clear" w:color="auto" w:fill="F9FBFF"/>
          </w:tcPr>
          <w:p>
            <w:pPr>
              <w:spacing w:before="40" w:after="40"/>
            </w:pPr>
            <w:r/>
            <w:r>
              <w:rPr>
                <w:rFonts w:ascii="Calibri" w:hAnsi="Calibri"/>
                <w:sz w:val="21"/>
              </w:rPr>
              <w:t>Record all create, update, and delete operations in an immutable audit log, capturing the acting user, timestamp, and action details for governance and compliance.</w:t>
            </w:r>
          </w:p>
        </w:tc>
      </w:tr>
      <w:tr>
        <w:tc>
          <w:tcPr>
            <w:tcW w:type="dxa" w:w="1080"/>
            <w:shd w:val="clear" w:color="auto" w:fill="FFFFFF"/>
          </w:tcPr>
          <w:p>
            <w:pPr>
              <w:spacing w:before="40" w:after="40"/>
            </w:pPr>
            <w:r/>
            <w:r>
              <w:rPr>
                <w:rFonts w:ascii="Calibri" w:hAnsi="Calibri"/>
                <w:sz w:val="21"/>
              </w:rPr>
              <w:t>OBJ-08</w:t>
            </w:r>
          </w:p>
        </w:tc>
        <w:tc>
          <w:tcPr>
            <w:tcW w:type="dxa" w:w="2448"/>
            <w:shd w:val="clear" w:color="auto" w:fill="FFFFFF"/>
          </w:tcPr>
          <w:p>
            <w:pPr>
              <w:spacing w:before="40" w:after="40"/>
            </w:pPr>
            <w:r/>
            <w:r>
              <w:rPr>
                <w:rFonts w:ascii="Calibri" w:hAnsi="Calibri"/>
                <w:sz w:val="21"/>
              </w:rPr>
              <w:t>Exchange Management</w:t>
            </w:r>
          </w:p>
        </w:tc>
        <w:tc>
          <w:tcPr>
            <w:tcW w:type="dxa" w:w="5976"/>
            <w:shd w:val="clear" w:color="auto" w:fill="FFFFFF"/>
          </w:tcPr>
          <w:p>
            <w:pPr>
              <w:spacing w:before="40" w:after="40"/>
            </w:pPr>
            <w:r/>
            <w:r>
              <w:rPr>
                <w:rFonts w:ascii="Calibri" w:hAnsi="Calibri"/>
                <w:sz w:val="21"/>
              </w:rPr>
              <w:t>Facilitate old-vehicle exchange valuation workflows, integrating the evaluated exchange value into the final sales transaction amount.</w:t>
            </w:r>
          </w:p>
        </w:tc>
      </w:tr>
      <w:tr>
        <w:tc>
          <w:tcPr>
            <w:tcW w:type="dxa" w:w="1080"/>
            <w:shd w:val="clear" w:color="auto" w:fill="F9FBFF"/>
          </w:tcPr>
          <w:p>
            <w:pPr>
              <w:spacing w:before="40" w:after="40"/>
            </w:pPr>
            <w:r/>
            <w:r>
              <w:rPr>
                <w:rFonts w:ascii="Calibri" w:hAnsi="Calibri"/>
                <w:sz w:val="21"/>
              </w:rPr>
              <w:t>OBJ-09</w:t>
            </w:r>
          </w:p>
        </w:tc>
        <w:tc>
          <w:tcPr>
            <w:tcW w:type="dxa" w:w="2448"/>
            <w:shd w:val="clear" w:color="auto" w:fill="F9FBFF"/>
          </w:tcPr>
          <w:p>
            <w:pPr>
              <w:spacing w:before="40" w:after="40"/>
            </w:pPr>
            <w:r/>
            <w:r>
              <w:rPr>
                <w:rFonts w:ascii="Calibri" w:hAnsi="Calibri"/>
                <w:sz w:val="21"/>
              </w:rPr>
              <w:t>Test Drive Scheduling</w:t>
            </w:r>
          </w:p>
        </w:tc>
        <w:tc>
          <w:tcPr>
            <w:tcW w:type="dxa" w:w="5976"/>
            <w:shd w:val="clear" w:color="auto" w:fill="F9FBFF"/>
          </w:tcPr>
          <w:p>
            <w:pPr>
              <w:spacing w:before="40" w:after="40"/>
            </w:pPr>
            <w:r/>
            <w:r>
              <w:rPr>
                <w:rFonts w:ascii="Calibri" w:hAnsi="Calibri"/>
                <w:sz w:val="21"/>
              </w:rPr>
              <w:t>Enable structured scheduling, tracking, and outcome recording of customer test drives, with calendar visibility and post-drive feedback capture.</w:t>
            </w:r>
          </w:p>
        </w:tc>
      </w:tr>
      <w:tr>
        <w:tc>
          <w:tcPr>
            <w:tcW w:type="dxa" w:w="1080"/>
            <w:shd w:val="clear" w:color="auto" w:fill="FFFFFF"/>
          </w:tcPr>
          <w:p>
            <w:pPr>
              <w:spacing w:before="40" w:after="40"/>
            </w:pPr>
            <w:r/>
            <w:r>
              <w:rPr>
                <w:rFonts w:ascii="Calibri" w:hAnsi="Calibri"/>
                <w:sz w:val="21"/>
              </w:rPr>
              <w:t>OBJ-10</w:t>
            </w:r>
          </w:p>
        </w:tc>
        <w:tc>
          <w:tcPr>
            <w:tcW w:type="dxa" w:w="2448"/>
            <w:shd w:val="clear" w:color="auto" w:fill="FFFFFF"/>
          </w:tcPr>
          <w:p>
            <w:pPr>
              <w:spacing w:before="40" w:after="40"/>
            </w:pPr>
            <w:r/>
            <w:r>
              <w:rPr>
                <w:rFonts w:ascii="Calibri" w:hAnsi="Calibri"/>
                <w:sz w:val="21"/>
              </w:rPr>
              <w:t>Scalability &amp; Uptime</w:t>
            </w:r>
          </w:p>
        </w:tc>
        <w:tc>
          <w:tcPr>
            <w:tcW w:type="dxa" w:w="5976"/>
            <w:shd w:val="clear" w:color="auto" w:fill="FFFFFF"/>
          </w:tcPr>
          <w:p>
            <w:pPr>
              <w:spacing w:before="40" w:after="40"/>
            </w:pPr>
            <w:r/>
            <w:r>
              <w:rPr>
                <w:rFonts w:ascii="Calibri" w:hAnsi="Calibri"/>
                <w:sz w:val="21"/>
              </w:rPr>
              <w:t>Build on a modern technology stack (Spring Boot, React, MySQL) that supports future horizontal scaling, additional dealership locations, and high availability deployment.</w:t>
            </w:r>
          </w:p>
        </w:tc>
      </w:tr>
    </w:tbl>
    <w:p/>
    <w:p>
      <w:r>
        <w:br w:type="page"/>
      </w:r>
    </w:p>
    <w:p>
      <w:pPr>
        <w:pStyle w:val="Heading1"/>
        <w:spacing w:before="280" w:after="120"/>
      </w:pPr>
      <w:r>
        <w:t>3. Project Scope</w:t>
      </w:r>
    </w:p>
    <w:p>
      <w:pPr>
        <w:pStyle w:val="Heading2"/>
        <w:spacing w:before="200" w:after="80"/>
      </w:pPr>
      <w:r>
        <w:t>3.1  In-Scope Features</w:t>
      </w:r>
    </w:p>
    <w:p>
      <w:pPr>
        <w:spacing w:before="40" w:after="100" w:line="280" w:lineRule="exact"/>
      </w:pPr>
      <w:r>
        <w:t>The following functional areas and capabilities are within the defined scope of the DMS project:</w:t>
      </w:r>
    </w:p>
    <w:p>
      <w:pPr>
        <w:pStyle w:val="Heading3"/>
        <w:spacing w:before="160" w:after="60"/>
      </w:pPr>
      <w:r>
        <w:t>Authentication &amp; User Management</w:t>
      </w:r>
    </w:p>
    <w:p>
      <w:pPr>
        <w:pStyle w:val="ListBullet"/>
        <w:spacing w:before="20" w:after="60"/>
        <w:ind w:left="432"/>
        <w:numPr>
          <w:ilvl w:val="0"/>
          <w:numId w:val="1"/>
        </w:numPr>
      </w:pPr>
      <w:r>
        <w:rPr>
          <w:rFonts w:ascii="Calibri" w:hAnsi="Calibri"/>
          <w:color w:val="1A1A1A"/>
          <w:sz w:val="22"/>
        </w:rPr>
        <w:t>JWT-based login with role-specific credential validation.</w:t>
      </w:r>
    </w:p>
    <w:p>
      <w:pPr>
        <w:pStyle w:val="ListBullet"/>
        <w:spacing w:before="20" w:after="60"/>
        <w:ind w:left="432"/>
        <w:numPr>
          <w:ilvl w:val="0"/>
          <w:numId w:val="1"/>
        </w:numPr>
      </w:pPr>
      <w:r>
        <w:rPr>
          <w:rFonts w:ascii="Calibri" w:hAnsi="Calibri"/>
          <w:color w:val="1A1A1A"/>
          <w:sz w:val="22"/>
        </w:rPr>
        <w:t>User registration, profile management, and role assignment by Super Admin.</w:t>
      </w:r>
    </w:p>
    <w:p>
      <w:pPr>
        <w:pStyle w:val="ListBullet"/>
        <w:spacing w:before="20" w:after="60"/>
        <w:ind w:left="432"/>
        <w:numPr>
          <w:ilvl w:val="0"/>
          <w:numId w:val="1"/>
        </w:numPr>
      </w:pPr>
      <w:r>
        <w:rPr>
          <w:rFonts w:ascii="Calibri" w:hAnsi="Calibri"/>
          <w:color w:val="1A1A1A"/>
          <w:sz w:val="22"/>
        </w:rPr>
        <w:t>Secure BCrypt password hashing and token expiry enforcement.</w:t>
      </w:r>
    </w:p>
    <w:p>
      <w:pPr>
        <w:pStyle w:val="Heading3"/>
        <w:spacing w:before="160" w:after="60"/>
      </w:pPr>
      <w:r>
        <w:t>Customer Management</w:t>
      </w:r>
    </w:p>
    <w:p>
      <w:pPr>
        <w:pStyle w:val="ListBullet"/>
        <w:spacing w:before="20" w:after="60"/>
        <w:ind w:left="432"/>
        <w:numPr>
          <w:ilvl w:val="0"/>
          <w:numId w:val="1"/>
        </w:numPr>
      </w:pPr>
      <w:r>
        <w:rPr>
          <w:rFonts w:ascii="Calibri" w:hAnsi="Calibri"/>
          <w:color w:val="1A1A1A"/>
          <w:sz w:val="22"/>
        </w:rPr>
        <w:t>Complete customer profile creation and management (personal details, KYC documents — PAN, Aadhaar, Driving Licence).</w:t>
      </w:r>
    </w:p>
    <w:p>
      <w:pPr>
        <w:pStyle w:val="ListBullet"/>
        <w:spacing w:before="20" w:after="60"/>
        <w:ind w:left="432"/>
        <w:numPr>
          <w:ilvl w:val="0"/>
          <w:numId w:val="1"/>
        </w:numPr>
      </w:pPr>
      <w:r>
        <w:rPr>
          <w:rFonts w:ascii="Calibri" w:hAnsi="Calibri"/>
          <w:color w:val="1A1A1A"/>
          <w:sz w:val="22"/>
        </w:rPr>
        <w:t>Customer segmentation by type (Individual / Corporate).</w:t>
      </w:r>
    </w:p>
    <w:p>
      <w:pPr>
        <w:pStyle w:val="ListBullet"/>
        <w:spacing w:before="20" w:after="60"/>
        <w:ind w:left="432"/>
        <w:numPr>
          <w:ilvl w:val="0"/>
          <w:numId w:val="1"/>
        </w:numPr>
      </w:pPr>
      <w:r>
        <w:rPr>
          <w:rFonts w:ascii="Calibri" w:hAnsi="Calibri"/>
          <w:color w:val="1A1A1A"/>
          <w:sz w:val="22"/>
        </w:rPr>
        <w:t>Loyalty points tracking and referral source recording.</w:t>
      </w:r>
    </w:p>
    <w:p>
      <w:pPr>
        <w:pStyle w:val="ListBullet"/>
        <w:spacing w:before="20" w:after="60"/>
        <w:ind w:left="432"/>
        <w:numPr>
          <w:ilvl w:val="0"/>
          <w:numId w:val="1"/>
        </w:numPr>
      </w:pPr>
      <w:r>
        <w:rPr>
          <w:rFonts w:ascii="Calibri" w:hAnsi="Calibri"/>
          <w:color w:val="1A1A1A"/>
          <w:sz w:val="22"/>
        </w:rPr>
        <w:t>Bulk CSV import and individual record management.</w:t>
      </w:r>
    </w:p>
    <w:p>
      <w:pPr>
        <w:pStyle w:val="ListBullet"/>
        <w:spacing w:before="20" w:after="60"/>
        <w:ind w:left="432"/>
        <w:numPr>
          <w:ilvl w:val="0"/>
          <w:numId w:val="1"/>
        </w:numPr>
      </w:pPr>
      <w:r>
        <w:rPr>
          <w:rFonts w:ascii="Calibri" w:hAnsi="Calibri"/>
          <w:color w:val="1A1A1A"/>
          <w:sz w:val="22"/>
        </w:rPr>
        <w:t>Soft-delete mechanism (record deactivation, not physical deletion).</w:t>
      </w:r>
    </w:p>
    <w:p>
      <w:pPr>
        <w:pStyle w:val="Heading3"/>
        <w:spacing w:before="160" w:after="60"/>
      </w:pPr>
      <w:r>
        <w:t>Vehicle Inventory Management</w:t>
      </w:r>
    </w:p>
    <w:p>
      <w:pPr>
        <w:pStyle w:val="ListBullet"/>
        <w:spacing w:before="20" w:after="60"/>
        <w:ind w:left="432"/>
        <w:numPr>
          <w:ilvl w:val="0"/>
          <w:numId w:val="1"/>
        </w:numPr>
      </w:pPr>
      <w:r>
        <w:rPr>
          <w:rFonts w:ascii="Calibri" w:hAnsi="Calibri"/>
          <w:color w:val="1A1A1A"/>
          <w:sz w:val="22"/>
        </w:rPr>
        <w:t>Vehicle master data management: VIN, chassis number, engine number, model, variant, colour, fuel type, transmission type, manufacturing date.</w:t>
      </w:r>
    </w:p>
    <w:p>
      <w:pPr>
        <w:pStyle w:val="ListBullet"/>
        <w:spacing w:before="20" w:after="60"/>
        <w:ind w:left="432"/>
        <w:numPr>
          <w:ilvl w:val="0"/>
          <w:numId w:val="1"/>
        </w:numPr>
      </w:pPr>
      <w:r>
        <w:rPr>
          <w:rFonts w:ascii="Calibri" w:hAnsi="Calibri"/>
          <w:color w:val="1A1A1A"/>
          <w:sz w:val="22"/>
        </w:rPr>
        <w:t>Multi-state vehicle status workflow: In Transit → In Stockyard → In Showroom → Booked → Dispatched → Sold.</w:t>
      </w:r>
    </w:p>
    <w:p>
      <w:pPr>
        <w:pStyle w:val="ListBullet"/>
        <w:spacing w:before="20" w:after="60"/>
        <w:ind w:left="432"/>
        <w:numPr>
          <w:ilvl w:val="0"/>
          <w:numId w:val="1"/>
        </w:numPr>
      </w:pPr>
      <w:r>
        <w:rPr>
          <w:rFonts w:ascii="Calibri" w:hAnsi="Calibri"/>
          <w:color w:val="1A1A1A"/>
          <w:sz w:val="22"/>
        </w:rPr>
        <w:t>Stockyard slot and location mapping.</w:t>
      </w:r>
    </w:p>
    <w:p>
      <w:pPr>
        <w:pStyle w:val="ListBullet"/>
        <w:spacing w:before="20" w:after="60"/>
        <w:ind w:left="432"/>
        <w:numPr>
          <w:ilvl w:val="0"/>
          <w:numId w:val="1"/>
        </w:numPr>
      </w:pPr>
      <w:r>
        <w:rPr>
          <w:rFonts w:ascii="Calibri" w:hAnsi="Calibri"/>
          <w:color w:val="1A1A1A"/>
          <w:sz w:val="22"/>
        </w:rPr>
        <w:t>Bulk CSV vehicle import and Excel export.</w:t>
      </w:r>
    </w:p>
    <w:p>
      <w:pPr>
        <w:pStyle w:val="ListBullet"/>
        <w:spacing w:before="20" w:after="60"/>
        <w:ind w:left="432"/>
        <w:numPr>
          <w:ilvl w:val="0"/>
          <w:numId w:val="1"/>
        </w:numPr>
      </w:pPr>
      <w:r>
        <w:rPr>
          <w:rFonts w:ascii="Calibri" w:hAnsi="Calibri"/>
          <w:color w:val="1A1A1A"/>
          <w:sz w:val="22"/>
        </w:rPr>
        <w:t>Advanced filtering and search by model, status, fuel type, and transmission.</w:t>
      </w:r>
    </w:p>
    <w:p>
      <w:pPr>
        <w:pStyle w:val="Heading3"/>
        <w:spacing w:before="160" w:after="60"/>
      </w:pPr>
      <w:r>
        <w:t>Booking Management</w:t>
      </w:r>
    </w:p>
    <w:p>
      <w:pPr>
        <w:pStyle w:val="ListBullet"/>
        <w:spacing w:before="20" w:after="60"/>
        <w:ind w:left="432"/>
        <w:numPr>
          <w:ilvl w:val="0"/>
          <w:numId w:val="1"/>
        </w:numPr>
      </w:pPr>
      <w:r>
        <w:rPr>
          <w:rFonts w:ascii="Calibri" w:hAnsi="Calibri"/>
          <w:color w:val="1A1A1A"/>
          <w:sz w:val="22"/>
        </w:rPr>
        <w:t>End-to-end booking lifecycle: creation, confirmation, delivery, and cancellation.</w:t>
      </w:r>
    </w:p>
    <w:p>
      <w:pPr>
        <w:pStyle w:val="ListBullet"/>
        <w:spacing w:before="20" w:after="60"/>
        <w:ind w:left="432"/>
        <w:numPr>
          <w:ilvl w:val="0"/>
          <w:numId w:val="1"/>
        </w:numPr>
      </w:pPr>
      <w:r>
        <w:rPr>
          <w:rFonts w:ascii="Calibri" w:hAnsi="Calibri"/>
          <w:color w:val="1A1A1A"/>
          <w:sz w:val="22"/>
        </w:rPr>
        <w:t>Booking number auto-generation and unique constraint enforcement.</w:t>
      </w:r>
    </w:p>
    <w:p>
      <w:pPr>
        <w:pStyle w:val="ListBullet"/>
        <w:spacing w:before="20" w:after="60"/>
        <w:ind w:left="432"/>
        <w:numPr>
          <w:ilvl w:val="0"/>
          <w:numId w:val="1"/>
        </w:numPr>
      </w:pPr>
      <w:r>
        <w:rPr>
          <w:rFonts w:ascii="Calibri" w:hAnsi="Calibri"/>
          <w:color w:val="1A1A1A"/>
          <w:sz w:val="22"/>
        </w:rPr>
        <w:t>Payment mode and booking amount capture.</w:t>
      </w:r>
    </w:p>
    <w:p>
      <w:pPr>
        <w:pStyle w:val="ListBullet"/>
        <w:spacing w:before="20" w:after="60"/>
        <w:ind w:left="432"/>
        <w:numPr>
          <w:ilvl w:val="0"/>
          <w:numId w:val="1"/>
        </w:numPr>
      </w:pPr>
      <w:r>
        <w:rPr>
          <w:rFonts w:ascii="Calibri" w:hAnsi="Calibri"/>
          <w:color w:val="1A1A1A"/>
          <w:sz w:val="22"/>
        </w:rPr>
        <w:t>Cancellation management with reason recording and refund status tracking.</w:t>
      </w:r>
    </w:p>
    <w:p>
      <w:pPr>
        <w:pStyle w:val="ListBullet"/>
        <w:spacing w:before="20" w:after="60"/>
        <w:ind w:left="432"/>
        <w:numPr>
          <w:ilvl w:val="0"/>
          <w:numId w:val="1"/>
        </w:numPr>
      </w:pPr>
      <w:r>
        <w:rPr>
          <w:rFonts w:ascii="Calibri" w:hAnsi="Calibri"/>
          <w:color w:val="1A1A1A"/>
          <w:sz w:val="22"/>
        </w:rPr>
        <w:t>Printable booking receipt generation.</w:t>
      </w:r>
    </w:p>
    <w:p>
      <w:pPr>
        <w:pStyle w:val="Heading3"/>
        <w:spacing w:before="160" w:after="60"/>
      </w:pPr>
      <w:r>
        <w:t>Test Drive Management</w:t>
      </w:r>
    </w:p>
    <w:p>
      <w:pPr>
        <w:pStyle w:val="ListBullet"/>
        <w:spacing w:before="20" w:after="60"/>
        <w:ind w:left="432"/>
        <w:numPr>
          <w:ilvl w:val="0"/>
          <w:numId w:val="1"/>
        </w:numPr>
      </w:pPr>
      <w:r>
        <w:rPr>
          <w:rFonts w:ascii="Calibri" w:hAnsi="Calibri"/>
          <w:color w:val="1A1A1A"/>
          <w:sz w:val="22"/>
        </w:rPr>
        <w:t>Scheduling of test drives linked to customer and vehicle records.</w:t>
      </w:r>
    </w:p>
    <w:p>
      <w:pPr>
        <w:pStyle w:val="ListBullet"/>
        <w:spacing w:before="20" w:after="60"/>
        <w:ind w:left="432"/>
        <w:numPr>
          <w:ilvl w:val="0"/>
          <w:numId w:val="1"/>
        </w:numPr>
      </w:pPr>
      <w:r>
        <w:rPr>
          <w:rFonts w:ascii="Calibri" w:hAnsi="Calibri"/>
          <w:color w:val="1A1A1A"/>
          <w:sz w:val="22"/>
        </w:rPr>
        <w:t>Status tracking: Scheduled, Completed, Cancelled, No Show.</w:t>
      </w:r>
    </w:p>
    <w:p>
      <w:pPr>
        <w:pStyle w:val="ListBullet"/>
        <w:spacing w:before="20" w:after="60"/>
        <w:ind w:left="432"/>
        <w:numPr>
          <w:ilvl w:val="0"/>
          <w:numId w:val="1"/>
        </w:numPr>
      </w:pPr>
      <w:r>
        <w:rPr>
          <w:rFonts w:ascii="Calibri" w:hAnsi="Calibri"/>
          <w:color w:val="1A1A1A"/>
          <w:sz w:val="22"/>
        </w:rPr>
        <w:t>Post-drive feedback collection.</w:t>
      </w:r>
    </w:p>
    <w:p>
      <w:pPr>
        <w:pStyle w:val="ListBullet"/>
        <w:spacing w:before="20" w:after="60"/>
        <w:ind w:left="432"/>
        <w:numPr>
          <w:ilvl w:val="0"/>
          <w:numId w:val="1"/>
        </w:numPr>
      </w:pPr>
      <w:r>
        <w:rPr>
          <w:rFonts w:ascii="Calibri" w:hAnsi="Calibri"/>
          <w:color w:val="1A1A1A"/>
          <w:sz w:val="22"/>
        </w:rPr>
        <w:t>Calendar view for scheduling visibility.</w:t>
      </w:r>
    </w:p>
    <w:p>
      <w:pPr>
        <w:pStyle w:val="Heading3"/>
        <w:spacing w:before="160" w:after="60"/>
      </w:pPr>
      <w:r>
        <w:t>Exchange / Trade-In Management</w:t>
      </w:r>
    </w:p>
    <w:p>
      <w:pPr>
        <w:pStyle w:val="ListBullet"/>
        <w:spacing w:before="20" w:after="60"/>
        <w:ind w:left="432"/>
        <w:numPr>
          <w:ilvl w:val="0"/>
          <w:numId w:val="1"/>
        </w:numPr>
      </w:pPr>
      <w:r>
        <w:rPr>
          <w:rFonts w:ascii="Calibri" w:hAnsi="Calibri"/>
          <w:color w:val="1A1A1A"/>
          <w:sz w:val="22"/>
        </w:rPr>
        <w:t>Old vehicle evaluation capturing make, model, year, registration, km driven, and condition.</w:t>
      </w:r>
    </w:p>
    <w:p>
      <w:pPr>
        <w:pStyle w:val="ListBullet"/>
        <w:spacing w:before="20" w:after="60"/>
        <w:ind w:left="432"/>
        <w:numPr>
          <w:ilvl w:val="0"/>
          <w:numId w:val="1"/>
        </w:numPr>
      </w:pPr>
      <w:r>
        <w:rPr>
          <w:rFonts w:ascii="Calibri" w:hAnsi="Calibri"/>
          <w:color w:val="1A1A1A"/>
          <w:sz w:val="22"/>
        </w:rPr>
        <w:t>Valuation and offered amount recording.</w:t>
      </w:r>
    </w:p>
    <w:p>
      <w:pPr>
        <w:pStyle w:val="ListBullet"/>
        <w:spacing w:before="20" w:after="60"/>
        <w:ind w:left="432"/>
        <w:numPr>
          <w:ilvl w:val="0"/>
          <w:numId w:val="1"/>
        </w:numPr>
      </w:pPr>
      <w:r>
        <w:rPr>
          <w:rFonts w:ascii="Calibri" w:hAnsi="Calibri"/>
          <w:color w:val="1A1A1A"/>
          <w:sz w:val="22"/>
        </w:rPr>
        <w:t>Exchange status workflow: Pending → Approved / Rejected → Completed.</w:t>
      </w:r>
    </w:p>
    <w:p>
      <w:pPr>
        <w:pStyle w:val="ListBullet"/>
        <w:spacing w:before="20" w:after="60"/>
        <w:ind w:left="432"/>
        <w:numPr>
          <w:ilvl w:val="0"/>
          <w:numId w:val="1"/>
        </w:numPr>
      </w:pPr>
      <w:r>
        <w:rPr>
          <w:rFonts w:ascii="Calibri" w:hAnsi="Calibri"/>
          <w:color w:val="1A1A1A"/>
          <w:sz w:val="22"/>
        </w:rPr>
        <w:t>Integration of approved exchange value into the final sales transaction.</w:t>
      </w:r>
    </w:p>
    <w:p>
      <w:pPr>
        <w:pStyle w:val="Heading3"/>
        <w:spacing w:before="160" w:after="60"/>
      </w:pPr>
      <w:r>
        <w:t>Accessories Management</w:t>
      </w:r>
    </w:p>
    <w:p>
      <w:pPr>
        <w:pStyle w:val="ListBullet"/>
        <w:spacing w:before="20" w:after="60"/>
        <w:ind w:left="432"/>
        <w:numPr>
          <w:ilvl w:val="0"/>
          <w:numId w:val="1"/>
        </w:numPr>
      </w:pPr>
      <w:r>
        <w:rPr>
          <w:rFonts w:ascii="Calibri" w:hAnsi="Calibri"/>
          <w:color w:val="1A1A1A"/>
          <w:sz w:val="22"/>
        </w:rPr>
        <w:t>Accessory catalogue with name, code, category, description, price, and active status.</w:t>
      </w:r>
    </w:p>
    <w:p>
      <w:pPr>
        <w:pStyle w:val="ListBullet"/>
        <w:spacing w:before="20" w:after="60"/>
        <w:ind w:left="432"/>
        <w:numPr>
          <w:ilvl w:val="0"/>
          <w:numId w:val="1"/>
        </w:numPr>
      </w:pPr>
      <w:r>
        <w:rPr>
          <w:rFonts w:ascii="Calibri" w:hAnsi="Calibri"/>
          <w:color w:val="1A1A1A"/>
          <w:sz w:val="22"/>
        </w:rPr>
        <w:t>Customer accessory order management.</w:t>
      </w:r>
    </w:p>
    <w:p>
      <w:pPr>
        <w:pStyle w:val="ListBullet"/>
        <w:spacing w:before="20" w:after="60"/>
        <w:ind w:left="432"/>
        <w:numPr>
          <w:ilvl w:val="0"/>
          <w:numId w:val="1"/>
        </w:numPr>
      </w:pPr>
      <w:r>
        <w:rPr>
          <w:rFonts w:ascii="Calibri" w:hAnsi="Calibri"/>
          <w:color w:val="1A1A1A"/>
          <w:sz w:val="22"/>
        </w:rPr>
        <w:t>Stock and inventory tracking for accessories.</w:t>
      </w:r>
    </w:p>
    <w:p>
      <w:pPr>
        <w:pStyle w:val="Heading3"/>
        <w:spacing w:before="160" w:after="60"/>
      </w:pPr>
      <w:r>
        <w:t>Sales Transactions</w:t>
      </w:r>
    </w:p>
    <w:p>
      <w:pPr>
        <w:pStyle w:val="ListBullet"/>
        <w:spacing w:before="20" w:after="60"/>
        <w:ind w:left="432"/>
        <w:numPr>
          <w:ilvl w:val="0"/>
          <w:numId w:val="1"/>
        </w:numPr>
      </w:pPr>
      <w:r>
        <w:rPr>
          <w:rFonts w:ascii="Calibri" w:hAnsi="Calibri"/>
          <w:color w:val="1A1A1A"/>
          <w:sz w:val="22"/>
        </w:rPr>
        <w:t>Final sales transaction recording with itemised pricing: vehicle price, accessories, insurance, registration charges, discounts, and exchange deductions.</w:t>
      </w:r>
    </w:p>
    <w:p>
      <w:pPr>
        <w:pStyle w:val="ListBullet"/>
        <w:spacing w:before="20" w:after="60"/>
        <w:ind w:left="432"/>
        <w:numPr>
          <w:ilvl w:val="0"/>
          <w:numId w:val="1"/>
        </w:numPr>
      </w:pPr>
      <w:r>
        <w:rPr>
          <w:rFonts w:ascii="Calibri" w:hAnsi="Calibri"/>
          <w:color w:val="1A1A1A"/>
          <w:sz w:val="22"/>
        </w:rPr>
        <w:t>Finance company, loan amount, and down payment capture.</w:t>
      </w:r>
    </w:p>
    <w:p>
      <w:pPr>
        <w:pStyle w:val="ListBullet"/>
        <w:spacing w:before="20" w:after="60"/>
        <w:ind w:left="432"/>
        <w:numPr>
          <w:ilvl w:val="0"/>
          <w:numId w:val="1"/>
        </w:numPr>
      </w:pPr>
      <w:r>
        <w:rPr>
          <w:rFonts w:ascii="Calibri" w:hAnsi="Calibri"/>
          <w:color w:val="1A1A1A"/>
          <w:sz w:val="22"/>
        </w:rPr>
        <w:t>Invoice number and date generation.</w:t>
      </w:r>
    </w:p>
    <w:p>
      <w:pPr>
        <w:pStyle w:val="Heading3"/>
        <w:spacing w:before="160" w:after="60"/>
      </w:pPr>
      <w:r>
        <w:t>Dispatch Management</w:t>
      </w:r>
    </w:p>
    <w:p>
      <w:pPr>
        <w:pStyle w:val="ListBullet"/>
        <w:spacing w:before="20" w:after="60"/>
        <w:ind w:left="432"/>
        <w:numPr>
          <w:ilvl w:val="0"/>
          <w:numId w:val="1"/>
        </w:numPr>
      </w:pPr>
      <w:r>
        <w:rPr>
          <w:rFonts w:ascii="Calibri" w:hAnsi="Calibri"/>
          <w:color w:val="1A1A1A"/>
          <w:sz w:val="22"/>
        </w:rPr>
        <w:t>Dispatch records linked to bookings and vehicles.</w:t>
      </w:r>
    </w:p>
    <w:p>
      <w:pPr>
        <w:pStyle w:val="ListBullet"/>
        <w:spacing w:before="20" w:after="60"/>
        <w:ind w:left="432"/>
        <w:numPr>
          <w:ilvl w:val="0"/>
          <w:numId w:val="1"/>
        </w:numPr>
      </w:pPr>
      <w:r>
        <w:rPr>
          <w:rFonts w:ascii="Calibri" w:hAnsi="Calibri"/>
          <w:color w:val="1A1A1A"/>
          <w:sz w:val="22"/>
        </w:rPr>
        <w:t>On-time vs. delayed delivery tracking.</w:t>
      </w:r>
    </w:p>
    <w:p>
      <w:pPr>
        <w:pStyle w:val="Heading3"/>
        <w:spacing w:before="160" w:after="60"/>
      </w:pPr>
      <w:r>
        <w:t>Dashboard &amp; Analytics</w:t>
      </w:r>
    </w:p>
    <w:p>
      <w:pPr>
        <w:pStyle w:val="ListBullet"/>
        <w:spacing w:before="20" w:after="60"/>
        <w:ind w:left="432"/>
        <w:numPr>
          <w:ilvl w:val="0"/>
          <w:numId w:val="1"/>
        </w:numPr>
      </w:pPr>
      <w:r>
        <w:rPr>
          <w:rFonts w:ascii="Calibri" w:hAnsi="Calibri"/>
          <w:color w:val="1A1A1A"/>
          <w:sz w:val="22"/>
        </w:rPr>
        <w:t>Real-time KPI cards: total vehicles, active bookings, deliveries, and revenue.</w:t>
      </w:r>
    </w:p>
    <w:p>
      <w:pPr>
        <w:pStyle w:val="ListBullet"/>
        <w:spacing w:before="20" w:after="60"/>
        <w:ind w:left="432"/>
        <w:numPr>
          <w:ilvl w:val="0"/>
          <w:numId w:val="1"/>
        </w:numPr>
      </w:pPr>
      <w:r>
        <w:rPr>
          <w:rFonts w:ascii="Calibri" w:hAnsi="Calibri"/>
          <w:color w:val="1A1A1A"/>
          <w:sz w:val="22"/>
        </w:rPr>
        <w:t>Interactive charts: monthly sales trends, inventory status distribution.</w:t>
      </w:r>
    </w:p>
    <w:p>
      <w:pPr>
        <w:pStyle w:val="ListBullet"/>
        <w:spacing w:before="20" w:after="60"/>
        <w:ind w:left="432"/>
        <w:numPr>
          <w:ilvl w:val="0"/>
          <w:numId w:val="1"/>
        </w:numPr>
      </w:pPr>
      <w:r>
        <w:rPr>
          <w:rFonts w:ascii="Calibri" w:hAnsi="Calibri"/>
          <w:color w:val="1A1A1A"/>
          <w:sz w:val="22"/>
        </w:rPr>
        <w:t>Today's schedule: test drives and bookings.</w:t>
      </w:r>
    </w:p>
    <w:p>
      <w:pPr>
        <w:pStyle w:val="ListBullet"/>
        <w:spacing w:before="20" w:after="60"/>
        <w:ind w:left="432"/>
        <w:numPr>
          <w:ilvl w:val="0"/>
          <w:numId w:val="1"/>
        </w:numPr>
      </w:pPr>
      <w:r>
        <w:rPr>
          <w:rFonts w:ascii="Calibri" w:hAnsi="Calibri"/>
          <w:color w:val="1A1A1A"/>
          <w:sz w:val="22"/>
        </w:rPr>
        <w:t>Alerts for vehicles due for dispatch.</w:t>
      </w:r>
    </w:p>
    <w:p>
      <w:pPr>
        <w:pStyle w:val="Heading3"/>
        <w:spacing w:before="160" w:after="60"/>
      </w:pPr>
      <w:r>
        <w:t>Reports</w:t>
      </w:r>
    </w:p>
    <w:p>
      <w:pPr>
        <w:pStyle w:val="ListBullet"/>
        <w:spacing w:before="20" w:after="60"/>
        <w:ind w:left="432"/>
        <w:numPr>
          <w:ilvl w:val="0"/>
          <w:numId w:val="1"/>
        </w:numPr>
      </w:pPr>
      <w:r>
        <w:rPr>
          <w:rFonts w:ascii="Calibri" w:hAnsi="Calibri"/>
          <w:color w:val="1A1A1A"/>
          <w:sz w:val="22"/>
        </w:rPr>
        <w:t>Sales summary, inventory status, dispatch summary, booking analysis reports.</w:t>
      </w:r>
    </w:p>
    <w:p>
      <w:pPr>
        <w:pStyle w:val="ListBullet"/>
        <w:spacing w:before="20" w:after="60"/>
        <w:ind w:left="432"/>
        <w:numPr>
          <w:ilvl w:val="0"/>
          <w:numId w:val="1"/>
        </w:numPr>
      </w:pPr>
      <w:r>
        <w:rPr>
          <w:rFonts w:ascii="Calibri" w:hAnsi="Calibri"/>
          <w:color w:val="1A1A1A"/>
          <w:sz w:val="22"/>
        </w:rPr>
        <w:t>Top-selling model analysis and date-range filtering.</w:t>
      </w:r>
    </w:p>
    <w:p>
      <w:pPr>
        <w:pStyle w:val="ListBullet"/>
        <w:spacing w:before="20" w:after="60"/>
        <w:ind w:left="432"/>
        <w:numPr>
          <w:ilvl w:val="0"/>
          <w:numId w:val="1"/>
        </w:numPr>
      </w:pPr>
      <w:r>
        <w:rPr>
          <w:rFonts w:ascii="Calibri" w:hAnsi="Calibri"/>
          <w:color w:val="1A1A1A"/>
          <w:sz w:val="22"/>
        </w:rPr>
        <w:t>Export to PDF and Excel formats.</w:t>
      </w:r>
    </w:p>
    <w:p>
      <w:pPr>
        <w:pStyle w:val="Heading3"/>
        <w:spacing w:before="160" w:after="60"/>
      </w:pPr>
      <w:r>
        <w:t>Audit Logs</w:t>
      </w:r>
    </w:p>
    <w:p>
      <w:pPr>
        <w:pStyle w:val="ListBullet"/>
        <w:spacing w:before="20" w:after="60"/>
        <w:ind w:left="432"/>
        <w:numPr>
          <w:ilvl w:val="0"/>
          <w:numId w:val="1"/>
        </w:numPr>
      </w:pPr>
      <w:r>
        <w:rPr>
          <w:rFonts w:ascii="Calibri" w:hAnsi="Calibri"/>
          <w:color w:val="1A1A1A"/>
          <w:sz w:val="22"/>
        </w:rPr>
        <w:t>System-wide logging of all significant actions with actor identity and timestamp.</w:t>
      </w:r>
    </w:p>
    <w:p>
      <w:pPr>
        <w:pStyle w:val="ListBullet"/>
        <w:spacing w:before="20" w:after="60"/>
        <w:ind w:left="432"/>
        <w:numPr>
          <w:ilvl w:val="0"/>
          <w:numId w:val="1"/>
        </w:numPr>
      </w:pPr>
      <w:r>
        <w:rPr>
          <w:rFonts w:ascii="Calibri" w:hAnsi="Calibri"/>
          <w:color w:val="1A1A1A"/>
          <w:sz w:val="22"/>
        </w:rPr>
        <w:t>Admin-accessible audit log viewer with filter support.</w:t>
      </w:r>
    </w:p>
    <w:p>
      <w:pPr>
        <w:pStyle w:val="Heading3"/>
        <w:spacing w:before="160" w:after="60"/>
      </w:pPr>
      <w:r>
        <w:t>Admin Settings</w:t>
      </w:r>
    </w:p>
    <w:p>
      <w:pPr>
        <w:pStyle w:val="ListBullet"/>
        <w:spacing w:before="20" w:after="60"/>
        <w:ind w:left="432"/>
        <w:numPr>
          <w:ilvl w:val="0"/>
          <w:numId w:val="1"/>
        </w:numPr>
      </w:pPr>
      <w:r>
        <w:rPr>
          <w:rFonts w:ascii="Calibri" w:hAnsi="Calibri"/>
          <w:color w:val="1A1A1A"/>
          <w:sz w:val="22"/>
        </w:rPr>
        <w:t>Dealership configuration: name, address, contact, manager.</w:t>
      </w:r>
    </w:p>
    <w:p>
      <w:pPr>
        <w:pStyle w:val="ListBullet"/>
        <w:spacing w:before="20" w:after="60"/>
        <w:ind w:left="432"/>
        <w:numPr>
          <w:ilvl w:val="0"/>
          <w:numId w:val="1"/>
        </w:numPr>
      </w:pPr>
      <w:r>
        <w:rPr>
          <w:rFonts w:ascii="Calibri" w:hAnsi="Calibri"/>
          <w:color w:val="1A1A1A"/>
          <w:sz w:val="22"/>
        </w:rPr>
        <w:t>System settings management.</w:t>
      </w:r>
    </w:p>
    <w:p>
      <w:pPr>
        <w:pStyle w:val="ListBullet"/>
        <w:spacing w:before="20" w:after="60"/>
        <w:ind w:left="432"/>
        <w:numPr>
          <w:ilvl w:val="0"/>
          <w:numId w:val="1"/>
        </w:numPr>
      </w:pPr>
      <w:r>
        <w:rPr>
          <w:rFonts w:ascii="Calibri" w:hAnsi="Calibri"/>
          <w:color w:val="1A1A1A"/>
          <w:sz w:val="22"/>
        </w:rPr>
        <w:t>Multi-dealership support.</w:t>
      </w:r>
    </w:p>
    <w:p>
      <w:pPr>
        <w:pBdr>
          <w:bottom w:val="single" w:sz="6" w:space="1" w:color="D0D8E4"/>
        </w:pBdr>
        <w:spacing w:before="120" w:after="120"/>
      </w:pPr>
    </w:p>
    <w:p>
      <w:pPr>
        <w:pStyle w:val="Heading2"/>
        <w:spacing w:before="200" w:after="80"/>
      </w:pPr>
      <w:r>
        <w:t>3.2  Out-of-Scope Items</w:t>
      </w:r>
    </w:p>
    <w:p>
      <w:pPr>
        <w:spacing w:before="40" w:after="100" w:line="280" w:lineRule="exact"/>
      </w:pPr>
      <w:r>
        <w:t>The following items are explicitly excluded from the current version of the DMS project:</w:t>
      </w:r>
    </w:p>
    <w:p>
      <w:pPr>
        <w:pStyle w:val="ListBullet"/>
        <w:spacing w:before="20" w:after="60"/>
        <w:ind w:left="432"/>
        <w:numPr>
          <w:ilvl w:val="0"/>
          <w:numId w:val="1"/>
        </w:numPr>
      </w:pPr>
      <w:r>
        <w:rPr>
          <w:rFonts w:ascii="Calibri" w:hAnsi="Calibri"/>
          <w:color w:val="1A1A1A"/>
          <w:sz w:val="22"/>
        </w:rPr>
        <w:t>Mobile application (iOS / Android) — noted in the roadmap for a future release.</w:t>
      </w:r>
    </w:p>
    <w:p>
      <w:pPr>
        <w:pStyle w:val="ListBullet"/>
        <w:spacing w:before="20" w:after="60"/>
        <w:ind w:left="432"/>
        <w:numPr>
          <w:ilvl w:val="0"/>
          <w:numId w:val="1"/>
        </w:numPr>
      </w:pPr>
      <w:r>
        <w:rPr>
          <w:rFonts w:ascii="Calibri" w:hAnsi="Calibri"/>
          <w:color w:val="1A1A1A"/>
          <w:sz w:val="22"/>
        </w:rPr>
        <w:t>Real-time push notifications via WebSockets.</w:t>
      </w:r>
    </w:p>
    <w:p>
      <w:pPr>
        <w:pStyle w:val="ListBullet"/>
        <w:spacing w:before="20" w:after="60"/>
        <w:ind w:left="432"/>
        <w:numPr>
          <w:ilvl w:val="0"/>
          <w:numId w:val="1"/>
        </w:numPr>
      </w:pPr>
      <w:r>
        <w:rPr>
          <w:rFonts w:ascii="Calibri" w:hAnsi="Calibri"/>
          <w:color w:val="1A1A1A"/>
          <w:sz w:val="22"/>
        </w:rPr>
        <w:t>Insurance policy management or integration with third-party insurer APIs.</w:t>
      </w:r>
    </w:p>
    <w:p>
      <w:pPr>
        <w:pStyle w:val="ListBullet"/>
        <w:spacing w:before="20" w:after="60"/>
        <w:ind w:left="432"/>
        <w:numPr>
          <w:ilvl w:val="0"/>
          <w:numId w:val="1"/>
        </w:numPr>
      </w:pPr>
      <w:r>
        <w:rPr>
          <w:rFonts w:ascii="Calibri" w:hAnsi="Calibri"/>
          <w:color w:val="1A1A1A"/>
          <w:sz w:val="22"/>
        </w:rPr>
        <w:t>Finance calculator or EMI computation module.</w:t>
      </w:r>
    </w:p>
    <w:p>
      <w:pPr>
        <w:pStyle w:val="ListBullet"/>
        <w:spacing w:before="20" w:after="60"/>
        <w:ind w:left="432"/>
        <w:numPr>
          <w:ilvl w:val="0"/>
          <w:numId w:val="1"/>
        </w:numPr>
      </w:pPr>
      <w:r>
        <w:rPr>
          <w:rFonts w:ascii="Calibri" w:hAnsi="Calibri"/>
          <w:color w:val="1A1A1A"/>
          <w:sz w:val="22"/>
        </w:rPr>
        <w:t>Customer self-service portal or external-facing web access.</w:t>
      </w:r>
    </w:p>
    <w:p>
      <w:pPr>
        <w:pStyle w:val="ListBullet"/>
        <w:spacing w:before="20" w:after="60"/>
        <w:ind w:left="432"/>
        <w:numPr>
          <w:ilvl w:val="0"/>
          <w:numId w:val="1"/>
        </w:numPr>
      </w:pPr>
      <w:r>
        <w:rPr>
          <w:rFonts w:ascii="Calibri" w:hAnsi="Calibri"/>
          <w:color w:val="1A1A1A"/>
          <w:sz w:val="22"/>
        </w:rPr>
        <w:t>Integration with Hyundai Motor India's central ERP or OEM supply chain systems.</w:t>
      </w:r>
    </w:p>
    <w:p>
      <w:pPr>
        <w:pStyle w:val="ListBullet"/>
        <w:spacing w:before="20" w:after="60"/>
        <w:ind w:left="432"/>
        <w:numPr>
          <w:ilvl w:val="0"/>
          <w:numId w:val="1"/>
        </w:numPr>
      </w:pPr>
      <w:r>
        <w:rPr>
          <w:rFonts w:ascii="Calibri" w:hAnsi="Calibri"/>
          <w:color w:val="1A1A1A"/>
          <w:sz w:val="22"/>
        </w:rPr>
        <w:t>Multi-language (localisation) support.</w:t>
      </w:r>
    </w:p>
    <w:p>
      <w:pPr>
        <w:pStyle w:val="ListBullet"/>
        <w:spacing w:before="20" w:after="60"/>
        <w:ind w:left="432"/>
        <w:numPr>
          <w:ilvl w:val="0"/>
          <w:numId w:val="1"/>
        </w:numPr>
      </w:pPr>
      <w:r>
        <w:rPr>
          <w:rFonts w:ascii="Calibri" w:hAnsi="Calibri"/>
          <w:color w:val="1A1A1A"/>
          <w:sz w:val="22"/>
        </w:rPr>
        <w:t>Service and maintenance booking for post-sale vehicle service.</w:t>
      </w:r>
    </w:p>
    <w:p>
      <w:pPr>
        <w:pStyle w:val="ListBullet"/>
        <w:spacing w:before="20" w:after="60"/>
        <w:ind w:left="432"/>
        <w:numPr>
          <w:ilvl w:val="0"/>
          <w:numId w:val="1"/>
        </w:numPr>
      </w:pPr>
      <w:r>
        <w:rPr>
          <w:rFonts w:ascii="Calibri" w:hAnsi="Calibri"/>
          <w:color w:val="1A1A1A"/>
          <w:sz w:val="22"/>
        </w:rPr>
        <w:t>Third-party payment gateway integration for online payment processing.</w:t>
      </w:r>
    </w:p>
    <w:p>
      <w:pPr>
        <w:pStyle w:val="ListBullet"/>
        <w:spacing w:before="20" w:after="60"/>
        <w:ind w:left="432"/>
        <w:numPr>
          <w:ilvl w:val="0"/>
          <w:numId w:val="1"/>
        </w:numPr>
      </w:pPr>
      <w:r>
        <w:rPr>
          <w:rFonts w:ascii="Calibri" w:hAnsi="Calibri"/>
          <w:color w:val="1A1A1A"/>
          <w:sz w:val="22"/>
        </w:rPr>
        <w:t>Dark mode UI (noted for a future release).</w:t>
      </w:r>
    </w:p>
    <w:p>
      <w:r>
        <w:br w:type="page"/>
      </w:r>
    </w:p>
    <w:p>
      <w:pPr>
        <w:pStyle w:val="Heading1"/>
        <w:spacing w:before="280" w:after="120"/>
      </w:pPr>
      <w:r>
        <w:t>4. Stakeholders</w:t>
      </w:r>
    </w:p>
    <w:p>
      <w:pPr>
        <w:pStyle w:val="Heading2"/>
        <w:spacing w:before="200" w:after="80"/>
      </w:pPr>
      <w:r>
        <w:t>4.1  Stakeholder Overview</w:t>
      </w:r>
    </w:p>
    <w:p>
      <w:pPr>
        <w:spacing w:before="40" w:after="100" w:line="280" w:lineRule="exact"/>
      </w:pPr>
      <w:r>
        <w:t>The following stakeholders are identified as primary actors who interact with or are directly impacted by the Hyundai DMS. Each stakeholder's role, system access level, key responsibilities, and primary interests are documented below.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002C5F"/>
          </w:tcPr>
          <w:p>
            <w:pPr>
              <w:spacing w:before="60" w:after="60"/>
              <w:jc w:val="center"/>
            </w:pPr>
            <w:r/>
            <w:r>
              <w:rPr>
                <w:rFonts w:ascii="Calibri" w:hAnsi="Calibri"/>
                <w:b/>
                <w:color w:val="FFFFFF"/>
                <w:sz w:val="21"/>
              </w:rPr>
              <w:t>Stakeholder</w:t>
            </w:r>
          </w:p>
        </w:tc>
        <w:tc>
          <w:tcPr>
            <w:tcW w:type="dxa" w:w="2304"/>
            <w:shd w:val="clear" w:color="auto" w:fill="002C5F"/>
          </w:tcPr>
          <w:p>
            <w:pPr>
              <w:spacing w:before="60" w:after="60"/>
              <w:jc w:val="center"/>
            </w:pPr>
            <w:r/>
            <w:r>
              <w:rPr>
                <w:rFonts w:ascii="Calibri" w:hAnsi="Calibri"/>
                <w:b/>
                <w:color w:val="FFFFFF"/>
                <w:sz w:val="21"/>
              </w:rPr>
              <w:t>System Access</w:t>
            </w:r>
          </w:p>
        </w:tc>
        <w:tc>
          <w:tcPr>
            <w:tcW w:type="dxa" w:w="3888"/>
            <w:shd w:val="clear" w:color="auto" w:fill="002C5F"/>
          </w:tcPr>
          <w:p>
            <w:pPr>
              <w:spacing w:before="60" w:after="60"/>
              <w:jc w:val="center"/>
            </w:pPr>
            <w:r/>
            <w:r>
              <w:rPr>
                <w:rFonts w:ascii="Calibri" w:hAnsi="Calibri"/>
                <w:b/>
                <w:color w:val="FFFFFF"/>
                <w:sz w:val="21"/>
              </w:rPr>
              <w:t>Key Responsibilities</w:t>
            </w:r>
          </w:p>
        </w:tc>
        <w:tc>
          <w:tcPr>
            <w:tcW w:type="dxa" w:w="1440"/>
            <w:shd w:val="clear" w:color="auto" w:fill="002C5F"/>
          </w:tcPr>
          <w:p>
            <w:pPr>
              <w:spacing w:before="60" w:after="60"/>
              <w:jc w:val="center"/>
            </w:pPr>
            <w:r/>
            <w:r>
              <w:rPr>
                <w:rFonts w:ascii="Calibri" w:hAnsi="Calibri"/>
                <w:b/>
                <w:color w:val="FFFFFF"/>
                <w:sz w:val="21"/>
              </w:rPr>
              <w:t>Primary Interest</w:t>
            </w:r>
          </w:p>
        </w:tc>
      </w:tr>
      <w:tr>
        <w:tc>
          <w:tcPr>
            <w:tcW w:type="dxa" w:w="2016"/>
            <w:shd w:val="clear" w:color="auto" w:fill="F9FBFF"/>
          </w:tcPr>
          <w:p>
            <w:pPr>
              <w:spacing w:before="40" w:after="40"/>
            </w:pPr>
            <w:r/>
            <w:r>
              <w:rPr>
                <w:rFonts w:ascii="Calibri" w:hAnsi="Calibri"/>
                <w:sz w:val="21"/>
              </w:rPr>
              <w:t>Super Admin</w:t>
            </w:r>
          </w:p>
        </w:tc>
        <w:tc>
          <w:tcPr>
            <w:tcW w:type="dxa" w:w="2304"/>
            <w:shd w:val="clear" w:color="auto" w:fill="F9FBFF"/>
          </w:tcPr>
          <w:p>
            <w:pPr>
              <w:spacing w:before="40" w:after="40"/>
            </w:pPr>
            <w:r/>
            <w:r>
              <w:rPr>
                <w:rFonts w:ascii="Calibri" w:hAnsi="Calibri"/>
                <w:sz w:val="21"/>
              </w:rPr>
              <w:t>Full system access — all modules, all dealerships</w:t>
            </w:r>
          </w:p>
        </w:tc>
        <w:tc>
          <w:tcPr>
            <w:tcW w:type="dxa" w:w="3888"/>
            <w:shd w:val="clear" w:color="auto" w:fill="F9FBFF"/>
          </w:tcPr>
          <w:p>
            <w:pPr>
              <w:spacing w:before="40" w:after="40"/>
            </w:pPr>
            <w:r/>
            <w:r>
              <w:rPr>
                <w:rFonts w:ascii="Calibri" w:hAnsi="Calibri"/>
                <w:sz w:val="21"/>
              </w:rPr>
              <w:t>• Create and manage all user accounts and role assignments</w:t>
              <w:br/>
              <w:t>• Configure dealership settings and system parameters</w:t>
              <w:br/>
              <w:t>• Access and review all audit logs</w:t>
              <w:br/>
              <w:t>• Manage vehicle model/variant master data</w:t>
              <w:br/>
              <w:t>• Generate system-wide reports</w:t>
            </w:r>
          </w:p>
        </w:tc>
        <w:tc>
          <w:tcPr>
            <w:tcW w:type="dxa" w:w="1440"/>
            <w:shd w:val="clear" w:color="auto" w:fill="F9FBFF"/>
          </w:tcPr>
          <w:p>
            <w:pPr>
              <w:spacing w:before="40" w:after="40"/>
            </w:pPr>
            <w:r/>
            <w:r>
              <w:rPr>
                <w:rFonts w:ascii="Calibri" w:hAnsi="Calibri"/>
                <w:sz w:val="21"/>
              </w:rPr>
              <w:t>System integrity, security, and overall operational oversight</w:t>
            </w:r>
          </w:p>
        </w:tc>
      </w:tr>
      <w:tr>
        <w:tc>
          <w:tcPr>
            <w:tcW w:type="dxa" w:w="2016"/>
            <w:shd w:val="clear" w:color="auto" w:fill="FFFFFF"/>
          </w:tcPr>
          <w:p>
            <w:pPr>
              <w:spacing w:before="40" w:after="40"/>
            </w:pPr>
            <w:r/>
            <w:r>
              <w:rPr>
                <w:rFonts w:ascii="Calibri" w:hAnsi="Calibri"/>
                <w:sz w:val="21"/>
              </w:rPr>
              <w:t>Dealer Manager</w:t>
            </w:r>
          </w:p>
        </w:tc>
        <w:tc>
          <w:tcPr>
            <w:tcW w:type="dxa" w:w="2304"/>
            <w:shd w:val="clear" w:color="auto" w:fill="FFFFFF"/>
          </w:tcPr>
          <w:p>
            <w:pPr>
              <w:spacing w:before="40" w:after="40"/>
            </w:pPr>
            <w:r/>
            <w:r>
              <w:rPr>
                <w:rFonts w:ascii="Calibri" w:hAnsi="Calibri"/>
                <w:sz w:val="21"/>
              </w:rPr>
              <w:t>Operational access — all modules within assigned dealership</w:t>
            </w:r>
          </w:p>
        </w:tc>
        <w:tc>
          <w:tcPr>
            <w:tcW w:type="dxa" w:w="3888"/>
            <w:shd w:val="clear" w:color="auto" w:fill="FFFFFF"/>
          </w:tcPr>
          <w:p>
            <w:pPr>
              <w:spacing w:before="40" w:after="40"/>
            </w:pPr>
            <w:r/>
            <w:r>
              <w:rPr>
                <w:rFonts w:ascii="Calibri" w:hAnsi="Calibri"/>
                <w:sz w:val="21"/>
              </w:rPr>
              <w:t>• Oversee and approve bookings and exchanges</w:t>
              <w:br/>
              <w:t>• Monitor inventory levels and dispatch schedules</w:t>
              <w:br/>
              <w:t>• Review sales and performance dashboards</w:t>
              <w:br/>
              <w:t>• Manage sales executive assignments</w:t>
              <w:br/>
              <w:t>• Approve exchange valuations</w:t>
            </w:r>
          </w:p>
        </w:tc>
        <w:tc>
          <w:tcPr>
            <w:tcW w:type="dxa" w:w="1440"/>
            <w:shd w:val="clear" w:color="auto" w:fill="FFFFFF"/>
          </w:tcPr>
          <w:p>
            <w:pPr>
              <w:spacing w:before="40" w:after="40"/>
            </w:pPr>
            <w:r/>
            <w:r>
              <w:rPr>
                <w:rFonts w:ascii="Calibri" w:hAnsi="Calibri"/>
                <w:sz w:val="21"/>
              </w:rPr>
              <w:t>Dealership revenue targets, team performance, and inventory turnover</w:t>
            </w:r>
          </w:p>
        </w:tc>
      </w:tr>
      <w:tr>
        <w:tc>
          <w:tcPr>
            <w:tcW w:type="dxa" w:w="2016"/>
            <w:shd w:val="clear" w:color="auto" w:fill="F9FBFF"/>
          </w:tcPr>
          <w:p>
            <w:pPr>
              <w:spacing w:before="40" w:after="40"/>
            </w:pPr>
            <w:r/>
            <w:r>
              <w:rPr>
                <w:rFonts w:ascii="Calibri" w:hAnsi="Calibri"/>
                <w:sz w:val="21"/>
              </w:rPr>
              <w:t>Sales Executive</w:t>
            </w:r>
          </w:p>
        </w:tc>
        <w:tc>
          <w:tcPr>
            <w:tcW w:type="dxa" w:w="2304"/>
            <w:shd w:val="clear" w:color="auto" w:fill="F9FBFF"/>
          </w:tcPr>
          <w:p>
            <w:pPr>
              <w:spacing w:before="40" w:after="40"/>
            </w:pPr>
            <w:r/>
            <w:r>
              <w:rPr>
                <w:rFonts w:ascii="Calibri" w:hAnsi="Calibri"/>
                <w:sz w:val="21"/>
              </w:rPr>
              <w:t>Transactional access — customer, booking, test drive, and exchange modules</w:t>
            </w:r>
          </w:p>
        </w:tc>
        <w:tc>
          <w:tcPr>
            <w:tcW w:type="dxa" w:w="3888"/>
            <w:shd w:val="clear" w:color="auto" w:fill="F9FBFF"/>
          </w:tcPr>
          <w:p>
            <w:pPr>
              <w:spacing w:before="40" w:after="40"/>
            </w:pPr>
            <w:r/>
            <w:r>
              <w:rPr>
                <w:rFonts w:ascii="Calibri" w:hAnsi="Calibri"/>
                <w:sz w:val="21"/>
              </w:rPr>
              <w:t>• Register and manage customer profiles</w:t>
              <w:br/>
              <w:t>• Create and process vehicle bookings</w:t>
              <w:br/>
              <w:t>• Schedule and conduct test drives</w:t>
              <w:br/>
              <w:t>• Initiate exchange valuation requests</w:t>
              <w:br/>
              <w:t>• Record accessory orders</w:t>
            </w:r>
          </w:p>
        </w:tc>
        <w:tc>
          <w:tcPr>
            <w:tcW w:type="dxa" w:w="1440"/>
            <w:shd w:val="clear" w:color="auto" w:fill="F9FBFF"/>
          </w:tcPr>
          <w:p>
            <w:pPr>
              <w:spacing w:before="40" w:after="40"/>
            </w:pPr>
            <w:r/>
            <w:r>
              <w:rPr>
                <w:rFonts w:ascii="Calibri" w:hAnsi="Calibri"/>
                <w:sz w:val="21"/>
              </w:rPr>
              <w:t>Customer satisfaction, booking conversions, and sales targets</w:t>
            </w:r>
          </w:p>
        </w:tc>
      </w:tr>
      <w:tr>
        <w:tc>
          <w:tcPr>
            <w:tcW w:type="dxa" w:w="2016"/>
            <w:shd w:val="clear" w:color="auto" w:fill="FFFFFF"/>
          </w:tcPr>
          <w:p>
            <w:pPr>
              <w:spacing w:before="40" w:after="40"/>
            </w:pPr>
            <w:r/>
            <w:r>
              <w:rPr>
                <w:rFonts w:ascii="Calibri" w:hAnsi="Calibri"/>
                <w:sz w:val="21"/>
              </w:rPr>
              <w:t>Senior Official</w:t>
            </w:r>
          </w:p>
        </w:tc>
        <w:tc>
          <w:tcPr>
            <w:tcW w:type="dxa" w:w="2304"/>
            <w:shd w:val="clear" w:color="auto" w:fill="FFFFFF"/>
          </w:tcPr>
          <w:p>
            <w:pPr>
              <w:spacing w:before="40" w:after="40"/>
            </w:pPr>
            <w:r/>
            <w:r>
              <w:rPr>
                <w:rFonts w:ascii="Calibri" w:hAnsi="Calibri"/>
                <w:sz w:val="21"/>
              </w:rPr>
              <w:t>Read-only access — all reports and dashboards</w:t>
            </w:r>
          </w:p>
        </w:tc>
        <w:tc>
          <w:tcPr>
            <w:tcW w:type="dxa" w:w="3888"/>
            <w:shd w:val="clear" w:color="auto" w:fill="FFFFFF"/>
          </w:tcPr>
          <w:p>
            <w:pPr>
              <w:spacing w:before="40" w:after="40"/>
            </w:pPr>
            <w:r/>
            <w:r>
              <w:rPr>
                <w:rFonts w:ascii="Calibri" w:hAnsi="Calibri"/>
                <w:sz w:val="21"/>
              </w:rPr>
              <w:t>• Monitor KPI dashboards and analytics</w:t>
              <w:br/>
              <w:t>• Review sales summaries and inventory reports</w:t>
              <w:br/>
              <w:t>• Access booking and dispatch reports</w:t>
              <w:br/>
              <w:t>• No transactional write permissions</w:t>
            </w:r>
          </w:p>
        </w:tc>
        <w:tc>
          <w:tcPr>
            <w:tcW w:type="dxa" w:w="1440"/>
            <w:shd w:val="clear" w:color="auto" w:fill="FFFFFF"/>
          </w:tcPr>
          <w:p>
            <w:pPr>
              <w:spacing w:before="40" w:after="40"/>
            </w:pPr>
            <w:r/>
            <w:r>
              <w:rPr>
                <w:rFonts w:ascii="Calibri" w:hAnsi="Calibri"/>
                <w:sz w:val="21"/>
              </w:rPr>
              <w:t>High-level business intelligence and performance benchmarking</w:t>
            </w:r>
          </w:p>
        </w:tc>
      </w:tr>
      <w:tr>
        <w:tc>
          <w:tcPr>
            <w:tcW w:type="dxa" w:w="2016"/>
            <w:shd w:val="clear" w:color="auto" w:fill="F9FBFF"/>
          </w:tcPr>
          <w:p>
            <w:pPr>
              <w:spacing w:before="40" w:after="40"/>
            </w:pPr>
            <w:r/>
            <w:r>
              <w:rPr>
                <w:rFonts w:ascii="Calibri" w:hAnsi="Calibri"/>
                <w:sz w:val="21"/>
              </w:rPr>
              <w:t>System Administrator</w:t>
              <w:br/>
              <w:t>(Technical)</w:t>
            </w:r>
          </w:p>
        </w:tc>
        <w:tc>
          <w:tcPr>
            <w:tcW w:type="dxa" w:w="2304"/>
            <w:shd w:val="clear" w:color="auto" w:fill="F9FBFF"/>
          </w:tcPr>
          <w:p>
            <w:pPr>
              <w:spacing w:before="40" w:after="40"/>
            </w:pPr>
            <w:r/>
            <w:r>
              <w:rPr>
                <w:rFonts w:ascii="Calibri" w:hAnsi="Calibri"/>
                <w:sz w:val="21"/>
              </w:rPr>
              <w:t>Infrastructure-level access</w:t>
            </w:r>
          </w:p>
        </w:tc>
        <w:tc>
          <w:tcPr>
            <w:tcW w:type="dxa" w:w="3888"/>
            <w:shd w:val="clear" w:color="auto" w:fill="F9FBFF"/>
          </w:tcPr>
          <w:p>
            <w:pPr>
              <w:spacing w:before="40" w:after="40"/>
            </w:pPr>
            <w:r/>
            <w:r>
              <w:rPr>
                <w:rFonts w:ascii="Calibri" w:hAnsi="Calibri"/>
                <w:sz w:val="21"/>
              </w:rPr>
              <w:t>• Deploy and maintain the Spring Boot backend and MySQL database</w:t>
              <w:br/>
              <w:t>• Manage application configuration (application.properties)</w:t>
              <w:br/>
              <w:t>• Monitor system health and uptime</w:t>
              <w:br/>
              <w:t>• Execute database backups and recovery procedures</w:t>
            </w:r>
          </w:p>
        </w:tc>
        <w:tc>
          <w:tcPr>
            <w:tcW w:type="dxa" w:w="1440"/>
            <w:shd w:val="clear" w:color="auto" w:fill="F9FBFF"/>
          </w:tcPr>
          <w:p>
            <w:pPr>
              <w:spacing w:before="40" w:after="40"/>
            </w:pPr>
            <w:r/>
            <w:r>
              <w:rPr>
                <w:rFonts w:ascii="Calibri" w:hAnsi="Calibri"/>
                <w:sz w:val="21"/>
              </w:rPr>
              <w:t>System availability, performance, and data security</w:t>
            </w:r>
          </w:p>
        </w:tc>
      </w:tr>
      <w:tr>
        <w:tc>
          <w:tcPr>
            <w:tcW w:type="dxa" w:w="2016"/>
            <w:shd w:val="clear" w:color="auto" w:fill="FFFFFF"/>
          </w:tcPr>
          <w:p>
            <w:pPr>
              <w:spacing w:before="40" w:after="40"/>
            </w:pPr>
            <w:r/>
            <w:r>
              <w:rPr>
                <w:rFonts w:ascii="Calibri" w:hAnsi="Calibri"/>
                <w:sz w:val="21"/>
              </w:rPr>
              <w:t>End Customer</w:t>
            </w:r>
          </w:p>
        </w:tc>
        <w:tc>
          <w:tcPr>
            <w:tcW w:type="dxa" w:w="2304"/>
            <w:shd w:val="clear" w:color="auto" w:fill="FFFFFF"/>
          </w:tcPr>
          <w:p>
            <w:pPr>
              <w:spacing w:before="40" w:after="40"/>
            </w:pPr>
            <w:r/>
            <w:r>
              <w:rPr>
                <w:rFonts w:ascii="Calibri" w:hAnsi="Calibri"/>
                <w:sz w:val="21"/>
              </w:rPr>
              <w:t>External actor — no direct system login</w:t>
            </w:r>
          </w:p>
        </w:tc>
        <w:tc>
          <w:tcPr>
            <w:tcW w:type="dxa" w:w="3888"/>
            <w:shd w:val="clear" w:color="auto" w:fill="FFFFFF"/>
          </w:tcPr>
          <w:p>
            <w:pPr>
              <w:spacing w:before="40" w:after="40"/>
            </w:pPr>
            <w:r/>
            <w:r>
              <w:rPr>
                <w:rFonts w:ascii="Calibri" w:hAnsi="Calibri"/>
                <w:sz w:val="21"/>
              </w:rPr>
              <w:t>• Provides personal details and KYC documentation to the Sales Executive</w:t>
              <w:br/>
              <w:t>• Requests test drives and vehicle bookings</w:t>
              <w:br/>
              <w:t>• Submits old vehicle for exchange evaluation</w:t>
            </w:r>
          </w:p>
        </w:tc>
        <w:tc>
          <w:tcPr>
            <w:tcW w:type="dxa" w:w="1440"/>
            <w:shd w:val="clear" w:color="auto" w:fill="FFFFFF"/>
          </w:tcPr>
          <w:p>
            <w:pPr>
              <w:spacing w:before="40" w:after="40"/>
            </w:pPr>
            <w:r/>
            <w:r>
              <w:rPr>
                <w:rFonts w:ascii="Calibri" w:hAnsi="Calibri"/>
                <w:sz w:val="21"/>
              </w:rPr>
              <w:t>Transparent and efficient vehicle purchase experience</w:t>
            </w:r>
          </w:p>
        </w:tc>
      </w:tr>
    </w:tbl>
    <w:p/>
    <w:p>
      <w:pPr>
        <w:pStyle w:val="Heading2"/>
        <w:spacing w:before="200" w:after="80"/>
      </w:pPr>
      <w:r>
        <w:t>4.2  RACI Summary</w:t>
      </w:r>
    </w:p>
    <w:p>
      <w:pPr>
        <w:spacing w:before="40" w:after="100" w:line="280" w:lineRule="exact"/>
      </w:pPr>
      <w:r>
        <w:t>The table below summarises the Responsible, Accountable, Consulted, and Informed (RACI) assignments for the major system modules.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880"/>
            <w:shd w:val="clear" w:color="auto" w:fill="002C5F"/>
          </w:tcPr>
          <w:p>
            <w:pPr>
              <w:spacing w:before="60" w:after="60"/>
              <w:jc w:val="center"/>
            </w:pPr>
            <w:r/>
            <w:r>
              <w:rPr>
                <w:rFonts w:ascii="Calibri" w:hAnsi="Calibri"/>
                <w:b/>
                <w:color w:val="FFFFFF"/>
                <w:sz w:val="21"/>
              </w:rPr>
              <w:t>Module</w:t>
            </w:r>
          </w:p>
        </w:tc>
        <w:tc>
          <w:tcPr>
            <w:tcW w:type="dxa" w:w="1872"/>
            <w:shd w:val="clear" w:color="auto" w:fill="002C5F"/>
          </w:tcPr>
          <w:p>
            <w:pPr>
              <w:spacing w:before="60" w:after="60"/>
              <w:jc w:val="center"/>
            </w:pPr>
            <w:r/>
            <w:r>
              <w:rPr>
                <w:rFonts w:ascii="Calibri" w:hAnsi="Calibri"/>
                <w:b/>
                <w:color w:val="FFFFFF"/>
                <w:sz w:val="21"/>
              </w:rPr>
              <w:t>Responsible</w:t>
            </w:r>
          </w:p>
        </w:tc>
        <w:tc>
          <w:tcPr>
            <w:tcW w:type="dxa" w:w="1872"/>
            <w:shd w:val="clear" w:color="auto" w:fill="002C5F"/>
          </w:tcPr>
          <w:p>
            <w:pPr>
              <w:spacing w:before="60" w:after="60"/>
              <w:jc w:val="center"/>
            </w:pPr>
            <w:r/>
            <w:r>
              <w:rPr>
                <w:rFonts w:ascii="Calibri" w:hAnsi="Calibri"/>
                <w:b/>
                <w:color w:val="FFFFFF"/>
                <w:sz w:val="21"/>
              </w:rPr>
              <w:t>Accountable</w:t>
            </w:r>
          </w:p>
        </w:tc>
        <w:tc>
          <w:tcPr>
            <w:tcW w:type="dxa" w:w="1872"/>
            <w:shd w:val="clear" w:color="auto" w:fill="002C5F"/>
          </w:tcPr>
          <w:p>
            <w:pPr>
              <w:spacing w:before="60" w:after="60"/>
              <w:jc w:val="center"/>
            </w:pPr>
            <w:r/>
            <w:r>
              <w:rPr>
                <w:rFonts w:ascii="Calibri" w:hAnsi="Calibri"/>
                <w:b/>
                <w:color w:val="FFFFFF"/>
                <w:sz w:val="21"/>
              </w:rPr>
              <w:t>Consulted</w:t>
            </w:r>
          </w:p>
        </w:tc>
        <w:tc>
          <w:tcPr>
            <w:tcW w:type="dxa" w:w="1872"/>
            <w:shd w:val="clear" w:color="auto" w:fill="002C5F"/>
          </w:tcPr>
          <w:p>
            <w:pPr>
              <w:spacing w:before="60" w:after="60"/>
              <w:jc w:val="center"/>
            </w:pPr>
            <w:r/>
            <w:r>
              <w:rPr>
                <w:rFonts w:ascii="Calibri" w:hAnsi="Calibri"/>
                <w:b/>
                <w:color w:val="FFFFFF"/>
                <w:sz w:val="21"/>
              </w:rPr>
              <w:t>Informed</w:t>
            </w:r>
          </w:p>
        </w:tc>
      </w:tr>
      <w:tr>
        <w:tc>
          <w:tcPr>
            <w:tcW w:type="dxa" w:w="2880"/>
            <w:shd w:val="clear" w:color="auto" w:fill="F9FBFF"/>
          </w:tcPr>
          <w:p>
            <w:pPr>
              <w:spacing w:before="40" w:after="40"/>
            </w:pPr>
            <w:r/>
            <w:r>
              <w:rPr>
                <w:rFonts w:ascii="Calibri" w:hAnsi="Calibri"/>
                <w:sz w:val="21"/>
              </w:rPr>
              <w:t>Authentication &amp; User Mgmt</w:t>
            </w:r>
          </w:p>
        </w:tc>
        <w:tc>
          <w:tcPr>
            <w:tcW w:type="dxa" w:w="1872"/>
            <w:shd w:val="clear" w:color="auto" w:fill="F9FBFF"/>
          </w:tcPr>
          <w:p>
            <w:pPr>
              <w:spacing w:before="40" w:after="40"/>
            </w:pPr>
            <w:r/>
            <w:r>
              <w:rPr>
                <w:rFonts w:ascii="Calibri" w:hAnsi="Calibri"/>
                <w:sz w:val="21"/>
              </w:rPr>
              <w:t>Super Admin</w:t>
            </w:r>
          </w:p>
        </w:tc>
        <w:tc>
          <w:tcPr>
            <w:tcW w:type="dxa" w:w="1872"/>
            <w:shd w:val="clear" w:color="auto" w:fill="F9FBFF"/>
          </w:tcPr>
          <w:p>
            <w:pPr>
              <w:spacing w:before="40" w:after="40"/>
            </w:pPr>
            <w:r/>
            <w:r>
              <w:rPr>
                <w:rFonts w:ascii="Calibri" w:hAnsi="Calibri"/>
                <w:sz w:val="21"/>
              </w:rPr>
              <w:t>Super Admin</w:t>
            </w:r>
          </w:p>
        </w:tc>
        <w:tc>
          <w:tcPr>
            <w:tcW w:type="dxa" w:w="1872"/>
            <w:shd w:val="clear" w:color="auto" w:fill="F9FBFF"/>
          </w:tcPr>
          <w:p>
            <w:pPr>
              <w:spacing w:before="40" w:after="40"/>
            </w:pPr>
            <w:r/>
            <w:r>
              <w:rPr>
                <w:rFonts w:ascii="Calibri" w:hAnsi="Calibri"/>
                <w:sz w:val="21"/>
              </w:rPr>
              <w:t>All Roles</w:t>
            </w:r>
          </w:p>
        </w:tc>
        <w:tc>
          <w:tcPr>
            <w:tcW w:type="dxa" w:w="1872"/>
            <w:shd w:val="clear" w:color="auto" w:fill="F9FBFF"/>
          </w:tcPr>
          <w:p>
            <w:pPr>
              <w:spacing w:before="40" w:after="40"/>
            </w:pPr>
            <w:r/>
            <w:r>
              <w:rPr>
                <w:rFonts w:ascii="Calibri" w:hAnsi="Calibri"/>
                <w:sz w:val="21"/>
              </w:rPr>
              <w:t>System Admin</w:t>
            </w:r>
          </w:p>
        </w:tc>
      </w:tr>
      <w:tr>
        <w:tc>
          <w:tcPr>
            <w:tcW w:type="dxa" w:w="2880"/>
            <w:shd w:val="clear" w:color="auto" w:fill="FFFFFF"/>
          </w:tcPr>
          <w:p>
            <w:pPr>
              <w:spacing w:before="40" w:after="40"/>
            </w:pPr>
            <w:r/>
            <w:r>
              <w:rPr>
                <w:rFonts w:ascii="Calibri" w:hAnsi="Calibri"/>
                <w:sz w:val="21"/>
              </w:rPr>
              <w:t>Customer Management</w:t>
            </w:r>
          </w:p>
        </w:tc>
        <w:tc>
          <w:tcPr>
            <w:tcW w:type="dxa" w:w="1872"/>
            <w:shd w:val="clear" w:color="auto" w:fill="FFFFFF"/>
          </w:tcPr>
          <w:p>
            <w:pPr>
              <w:spacing w:before="40" w:after="40"/>
            </w:pPr>
            <w:r/>
            <w:r>
              <w:rPr>
                <w:rFonts w:ascii="Calibri" w:hAnsi="Calibri"/>
                <w:sz w:val="21"/>
              </w:rPr>
              <w:t>Sales Executive</w:t>
            </w:r>
          </w:p>
        </w:tc>
        <w:tc>
          <w:tcPr>
            <w:tcW w:type="dxa" w:w="1872"/>
            <w:shd w:val="clear" w:color="auto" w:fill="FFFFFF"/>
          </w:tcPr>
          <w:p>
            <w:pPr>
              <w:spacing w:before="40" w:after="40"/>
            </w:pPr>
            <w:r/>
            <w:r>
              <w:rPr>
                <w:rFonts w:ascii="Calibri" w:hAnsi="Calibri"/>
                <w:sz w:val="21"/>
              </w:rPr>
              <w:t>Dealer Manager</w:t>
            </w:r>
          </w:p>
        </w:tc>
        <w:tc>
          <w:tcPr>
            <w:tcW w:type="dxa" w:w="1872"/>
            <w:shd w:val="clear" w:color="auto" w:fill="FFFFFF"/>
          </w:tcPr>
          <w:p>
            <w:pPr>
              <w:spacing w:before="40" w:after="40"/>
            </w:pPr>
            <w:r/>
            <w:r>
              <w:rPr>
                <w:rFonts w:ascii="Calibri" w:hAnsi="Calibri"/>
                <w:sz w:val="21"/>
              </w:rPr>
              <w:t>Sales Executive</w:t>
            </w:r>
          </w:p>
        </w:tc>
        <w:tc>
          <w:tcPr>
            <w:tcW w:type="dxa" w:w="1872"/>
            <w:shd w:val="clear" w:color="auto" w:fill="FFFFFF"/>
          </w:tcPr>
          <w:p>
            <w:pPr>
              <w:spacing w:before="40" w:after="40"/>
            </w:pPr>
            <w:r/>
            <w:r>
              <w:rPr>
                <w:rFonts w:ascii="Calibri" w:hAnsi="Calibri"/>
                <w:sz w:val="21"/>
              </w:rPr>
              <w:t>Senior Official</w:t>
            </w:r>
          </w:p>
        </w:tc>
      </w:tr>
      <w:tr>
        <w:tc>
          <w:tcPr>
            <w:tcW w:type="dxa" w:w="2880"/>
            <w:shd w:val="clear" w:color="auto" w:fill="F9FBFF"/>
          </w:tcPr>
          <w:p>
            <w:pPr>
              <w:spacing w:before="40" w:after="40"/>
            </w:pPr>
            <w:r/>
            <w:r>
              <w:rPr>
                <w:rFonts w:ascii="Calibri" w:hAnsi="Calibri"/>
                <w:sz w:val="21"/>
              </w:rPr>
              <w:t>Vehicle Inventory</w:t>
            </w:r>
          </w:p>
        </w:tc>
        <w:tc>
          <w:tcPr>
            <w:tcW w:type="dxa" w:w="1872"/>
            <w:shd w:val="clear" w:color="auto" w:fill="F9FBFF"/>
          </w:tcPr>
          <w:p>
            <w:pPr>
              <w:spacing w:before="40" w:after="40"/>
            </w:pPr>
            <w:r/>
            <w:r>
              <w:rPr>
                <w:rFonts w:ascii="Calibri" w:hAnsi="Calibri"/>
                <w:sz w:val="21"/>
              </w:rPr>
              <w:t>Dealer Manager</w:t>
            </w:r>
          </w:p>
        </w:tc>
        <w:tc>
          <w:tcPr>
            <w:tcW w:type="dxa" w:w="1872"/>
            <w:shd w:val="clear" w:color="auto" w:fill="F9FBFF"/>
          </w:tcPr>
          <w:p>
            <w:pPr>
              <w:spacing w:before="40" w:after="40"/>
            </w:pPr>
            <w:r/>
            <w:r>
              <w:rPr>
                <w:rFonts w:ascii="Calibri" w:hAnsi="Calibri"/>
                <w:sz w:val="21"/>
              </w:rPr>
              <w:t>Dealer Manager</w:t>
            </w:r>
          </w:p>
        </w:tc>
        <w:tc>
          <w:tcPr>
            <w:tcW w:type="dxa" w:w="1872"/>
            <w:shd w:val="clear" w:color="auto" w:fill="F9FBFF"/>
          </w:tcPr>
          <w:p>
            <w:pPr>
              <w:spacing w:before="40" w:after="40"/>
            </w:pPr>
            <w:r/>
            <w:r>
              <w:rPr>
                <w:rFonts w:ascii="Calibri" w:hAnsi="Calibri"/>
                <w:sz w:val="21"/>
              </w:rPr>
              <w:t>Sales Executive</w:t>
            </w:r>
          </w:p>
        </w:tc>
        <w:tc>
          <w:tcPr>
            <w:tcW w:type="dxa" w:w="1872"/>
            <w:shd w:val="clear" w:color="auto" w:fill="F9FBFF"/>
          </w:tcPr>
          <w:p>
            <w:pPr>
              <w:spacing w:before="40" w:after="40"/>
            </w:pPr>
            <w:r/>
            <w:r>
              <w:rPr>
                <w:rFonts w:ascii="Calibri" w:hAnsi="Calibri"/>
                <w:sz w:val="21"/>
              </w:rPr>
              <w:t>Senior Official</w:t>
            </w:r>
          </w:p>
        </w:tc>
      </w:tr>
      <w:tr>
        <w:tc>
          <w:tcPr>
            <w:tcW w:type="dxa" w:w="2880"/>
            <w:shd w:val="clear" w:color="auto" w:fill="FFFFFF"/>
          </w:tcPr>
          <w:p>
            <w:pPr>
              <w:spacing w:before="40" w:after="40"/>
            </w:pPr>
            <w:r/>
            <w:r>
              <w:rPr>
                <w:rFonts w:ascii="Calibri" w:hAnsi="Calibri"/>
                <w:sz w:val="21"/>
              </w:rPr>
              <w:t>Booking Management</w:t>
            </w:r>
          </w:p>
        </w:tc>
        <w:tc>
          <w:tcPr>
            <w:tcW w:type="dxa" w:w="1872"/>
            <w:shd w:val="clear" w:color="auto" w:fill="FFFFFF"/>
          </w:tcPr>
          <w:p>
            <w:pPr>
              <w:spacing w:before="40" w:after="40"/>
            </w:pPr>
            <w:r/>
            <w:r>
              <w:rPr>
                <w:rFonts w:ascii="Calibri" w:hAnsi="Calibri"/>
                <w:sz w:val="21"/>
              </w:rPr>
              <w:t>Sales Executive</w:t>
            </w:r>
          </w:p>
        </w:tc>
        <w:tc>
          <w:tcPr>
            <w:tcW w:type="dxa" w:w="1872"/>
            <w:shd w:val="clear" w:color="auto" w:fill="FFFFFF"/>
          </w:tcPr>
          <w:p>
            <w:pPr>
              <w:spacing w:before="40" w:after="40"/>
            </w:pPr>
            <w:r/>
            <w:r>
              <w:rPr>
                <w:rFonts w:ascii="Calibri" w:hAnsi="Calibri"/>
                <w:sz w:val="21"/>
              </w:rPr>
              <w:t>Dealer Manager</w:t>
            </w:r>
          </w:p>
        </w:tc>
        <w:tc>
          <w:tcPr>
            <w:tcW w:type="dxa" w:w="1872"/>
            <w:shd w:val="clear" w:color="auto" w:fill="FFFFFF"/>
          </w:tcPr>
          <w:p>
            <w:pPr>
              <w:spacing w:before="40" w:after="40"/>
            </w:pPr>
            <w:r/>
            <w:r>
              <w:rPr>
                <w:rFonts w:ascii="Calibri" w:hAnsi="Calibri"/>
                <w:sz w:val="21"/>
              </w:rPr>
              <w:t>Sales Executive</w:t>
            </w:r>
          </w:p>
        </w:tc>
        <w:tc>
          <w:tcPr>
            <w:tcW w:type="dxa" w:w="1872"/>
            <w:shd w:val="clear" w:color="auto" w:fill="FFFFFF"/>
          </w:tcPr>
          <w:p>
            <w:pPr>
              <w:spacing w:before="40" w:after="40"/>
            </w:pPr>
            <w:r/>
            <w:r>
              <w:rPr>
                <w:rFonts w:ascii="Calibri" w:hAnsi="Calibri"/>
                <w:sz w:val="21"/>
              </w:rPr>
              <w:t>Senior Official</w:t>
            </w:r>
          </w:p>
        </w:tc>
      </w:tr>
      <w:tr>
        <w:tc>
          <w:tcPr>
            <w:tcW w:type="dxa" w:w="2880"/>
            <w:shd w:val="clear" w:color="auto" w:fill="F9FBFF"/>
          </w:tcPr>
          <w:p>
            <w:pPr>
              <w:spacing w:before="40" w:after="40"/>
            </w:pPr>
            <w:r/>
            <w:r>
              <w:rPr>
                <w:rFonts w:ascii="Calibri" w:hAnsi="Calibri"/>
                <w:sz w:val="21"/>
              </w:rPr>
              <w:t>Test Drive Management</w:t>
            </w:r>
          </w:p>
        </w:tc>
        <w:tc>
          <w:tcPr>
            <w:tcW w:type="dxa" w:w="1872"/>
            <w:shd w:val="clear" w:color="auto" w:fill="F9FBFF"/>
          </w:tcPr>
          <w:p>
            <w:pPr>
              <w:spacing w:before="40" w:after="40"/>
            </w:pPr>
            <w:r/>
            <w:r>
              <w:rPr>
                <w:rFonts w:ascii="Calibri" w:hAnsi="Calibri"/>
                <w:sz w:val="21"/>
              </w:rPr>
              <w:t>Sales Executive</w:t>
            </w:r>
          </w:p>
        </w:tc>
        <w:tc>
          <w:tcPr>
            <w:tcW w:type="dxa" w:w="1872"/>
            <w:shd w:val="clear" w:color="auto" w:fill="F9FBFF"/>
          </w:tcPr>
          <w:p>
            <w:pPr>
              <w:spacing w:before="40" w:after="40"/>
            </w:pPr>
            <w:r/>
            <w:r>
              <w:rPr>
                <w:rFonts w:ascii="Calibri" w:hAnsi="Calibri"/>
                <w:sz w:val="21"/>
              </w:rPr>
              <w:t>Dealer Manager</w:t>
            </w:r>
          </w:p>
        </w:tc>
        <w:tc>
          <w:tcPr>
            <w:tcW w:type="dxa" w:w="1872"/>
            <w:shd w:val="clear" w:color="auto" w:fill="F9FBFF"/>
          </w:tcPr>
          <w:p>
            <w:pPr>
              <w:spacing w:before="40" w:after="40"/>
            </w:pPr>
            <w:r/>
            <w:r>
              <w:rPr>
                <w:rFonts w:ascii="Calibri" w:hAnsi="Calibri"/>
                <w:sz w:val="21"/>
              </w:rPr>
              <w:t>Sales Executive</w:t>
            </w:r>
          </w:p>
        </w:tc>
        <w:tc>
          <w:tcPr>
            <w:tcW w:type="dxa" w:w="1872"/>
            <w:shd w:val="clear" w:color="auto" w:fill="F9FBFF"/>
          </w:tcPr>
          <w:p>
            <w:pPr>
              <w:spacing w:before="40" w:after="40"/>
            </w:pPr>
            <w:r/>
            <w:r>
              <w:rPr>
                <w:rFonts w:ascii="Calibri" w:hAnsi="Calibri"/>
                <w:sz w:val="21"/>
              </w:rPr>
              <w:t>Dealer Manager</w:t>
            </w:r>
          </w:p>
        </w:tc>
      </w:tr>
      <w:tr>
        <w:tc>
          <w:tcPr>
            <w:tcW w:type="dxa" w:w="2880"/>
            <w:shd w:val="clear" w:color="auto" w:fill="FFFFFF"/>
          </w:tcPr>
          <w:p>
            <w:pPr>
              <w:spacing w:before="40" w:after="40"/>
            </w:pPr>
            <w:r/>
            <w:r>
              <w:rPr>
                <w:rFonts w:ascii="Calibri" w:hAnsi="Calibri"/>
                <w:sz w:val="21"/>
              </w:rPr>
              <w:t>Exchange Management</w:t>
            </w:r>
          </w:p>
        </w:tc>
        <w:tc>
          <w:tcPr>
            <w:tcW w:type="dxa" w:w="1872"/>
            <w:shd w:val="clear" w:color="auto" w:fill="FFFFFF"/>
          </w:tcPr>
          <w:p>
            <w:pPr>
              <w:spacing w:before="40" w:after="40"/>
            </w:pPr>
            <w:r/>
            <w:r>
              <w:rPr>
                <w:rFonts w:ascii="Calibri" w:hAnsi="Calibri"/>
                <w:sz w:val="21"/>
              </w:rPr>
              <w:t>Sales Executive</w:t>
            </w:r>
          </w:p>
        </w:tc>
        <w:tc>
          <w:tcPr>
            <w:tcW w:type="dxa" w:w="1872"/>
            <w:shd w:val="clear" w:color="auto" w:fill="FFFFFF"/>
          </w:tcPr>
          <w:p>
            <w:pPr>
              <w:spacing w:before="40" w:after="40"/>
            </w:pPr>
            <w:r/>
            <w:r>
              <w:rPr>
                <w:rFonts w:ascii="Calibri" w:hAnsi="Calibri"/>
                <w:sz w:val="21"/>
              </w:rPr>
              <w:t>Dealer Manager</w:t>
            </w:r>
          </w:p>
        </w:tc>
        <w:tc>
          <w:tcPr>
            <w:tcW w:type="dxa" w:w="1872"/>
            <w:shd w:val="clear" w:color="auto" w:fill="FFFFFF"/>
          </w:tcPr>
          <w:p>
            <w:pPr>
              <w:spacing w:before="40" w:after="40"/>
            </w:pPr>
            <w:r/>
            <w:r>
              <w:rPr>
                <w:rFonts w:ascii="Calibri" w:hAnsi="Calibri"/>
                <w:sz w:val="21"/>
              </w:rPr>
              <w:t>Dealer Manager</w:t>
            </w:r>
          </w:p>
        </w:tc>
        <w:tc>
          <w:tcPr>
            <w:tcW w:type="dxa" w:w="1872"/>
            <w:shd w:val="clear" w:color="auto" w:fill="FFFFFF"/>
          </w:tcPr>
          <w:p>
            <w:pPr>
              <w:spacing w:before="40" w:after="40"/>
            </w:pPr>
            <w:r/>
            <w:r>
              <w:rPr>
                <w:rFonts w:ascii="Calibri" w:hAnsi="Calibri"/>
                <w:sz w:val="21"/>
              </w:rPr>
              <w:t>Senior Official</w:t>
            </w:r>
          </w:p>
        </w:tc>
      </w:tr>
      <w:tr>
        <w:tc>
          <w:tcPr>
            <w:tcW w:type="dxa" w:w="2880"/>
            <w:shd w:val="clear" w:color="auto" w:fill="F9FBFF"/>
          </w:tcPr>
          <w:p>
            <w:pPr>
              <w:spacing w:before="40" w:after="40"/>
            </w:pPr>
            <w:r/>
            <w:r>
              <w:rPr>
                <w:rFonts w:ascii="Calibri" w:hAnsi="Calibri"/>
                <w:sz w:val="21"/>
              </w:rPr>
              <w:t>Accessories Management</w:t>
            </w:r>
          </w:p>
        </w:tc>
        <w:tc>
          <w:tcPr>
            <w:tcW w:type="dxa" w:w="1872"/>
            <w:shd w:val="clear" w:color="auto" w:fill="F9FBFF"/>
          </w:tcPr>
          <w:p>
            <w:pPr>
              <w:spacing w:before="40" w:after="40"/>
            </w:pPr>
            <w:r/>
            <w:r>
              <w:rPr>
                <w:rFonts w:ascii="Calibri" w:hAnsi="Calibri"/>
                <w:sz w:val="21"/>
              </w:rPr>
              <w:t>Sales Executive</w:t>
            </w:r>
          </w:p>
        </w:tc>
        <w:tc>
          <w:tcPr>
            <w:tcW w:type="dxa" w:w="1872"/>
            <w:shd w:val="clear" w:color="auto" w:fill="F9FBFF"/>
          </w:tcPr>
          <w:p>
            <w:pPr>
              <w:spacing w:before="40" w:after="40"/>
            </w:pPr>
            <w:r/>
            <w:r>
              <w:rPr>
                <w:rFonts w:ascii="Calibri" w:hAnsi="Calibri"/>
                <w:sz w:val="21"/>
              </w:rPr>
              <w:t>Dealer Manager</w:t>
            </w:r>
          </w:p>
        </w:tc>
        <w:tc>
          <w:tcPr>
            <w:tcW w:type="dxa" w:w="1872"/>
            <w:shd w:val="clear" w:color="auto" w:fill="F9FBFF"/>
          </w:tcPr>
          <w:p>
            <w:pPr>
              <w:spacing w:before="40" w:after="40"/>
            </w:pPr>
            <w:r/>
            <w:r>
              <w:rPr>
                <w:rFonts w:ascii="Calibri" w:hAnsi="Calibri"/>
                <w:sz w:val="21"/>
              </w:rPr>
              <w:t>Sales Executive</w:t>
            </w:r>
          </w:p>
        </w:tc>
        <w:tc>
          <w:tcPr>
            <w:tcW w:type="dxa" w:w="1872"/>
            <w:shd w:val="clear" w:color="auto" w:fill="F9FBFF"/>
          </w:tcPr>
          <w:p>
            <w:pPr>
              <w:spacing w:before="40" w:after="40"/>
            </w:pPr>
            <w:r/>
            <w:r>
              <w:rPr>
                <w:rFonts w:ascii="Calibri" w:hAnsi="Calibri"/>
                <w:sz w:val="21"/>
              </w:rPr>
              <w:t>Dealer Manager</w:t>
            </w:r>
          </w:p>
        </w:tc>
      </w:tr>
      <w:tr>
        <w:tc>
          <w:tcPr>
            <w:tcW w:type="dxa" w:w="2880"/>
            <w:shd w:val="clear" w:color="auto" w:fill="FFFFFF"/>
          </w:tcPr>
          <w:p>
            <w:pPr>
              <w:spacing w:before="40" w:after="40"/>
            </w:pPr>
            <w:r/>
            <w:r>
              <w:rPr>
                <w:rFonts w:ascii="Calibri" w:hAnsi="Calibri"/>
                <w:sz w:val="21"/>
              </w:rPr>
              <w:t>Reports &amp; Audit Logs</w:t>
            </w:r>
          </w:p>
        </w:tc>
        <w:tc>
          <w:tcPr>
            <w:tcW w:type="dxa" w:w="1872"/>
            <w:shd w:val="clear" w:color="auto" w:fill="FFFFFF"/>
          </w:tcPr>
          <w:p>
            <w:pPr>
              <w:spacing w:before="40" w:after="40"/>
            </w:pPr>
            <w:r/>
            <w:r>
              <w:rPr>
                <w:rFonts w:ascii="Calibri" w:hAnsi="Calibri"/>
                <w:sz w:val="21"/>
              </w:rPr>
              <w:t>System (auto)</w:t>
            </w:r>
          </w:p>
        </w:tc>
        <w:tc>
          <w:tcPr>
            <w:tcW w:type="dxa" w:w="1872"/>
            <w:shd w:val="clear" w:color="auto" w:fill="FFFFFF"/>
          </w:tcPr>
          <w:p>
            <w:pPr>
              <w:spacing w:before="40" w:after="40"/>
            </w:pPr>
            <w:r/>
            <w:r>
              <w:rPr>
                <w:rFonts w:ascii="Calibri" w:hAnsi="Calibri"/>
                <w:sz w:val="21"/>
              </w:rPr>
              <w:t>Super Admin</w:t>
            </w:r>
          </w:p>
        </w:tc>
        <w:tc>
          <w:tcPr>
            <w:tcW w:type="dxa" w:w="1872"/>
            <w:shd w:val="clear" w:color="auto" w:fill="FFFFFF"/>
          </w:tcPr>
          <w:p>
            <w:pPr>
              <w:spacing w:before="40" w:after="40"/>
            </w:pPr>
            <w:r/>
            <w:r>
              <w:rPr>
                <w:rFonts w:ascii="Calibri" w:hAnsi="Calibri"/>
                <w:sz w:val="21"/>
              </w:rPr>
              <w:t>Dealer Manager</w:t>
            </w:r>
          </w:p>
        </w:tc>
        <w:tc>
          <w:tcPr>
            <w:tcW w:type="dxa" w:w="1872"/>
            <w:shd w:val="clear" w:color="auto" w:fill="FFFFFF"/>
          </w:tcPr>
          <w:p>
            <w:pPr>
              <w:spacing w:before="40" w:after="40"/>
            </w:pPr>
            <w:r/>
            <w:r>
              <w:rPr>
                <w:rFonts w:ascii="Calibri" w:hAnsi="Calibri"/>
                <w:sz w:val="21"/>
              </w:rPr>
              <w:t>Senior Official</w:t>
            </w:r>
          </w:p>
        </w:tc>
      </w:tr>
      <w:tr>
        <w:tc>
          <w:tcPr>
            <w:tcW w:type="dxa" w:w="2880"/>
            <w:shd w:val="clear" w:color="auto" w:fill="F9FBFF"/>
          </w:tcPr>
          <w:p>
            <w:pPr>
              <w:spacing w:before="40" w:after="40"/>
            </w:pPr>
            <w:r/>
            <w:r>
              <w:rPr>
                <w:rFonts w:ascii="Calibri" w:hAnsi="Calibri"/>
                <w:sz w:val="21"/>
              </w:rPr>
              <w:t>Admin / System Settings</w:t>
            </w:r>
          </w:p>
        </w:tc>
        <w:tc>
          <w:tcPr>
            <w:tcW w:type="dxa" w:w="1872"/>
            <w:shd w:val="clear" w:color="auto" w:fill="F9FBFF"/>
          </w:tcPr>
          <w:p>
            <w:pPr>
              <w:spacing w:before="40" w:after="40"/>
            </w:pPr>
            <w:r/>
            <w:r>
              <w:rPr>
                <w:rFonts w:ascii="Calibri" w:hAnsi="Calibri"/>
                <w:sz w:val="21"/>
              </w:rPr>
              <w:t>Super Admin</w:t>
            </w:r>
          </w:p>
        </w:tc>
        <w:tc>
          <w:tcPr>
            <w:tcW w:type="dxa" w:w="1872"/>
            <w:shd w:val="clear" w:color="auto" w:fill="F9FBFF"/>
          </w:tcPr>
          <w:p>
            <w:pPr>
              <w:spacing w:before="40" w:after="40"/>
            </w:pPr>
            <w:r/>
            <w:r>
              <w:rPr>
                <w:rFonts w:ascii="Calibri" w:hAnsi="Calibri"/>
                <w:sz w:val="21"/>
              </w:rPr>
              <w:t>Super Admin</w:t>
            </w:r>
          </w:p>
        </w:tc>
        <w:tc>
          <w:tcPr>
            <w:tcW w:type="dxa" w:w="1872"/>
            <w:shd w:val="clear" w:color="auto" w:fill="F9FBFF"/>
          </w:tcPr>
          <w:p>
            <w:pPr>
              <w:spacing w:before="40" w:after="40"/>
            </w:pPr>
            <w:r/>
            <w:r>
              <w:rPr>
                <w:rFonts w:ascii="Calibri" w:hAnsi="Calibri"/>
                <w:sz w:val="21"/>
              </w:rPr>
              <w:t>System Admin</w:t>
            </w:r>
          </w:p>
        </w:tc>
        <w:tc>
          <w:tcPr>
            <w:tcW w:type="dxa" w:w="1872"/>
            <w:shd w:val="clear" w:color="auto" w:fill="F9FBFF"/>
          </w:tcPr>
          <w:p>
            <w:pPr>
              <w:spacing w:before="40" w:after="40"/>
            </w:pPr>
            <w:r/>
            <w:r>
              <w:rPr>
                <w:rFonts w:ascii="Calibri" w:hAnsi="Calibri"/>
                <w:sz w:val="21"/>
              </w:rPr>
              <w:t>Dealer Manager</w:t>
            </w:r>
          </w:p>
        </w:tc>
      </w:tr>
    </w:tbl>
    <w:p/>
    <w:p>
      <w:r>
        <w:br w:type="page"/>
      </w:r>
    </w:p>
    <w:p>
      <w:pPr>
        <w:pStyle w:val="Heading1"/>
        <w:spacing w:before="280" w:after="120"/>
      </w:pPr>
      <w:r>
        <w:t>5. Business Requirements</w:t>
      </w:r>
    </w:p>
    <w:p>
      <w:pPr>
        <w:spacing w:before="40" w:after="100" w:line="280" w:lineRule="exact"/>
      </w:pPr>
      <w:r>
        <w:t>The following business requirements define what the Hyundai DMS must achieve to fulfil dealership operational needs. Each requirement is expressed in business outcome terms, independent of any specific technical implementation.</w:t>
      </w:r>
    </w:p>
    <w:p>
      <w:pPr>
        <w:pStyle w:val="Heading3"/>
        <w:spacing w:before="160" w:after="60"/>
      </w:pPr>
      <w:r>
        <w:t>BR-AUTH — Authentication &amp; Access Control</w:t>
      </w:r>
    </w:p>
    <w:p>
      <w:pPr>
        <w:pStyle w:val="ListBullet"/>
        <w:spacing w:before="20" w:after="60"/>
        <w:ind w:left="432"/>
        <w:numPr>
          <w:ilvl w:val="0"/>
          <w:numId w:val="1"/>
        </w:numPr>
      </w:pPr>
      <w:r>
        <w:rPr>
          <w:rFonts w:ascii="Calibri" w:hAnsi="Calibri"/>
          <w:color w:val="1A1A1A"/>
          <w:sz w:val="22"/>
        </w:rPr>
        <w:t>BR-AUTH-01: The system shall authenticate users using a secure, token-based mechanism and enforce session expiry.</w:t>
      </w:r>
    </w:p>
    <w:p>
      <w:pPr>
        <w:pStyle w:val="ListBullet"/>
        <w:spacing w:before="20" w:after="60"/>
        <w:ind w:left="432"/>
        <w:numPr>
          <w:ilvl w:val="0"/>
          <w:numId w:val="1"/>
        </w:numPr>
      </w:pPr>
      <w:r>
        <w:rPr>
          <w:rFonts w:ascii="Calibri" w:hAnsi="Calibri"/>
          <w:color w:val="1A1A1A"/>
          <w:sz w:val="22"/>
        </w:rPr>
        <w:t>BR-AUTH-02: Each user shall be assigned exactly one role, and system functions shall be accessible only to users whose role is authorised.</w:t>
      </w:r>
    </w:p>
    <w:p>
      <w:pPr>
        <w:pStyle w:val="ListBullet"/>
        <w:spacing w:before="20" w:after="60"/>
        <w:ind w:left="432"/>
        <w:numPr>
          <w:ilvl w:val="0"/>
          <w:numId w:val="1"/>
        </w:numPr>
      </w:pPr>
      <w:r>
        <w:rPr>
          <w:rFonts w:ascii="Calibri" w:hAnsi="Calibri"/>
          <w:color w:val="1A1A1A"/>
          <w:sz w:val="22"/>
        </w:rPr>
        <w:t>BR-AUTH-03: The system shall prevent concurrent access to restricted modules by unauthorised roles, returning appropriate access-denied responses.</w:t>
      </w:r>
    </w:p>
    <w:p>
      <w:pPr>
        <w:pStyle w:val="ListBullet"/>
        <w:spacing w:before="20" w:after="60"/>
        <w:ind w:left="432"/>
        <w:numPr>
          <w:ilvl w:val="0"/>
          <w:numId w:val="1"/>
        </w:numPr>
      </w:pPr>
      <w:r>
        <w:rPr>
          <w:rFonts w:ascii="Calibri" w:hAnsi="Calibri"/>
          <w:color w:val="1A1A1A"/>
          <w:sz w:val="22"/>
        </w:rPr>
        <w:t>BR-AUTH-04: User passwords shall be stored in an irreversible hashed format; no plaintext passwords shall exist in the database.</w:t>
      </w:r>
    </w:p>
    <w:p>
      <w:pPr>
        <w:pStyle w:val="Heading3"/>
        <w:spacing w:before="160" w:after="60"/>
      </w:pPr>
      <w:r>
        <w:t>BR-CUST — Customer Management</w:t>
      </w:r>
    </w:p>
    <w:p>
      <w:pPr>
        <w:pStyle w:val="ListBullet"/>
        <w:spacing w:before="20" w:after="60"/>
        <w:ind w:left="432"/>
        <w:numPr>
          <w:ilvl w:val="0"/>
          <w:numId w:val="1"/>
        </w:numPr>
      </w:pPr>
      <w:r>
        <w:rPr>
          <w:rFonts w:ascii="Calibri" w:hAnsi="Calibri"/>
          <w:color w:val="1A1A1A"/>
          <w:sz w:val="22"/>
        </w:rPr>
        <w:t>BR-CUST-01: The system shall maintain a complete and unique customer record including identity, contact, KYC, and behavioural data.</w:t>
      </w:r>
    </w:p>
    <w:p>
      <w:pPr>
        <w:pStyle w:val="ListBullet"/>
        <w:spacing w:before="20" w:after="60"/>
        <w:ind w:left="432"/>
        <w:numPr>
          <w:ilvl w:val="0"/>
          <w:numId w:val="1"/>
        </w:numPr>
      </w:pPr>
      <w:r>
        <w:rPr>
          <w:rFonts w:ascii="Calibri" w:hAnsi="Calibri"/>
          <w:color w:val="1A1A1A"/>
          <w:sz w:val="22"/>
        </w:rPr>
        <w:t>BR-CUST-02: Customer records shall support bulk data import via structured CSV files.</w:t>
      </w:r>
    </w:p>
    <w:p>
      <w:pPr>
        <w:pStyle w:val="ListBullet"/>
        <w:spacing w:before="20" w:after="60"/>
        <w:ind w:left="432"/>
        <w:numPr>
          <w:ilvl w:val="0"/>
          <w:numId w:val="1"/>
        </w:numPr>
      </w:pPr>
      <w:r>
        <w:rPr>
          <w:rFonts w:ascii="Calibri" w:hAnsi="Calibri"/>
          <w:color w:val="1A1A1A"/>
          <w:sz w:val="22"/>
        </w:rPr>
        <w:t>BR-CUST-03: Deleting a customer record shall deactivate rather than permanently remove the record to preserve referential integrity.</w:t>
      </w:r>
    </w:p>
    <w:p>
      <w:pPr>
        <w:pStyle w:val="ListBullet"/>
        <w:spacing w:before="20" w:after="60"/>
        <w:ind w:left="432"/>
        <w:numPr>
          <w:ilvl w:val="0"/>
          <w:numId w:val="1"/>
        </w:numPr>
      </w:pPr>
      <w:r>
        <w:rPr>
          <w:rFonts w:ascii="Calibri" w:hAnsi="Calibri"/>
          <w:color w:val="1A1A1A"/>
          <w:sz w:val="22"/>
        </w:rPr>
        <w:t>BR-CUST-04: The system shall associate all bookings, test drives, and exchange requests with the corresponding customer record.</w:t>
      </w:r>
    </w:p>
    <w:p>
      <w:pPr>
        <w:pStyle w:val="ListBullet"/>
        <w:spacing w:before="20" w:after="60"/>
        <w:ind w:left="432"/>
        <w:numPr>
          <w:ilvl w:val="0"/>
          <w:numId w:val="1"/>
        </w:numPr>
      </w:pPr>
      <w:r>
        <w:rPr>
          <w:rFonts w:ascii="Calibri" w:hAnsi="Calibri"/>
          <w:color w:val="1A1A1A"/>
          <w:sz w:val="22"/>
        </w:rPr>
        <w:t>BR-CUST-05: Customer loyalty points shall be tracked and accessible for reference in future sales interactions.</w:t>
      </w:r>
    </w:p>
    <w:p>
      <w:pPr>
        <w:pStyle w:val="Heading3"/>
        <w:spacing w:before="160" w:after="60"/>
      </w:pPr>
      <w:r>
        <w:t>BR-INV — Inventory Management</w:t>
      </w:r>
    </w:p>
    <w:p>
      <w:pPr>
        <w:pStyle w:val="ListBullet"/>
        <w:spacing w:before="20" w:after="60"/>
        <w:ind w:left="432"/>
        <w:numPr>
          <w:ilvl w:val="0"/>
          <w:numId w:val="1"/>
        </w:numPr>
      </w:pPr>
      <w:r>
        <w:rPr>
          <w:rFonts w:ascii="Calibri" w:hAnsi="Calibri"/>
          <w:color w:val="1A1A1A"/>
          <w:sz w:val="22"/>
        </w:rPr>
        <w:t>BR-INV-01: Every vehicle in the system shall be uniquely identified by its VIN, chassis number, and engine number.</w:t>
      </w:r>
    </w:p>
    <w:p>
      <w:pPr>
        <w:pStyle w:val="ListBullet"/>
        <w:spacing w:before="20" w:after="60"/>
        <w:ind w:left="432"/>
        <w:numPr>
          <w:ilvl w:val="0"/>
          <w:numId w:val="1"/>
        </w:numPr>
      </w:pPr>
      <w:r>
        <w:rPr>
          <w:rFonts w:ascii="Calibri" w:hAnsi="Calibri"/>
          <w:color w:val="1A1A1A"/>
          <w:sz w:val="22"/>
        </w:rPr>
        <w:t>BR-INV-02: The system shall enforce a defined vehicle status workflow; statuses shall only progress in the prescribed sequence.</w:t>
      </w:r>
    </w:p>
    <w:p>
      <w:pPr>
        <w:pStyle w:val="ListBullet"/>
        <w:spacing w:before="20" w:after="60"/>
        <w:ind w:left="432"/>
        <w:numPr>
          <w:ilvl w:val="0"/>
          <w:numId w:val="1"/>
        </w:numPr>
      </w:pPr>
      <w:r>
        <w:rPr>
          <w:rFonts w:ascii="Calibri" w:hAnsi="Calibri"/>
          <w:color w:val="1A1A1A"/>
          <w:sz w:val="22"/>
        </w:rPr>
        <w:t>BR-INV-03: Each vehicle's physical location within the stockyard shall be trackable by slot assignment.</w:t>
      </w:r>
    </w:p>
    <w:p>
      <w:pPr>
        <w:pStyle w:val="ListBullet"/>
        <w:spacing w:before="20" w:after="60"/>
        <w:ind w:left="432"/>
        <w:numPr>
          <w:ilvl w:val="0"/>
          <w:numId w:val="1"/>
        </w:numPr>
      </w:pPr>
      <w:r>
        <w:rPr>
          <w:rFonts w:ascii="Calibri" w:hAnsi="Calibri"/>
          <w:color w:val="1A1A1A"/>
          <w:sz w:val="22"/>
        </w:rPr>
        <w:t>BR-INV-04: Inventory data shall support bulk import via CSV and export to Excel for offline reporting.</w:t>
      </w:r>
    </w:p>
    <w:p>
      <w:pPr>
        <w:pStyle w:val="ListBullet"/>
        <w:spacing w:before="20" w:after="60"/>
        <w:ind w:left="432"/>
        <w:numPr>
          <w:ilvl w:val="0"/>
          <w:numId w:val="1"/>
        </w:numPr>
      </w:pPr>
      <w:r>
        <w:rPr>
          <w:rFonts w:ascii="Calibri" w:hAnsi="Calibri"/>
          <w:color w:val="1A1A1A"/>
          <w:sz w:val="22"/>
        </w:rPr>
        <w:t>BR-INV-05: The system shall support advanced search and filter capabilities across all vehicle attributes.</w:t>
      </w:r>
    </w:p>
    <w:p>
      <w:pPr>
        <w:pStyle w:val="Heading3"/>
        <w:spacing w:before="160" w:after="60"/>
      </w:pPr>
      <w:r>
        <w:t>BR-BOOK — Booking Management</w:t>
      </w:r>
    </w:p>
    <w:p>
      <w:pPr>
        <w:pStyle w:val="ListBullet"/>
        <w:spacing w:before="20" w:after="60"/>
        <w:ind w:left="432"/>
        <w:numPr>
          <w:ilvl w:val="0"/>
          <w:numId w:val="1"/>
        </w:numPr>
      </w:pPr>
      <w:r>
        <w:rPr>
          <w:rFonts w:ascii="Calibri" w:hAnsi="Calibri"/>
          <w:color w:val="1A1A1A"/>
          <w:sz w:val="22"/>
        </w:rPr>
        <w:t>BR-BOOK-01: Each booking shall be assigned a unique, system-generated booking reference number.</w:t>
      </w:r>
    </w:p>
    <w:p>
      <w:pPr>
        <w:pStyle w:val="ListBullet"/>
        <w:spacing w:before="20" w:after="60"/>
        <w:ind w:left="432"/>
        <w:numPr>
          <w:ilvl w:val="0"/>
          <w:numId w:val="1"/>
        </w:numPr>
      </w:pPr>
      <w:r>
        <w:rPr>
          <w:rFonts w:ascii="Calibri" w:hAnsi="Calibri"/>
          <w:color w:val="1A1A1A"/>
          <w:sz w:val="22"/>
        </w:rPr>
        <w:t>BR-BOOK-02: A booking shall be linked to exactly one customer, one vehicle variant, one dealership, and one sales executive.</w:t>
      </w:r>
    </w:p>
    <w:p>
      <w:pPr>
        <w:pStyle w:val="ListBullet"/>
        <w:spacing w:before="20" w:after="60"/>
        <w:ind w:left="432"/>
        <w:numPr>
          <w:ilvl w:val="0"/>
          <w:numId w:val="1"/>
        </w:numPr>
      </w:pPr>
      <w:r>
        <w:rPr>
          <w:rFonts w:ascii="Calibri" w:hAnsi="Calibri"/>
          <w:color w:val="1A1A1A"/>
          <w:sz w:val="22"/>
        </w:rPr>
        <w:t>BR-BOOK-03: The booking workflow shall support statuses: Pending, Confirmed, Delivered, and Cancelled.</w:t>
      </w:r>
    </w:p>
    <w:p>
      <w:pPr>
        <w:pStyle w:val="ListBullet"/>
        <w:spacing w:before="20" w:after="60"/>
        <w:ind w:left="432"/>
        <w:numPr>
          <w:ilvl w:val="0"/>
          <w:numId w:val="1"/>
        </w:numPr>
      </w:pPr>
      <w:r>
        <w:rPr>
          <w:rFonts w:ascii="Calibri" w:hAnsi="Calibri"/>
          <w:color w:val="1A1A1A"/>
          <w:sz w:val="22"/>
        </w:rPr>
        <w:t>BR-BOOK-04: Cancellations shall require a documented reason and shall trigger the appropriate refund status workflow.</w:t>
      </w:r>
    </w:p>
    <w:p>
      <w:pPr>
        <w:pStyle w:val="ListBullet"/>
        <w:spacing w:before="20" w:after="60"/>
        <w:ind w:left="432"/>
        <w:numPr>
          <w:ilvl w:val="0"/>
          <w:numId w:val="1"/>
        </w:numPr>
      </w:pPr>
      <w:r>
        <w:rPr>
          <w:rFonts w:ascii="Calibri" w:hAnsi="Calibri"/>
          <w:color w:val="1A1A1A"/>
          <w:sz w:val="22"/>
        </w:rPr>
        <w:t>BR-BOOK-05: The system shall generate a printable booking receipt upon request.</w:t>
      </w:r>
    </w:p>
    <w:p>
      <w:pPr>
        <w:pStyle w:val="Heading3"/>
        <w:spacing w:before="160" w:after="60"/>
      </w:pPr>
      <w:r>
        <w:t>BR-TD — Test Drive Management</w:t>
      </w:r>
    </w:p>
    <w:p>
      <w:pPr>
        <w:pStyle w:val="ListBullet"/>
        <w:spacing w:before="20" w:after="60"/>
        <w:ind w:left="432"/>
        <w:numPr>
          <w:ilvl w:val="0"/>
          <w:numId w:val="1"/>
        </w:numPr>
      </w:pPr>
      <w:r>
        <w:rPr>
          <w:rFonts w:ascii="Calibri" w:hAnsi="Calibri"/>
          <w:color w:val="1A1A1A"/>
          <w:sz w:val="22"/>
        </w:rPr>
        <w:t>BR-TD-01: Test drives shall be scheduled by linking a customer, a vehicle, and a sales executive with a date and time.</w:t>
      </w:r>
    </w:p>
    <w:p>
      <w:pPr>
        <w:pStyle w:val="ListBullet"/>
        <w:spacing w:before="20" w:after="60"/>
        <w:ind w:left="432"/>
        <w:numPr>
          <w:ilvl w:val="0"/>
          <w:numId w:val="1"/>
        </w:numPr>
      </w:pPr>
      <w:r>
        <w:rPr>
          <w:rFonts w:ascii="Calibri" w:hAnsi="Calibri"/>
          <w:color w:val="1A1A1A"/>
          <w:sz w:val="22"/>
        </w:rPr>
        <w:t>BR-TD-02: Outcome statuses (Scheduled, Completed, Cancelled, No Show) shall be updateable by authorised staff.</w:t>
      </w:r>
    </w:p>
    <w:p>
      <w:pPr>
        <w:pStyle w:val="ListBullet"/>
        <w:spacing w:before="20" w:after="60"/>
        <w:ind w:left="432"/>
        <w:numPr>
          <w:ilvl w:val="0"/>
          <w:numId w:val="1"/>
        </w:numPr>
      </w:pPr>
      <w:r>
        <w:rPr>
          <w:rFonts w:ascii="Calibri" w:hAnsi="Calibri"/>
          <w:color w:val="1A1A1A"/>
          <w:sz w:val="22"/>
        </w:rPr>
        <w:t>BR-TD-03: Customer feedback shall be collectible following each completed test drive.</w:t>
      </w:r>
    </w:p>
    <w:p>
      <w:pPr>
        <w:pStyle w:val="ListBullet"/>
        <w:spacing w:before="20" w:after="60"/>
        <w:ind w:left="432"/>
        <w:numPr>
          <w:ilvl w:val="0"/>
          <w:numId w:val="1"/>
        </w:numPr>
      </w:pPr>
      <w:r>
        <w:rPr>
          <w:rFonts w:ascii="Calibri" w:hAnsi="Calibri"/>
          <w:color w:val="1A1A1A"/>
          <w:sz w:val="22"/>
        </w:rPr>
        <w:t>BR-TD-04: A calendar view shall provide at-a-glance visibility of all scheduled test drives.</w:t>
      </w:r>
    </w:p>
    <w:p>
      <w:pPr>
        <w:pStyle w:val="Heading3"/>
        <w:spacing w:before="160" w:after="60"/>
      </w:pPr>
      <w:r>
        <w:t>BR-EX — Exchange Management</w:t>
      </w:r>
    </w:p>
    <w:p>
      <w:pPr>
        <w:pStyle w:val="ListBullet"/>
        <w:spacing w:before="20" w:after="60"/>
        <w:ind w:left="432"/>
        <w:numPr>
          <w:ilvl w:val="0"/>
          <w:numId w:val="1"/>
        </w:numPr>
      </w:pPr>
      <w:r>
        <w:rPr>
          <w:rFonts w:ascii="Calibri" w:hAnsi="Calibri"/>
          <w:color w:val="1A1A1A"/>
          <w:sz w:val="22"/>
        </w:rPr>
        <w:t>BR-EX-01: The system shall capture all attributes of an old vehicle submitted for exchange, including registration, mileage, and condition.</w:t>
      </w:r>
    </w:p>
    <w:p>
      <w:pPr>
        <w:pStyle w:val="ListBullet"/>
        <w:spacing w:before="20" w:after="60"/>
        <w:ind w:left="432"/>
        <w:numPr>
          <w:ilvl w:val="0"/>
          <w:numId w:val="1"/>
        </w:numPr>
      </w:pPr>
      <w:r>
        <w:rPr>
          <w:rFonts w:ascii="Calibri" w:hAnsi="Calibri"/>
          <w:color w:val="1A1A1A"/>
          <w:sz w:val="22"/>
        </w:rPr>
        <w:t>BR-EX-02: An authorised evaluator shall record a valuation amount and an offered exchange value.</w:t>
      </w:r>
    </w:p>
    <w:p>
      <w:pPr>
        <w:pStyle w:val="ListBullet"/>
        <w:spacing w:before="20" w:after="60"/>
        <w:ind w:left="432"/>
        <w:numPr>
          <w:ilvl w:val="0"/>
          <w:numId w:val="1"/>
        </w:numPr>
      </w:pPr>
      <w:r>
        <w:rPr>
          <w:rFonts w:ascii="Calibri" w:hAnsi="Calibri"/>
          <w:color w:val="1A1A1A"/>
          <w:sz w:val="22"/>
        </w:rPr>
        <w:t>BR-EX-03: The exchange status shall follow a controlled workflow: Pending → Approved / Rejected → Completed.</w:t>
      </w:r>
    </w:p>
    <w:p>
      <w:pPr>
        <w:pStyle w:val="ListBullet"/>
        <w:spacing w:before="20" w:after="60"/>
        <w:ind w:left="432"/>
        <w:numPr>
          <w:ilvl w:val="0"/>
          <w:numId w:val="1"/>
        </w:numPr>
      </w:pPr>
      <w:r>
        <w:rPr>
          <w:rFonts w:ascii="Calibri" w:hAnsi="Calibri"/>
          <w:color w:val="1A1A1A"/>
          <w:sz w:val="22"/>
        </w:rPr>
        <w:t>BR-EX-04: Approved exchange values shall be deducted from the total payable in the linked sales transaction.</w:t>
      </w:r>
    </w:p>
    <w:p>
      <w:pPr>
        <w:pStyle w:val="Heading3"/>
        <w:spacing w:before="160" w:after="60"/>
      </w:pPr>
      <w:r>
        <w:t>BR-ACC — Accessories Management</w:t>
      </w:r>
    </w:p>
    <w:p>
      <w:pPr>
        <w:pStyle w:val="ListBullet"/>
        <w:spacing w:before="20" w:after="60"/>
        <w:ind w:left="432"/>
        <w:numPr>
          <w:ilvl w:val="0"/>
          <w:numId w:val="1"/>
        </w:numPr>
      </w:pPr>
      <w:r>
        <w:rPr>
          <w:rFonts w:ascii="Calibri" w:hAnsi="Calibri"/>
          <w:color w:val="1A1A1A"/>
          <w:sz w:val="22"/>
        </w:rPr>
        <w:t>BR-ACC-01: The system shall maintain an active accessories catalogue with name, code, category, price, and availability.</w:t>
      </w:r>
    </w:p>
    <w:p>
      <w:pPr>
        <w:pStyle w:val="ListBullet"/>
        <w:spacing w:before="20" w:after="60"/>
        <w:ind w:left="432"/>
        <w:numPr>
          <w:ilvl w:val="0"/>
          <w:numId w:val="1"/>
        </w:numPr>
      </w:pPr>
      <w:r>
        <w:rPr>
          <w:rFonts w:ascii="Calibri" w:hAnsi="Calibri"/>
          <w:color w:val="1A1A1A"/>
          <w:sz w:val="22"/>
        </w:rPr>
        <w:t>BR-ACC-02: Accessory orders shall be linked to specific customer bookings and tracked to fulfilment.</w:t>
      </w:r>
    </w:p>
    <w:p>
      <w:pPr>
        <w:pStyle w:val="ListBullet"/>
        <w:spacing w:before="20" w:after="60"/>
        <w:ind w:left="432"/>
        <w:numPr>
          <w:ilvl w:val="0"/>
          <w:numId w:val="1"/>
        </w:numPr>
      </w:pPr>
      <w:r>
        <w:rPr>
          <w:rFonts w:ascii="Calibri" w:hAnsi="Calibri"/>
          <w:color w:val="1A1A1A"/>
          <w:sz w:val="22"/>
        </w:rPr>
        <w:t>BR-ACC-03: Deactivated accessories shall not be available for new orders but shall remain visible in historical records.</w:t>
      </w:r>
    </w:p>
    <w:p>
      <w:pPr>
        <w:pStyle w:val="Heading3"/>
        <w:spacing w:before="160" w:after="60"/>
      </w:pPr>
      <w:r>
        <w:t>BR-REP — Reports &amp; Audit Logs</w:t>
      </w:r>
    </w:p>
    <w:p>
      <w:pPr>
        <w:pStyle w:val="ListBullet"/>
        <w:spacing w:before="20" w:after="60"/>
        <w:ind w:left="432"/>
        <w:numPr>
          <w:ilvl w:val="0"/>
          <w:numId w:val="1"/>
        </w:numPr>
      </w:pPr>
      <w:r>
        <w:rPr>
          <w:rFonts w:ascii="Calibri" w:hAnsi="Calibri"/>
          <w:color w:val="1A1A1A"/>
          <w:sz w:val="22"/>
        </w:rPr>
        <w:t>BR-REP-01: The system shall generate sales summary, inventory status, dispatch, and booking analysis reports.</w:t>
      </w:r>
    </w:p>
    <w:p>
      <w:pPr>
        <w:pStyle w:val="ListBullet"/>
        <w:spacing w:before="20" w:after="60"/>
        <w:ind w:left="432"/>
        <w:numPr>
          <w:ilvl w:val="0"/>
          <w:numId w:val="1"/>
        </w:numPr>
      </w:pPr>
      <w:r>
        <w:rPr>
          <w:rFonts w:ascii="Calibri" w:hAnsi="Calibri"/>
          <w:color w:val="1A1A1A"/>
          <w:sz w:val="22"/>
        </w:rPr>
        <w:t>BR-REP-02: All reports shall support date-range filtering and export to PDF and Excel formats.</w:t>
      </w:r>
    </w:p>
    <w:p>
      <w:pPr>
        <w:pStyle w:val="ListBullet"/>
        <w:spacing w:before="20" w:after="60"/>
        <w:ind w:left="432"/>
        <w:numPr>
          <w:ilvl w:val="0"/>
          <w:numId w:val="1"/>
        </w:numPr>
      </w:pPr>
      <w:r>
        <w:rPr>
          <w:rFonts w:ascii="Calibri" w:hAnsi="Calibri"/>
          <w:color w:val="1A1A1A"/>
          <w:sz w:val="22"/>
        </w:rPr>
        <w:t>BR-REP-03: An immutable audit log shall capture every significant system action with actor identity, action description, and timestamp.</w:t>
      </w:r>
    </w:p>
    <w:p>
      <w:pPr>
        <w:pStyle w:val="ListBullet"/>
        <w:spacing w:before="20" w:after="60"/>
        <w:ind w:left="432"/>
        <w:numPr>
          <w:ilvl w:val="0"/>
          <w:numId w:val="1"/>
        </w:numPr>
      </w:pPr>
      <w:r>
        <w:rPr>
          <w:rFonts w:ascii="Calibri" w:hAnsi="Calibri"/>
          <w:color w:val="1A1A1A"/>
          <w:sz w:val="22"/>
        </w:rPr>
        <w:t>BR-REP-04: Audit logs shall be accessible exclusively to the Super Admin role.</w:t>
      </w:r>
    </w:p>
    <w:p>
      <w:pPr>
        <w:pStyle w:val="Heading3"/>
        <w:spacing w:before="160" w:after="60"/>
      </w:pPr>
      <w:r>
        <w:t>BR-ADMIN — Administration &amp; Settings</w:t>
      </w:r>
    </w:p>
    <w:p>
      <w:pPr>
        <w:pStyle w:val="ListBullet"/>
        <w:spacing w:before="20" w:after="60"/>
        <w:ind w:left="432"/>
        <w:numPr>
          <w:ilvl w:val="0"/>
          <w:numId w:val="1"/>
        </w:numPr>
      </w:pPr>
      <w:r>
        <w:rPr>
          <w:rFonts w:ascii="Calibri" w:hAnsi="Calibri"/>
          <w:color w:val="1A1A1A"/>
          <w:sz w:val="22"/>
        </w:rPr>
        <w:t>BR-ADMIN-01: The Super Admin shall be able to register new dealerships and manage their profiles.</w:t>
      </w:r>
    </w:p>
    <w:p>
      <w:pPr>
        <w:pStyle w:val="ListBullet"/>
        <w:spacing w:before="20" w:after="60"/>
        <w:ind w:left="432"/>
        <w:numPr>
          <w:ilvl w:val="0"/>
          <w:numId w:val="1"/>
        </w:numPr>
      </w:pPr>
      <w:r>
        <w:rPr>
          <w:rFonts w:ascii="Calibri" w:hAnsi="Calibri"/>
          <w:color w:val="1A1A1A"/>
          <w:sz w:val="22"/>
        </w:rPr>
        <w:t>BR-ADMIN-02: User account creation, role assignment, and deactivation shall be managed exclusively by the Super Admin.</w:t>
      </w:r>
    </w:p>
    <w:p>
      <w:pPr>
        <w:pStyle w:val="ListBullet"/>
        <w:spacing w:before="20" w:after="60"/>
        <w:ind w:left="432"/>
        <w:numPr>
          <w:ilvl w:val="0"/>
          <w:numId w:val="1"/>
        </w:numPr>
      </w:pPr>
      <w:r>
        <w:rPr>
          <w:rFonts w:ascii="Calibri" w:hAnsi="Calibri"/>
          <w:color w:val="1A1A1A"/>
          <w:sz w:val="22"/>
        </w:rPr>
        <w:t>BR-ADMIN-03: Vehicle model and variant master catalogues shall be maintainable by authorised administrators.</w:t>
      </w:r>
    </w:p>
    <w:p>
      <w:r>
        <w:br w:type="page"/>
      </w:r>
    </w:p>
    <w:p>
      <w:pPr>
        <w:pStyle w:val="Heading1"/>
        <w:spacing w:before="280" w:after="120"/>
      </w:pPr>
      <w:r>
        <w:t>6. Functional Module Overview</w:t>
      </w:r>
    </w:p>
    <w:p>
      <w:pPr>
        <w:spacing w:before="40" w:after="100" w:line="280" w:lineRule="exact"/>
      </w:pPr>
      <w:r>
        <w:t>This section provides a structured description of each functional module within the DMS, outlining the module's purpose, actors, key workflows, and data entities involved.</w:t>
      </w:r>
    </w:p>
    <w:p>
      <w:pPr>
        <w:pStyle w:val="Heading2"/>
        <w:spacing w:before="200" w:after="80"/>
      </w:pPr>
      <w:r>
        <w:t>6.1  Authentication &amp; Authorisation Module</w:t>
      </w:r>
    </w:p>
    <w:p>
      <w:pPr>
        <w:spacing w:before="40" w:after="100" w:line="280" w:lineRule="exact"/>
      </w:pPr>
      <w:r>
        <w:t>The Authentication module controls all system entry points and enforces access boundaries throughout the application.</w:t>
      </w:r>
    </w:p>
    <w:p>
      <w:pPr>
        <w:pStyle w:val="Heading3"/>
        <w:spacing w:before="160" w:after="60"/>
      </w:pPr>
      <w:r>
        <w:t>Purpose</w:t>
      </w:r>
    </w:p>
    <w:p>
      <w:pPr>
        <w:spacing w:before="40" w:after="100" w:line="280" w:lineRule="exact"/>
      </w:pPr>
      <w:r>
        <w:t>To securely authenticate users and authorise access to system resources based on predefined roles, ensuring that no user can access functionality beyond their designated permission set.</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Role-based login: Users must specify their expected role at login; the system validates the credential-role combination before issuing a token.</w:t>
      </w:r>
    </w:p>
    <w:p>
      <w:pPr>
        <w:pStyle w:val="ListBullet"/>
        <w:spacing w:before="20" w:after="60"/>
        <w:ind w:left="432"/>
        <w:numPr>
          <w:ilvl w:val="0"/>
          <w:numId w:val="1"/>
        </w:numPr>
      </w:pPr>
      <w:r>
        <w:rPr>
          <w:rFonts w:ascii="Calibri" w:hAnsi="Calibri"/>
          <w:color w:val="1A1A1A"/>
          <w:sz w:val="22"/>
        </w:rPr>
        <w:t>JWT issuance: Upon successful authentication, the backend issues a signed JSON Web Token (JWT) containing the user identity and role claims.</w:t>
      </w:r>
    </w:p>
    <w:p>
      <w:pPr>
        <w:pStyle w:val="ListBullet"/>
        <w:spacing w:before="20" w:after="60"/>
        <w:ind w:left="432"/>
        <w:numPr>
          <w:ilvl w:val="0"/>
          <w:numId w:val="1"/>
        </w:numPr>
      </w:pPr>
      <w:r>
        <w:rPr>
          <w:rFonts w:ascii="Calibri" w:hAnsi="Calibri"/>
          <w:color w:val="1A1A1A"/>
          <w:sz w:val="22"/>
        </w:rPr>
        <w:t>Token validation: Every API request must carry a valid Bearer token in the HTTP Authorization header; expired or tampered tokens are rejected.</w:t>
      </w:r>
    </w:p>
    <w:p>
      <w:pPr>
        <w:pStyle w:val="ListBullet"/>
        <w:spacing w:before="20" w:after="60"/>
        <w:ind w:left="432"/>
        <w:numPr>
          <w:ilvl w:val="0"/>
          <w:numId w:val="1"/>
        </w:numPr>
      </w:pPr>
      <w:r>
        <w:rPr>
          <w:rFonts w:ascii="Calibri" w:hAnsi="Calibri"/>
          <w:color w:val="1A1A1A"/>
          <w:sz w:val="22"/>
        </w:rPr>
        <w:t>BCrypt password hashing: Passwords are hashed using BCrypt during registration and verified on login without reversing the hash.</w:t>
      </w:r>
    </w:p>
    <w:p>
      <w:pPr>
        <w:pStyle w:val="ListBullet"/>
        <w:spacing w:before="20" w:after="60"/>
        <w:ind w:left="432"/>
        <w:numPr>
          <w:ilvl w:val="0"/>
          <w:numId w:val="1"/>
        </w:numPr>
      </w:pPr>
      <w:r>
        <w:rPr>
          <w:rFonts w:ascii="Calibri" w:hAnsi="Calibri"/>
          <w:color w:val="1A1A1A"/>
          <w:sz w:val="22"/>
        </w:rPr>
        <w:t>Role enumeration: SUPER_ADMIN, DEALER_MANAGER, SALES_EXECUTIVE, SENIOR_OFFICIAL.</w:t>
      </w:r>
    </w:p>
    <w:p>
      <w:pPr>
        <w:pStyle w:val="ListBullet"/>
        <w:spacing w:before="20" w:after="60"/>
        <w:ind w:left="432"/>
        <w:numPr>
          <w:ilvl w:val="0"/>
          <w:numId w:val="1"/>
        </w:numPr>
      </w:pPr>
      <w:r>
        <w:rPr>
          <w:rFonts w:ascii="Calibri" w:hAnsi="Calibri"/>
          <w:color w:val="1A1A1A"/>
          <w:sz w:val="22"/>
        </w:rPr>
        <w:t>Unauthorised access handling: Requests from unauthenticated or under-privileged users receive defined HTTP 401/403 responses.</w:t>
      </w:r>
    </w:p>
    <w:p>
      <w:pPr>
        <w:pStyle w:val="ListBullet"/>
        <w:spacing w:before="20" w:after="60"/>
        <w:ind w:left="432"/>
        <w:numPr>
          <w:ilvl w:val="0"/>
          <w:numId w:val="1"/>
        </w:numPr>
      </w:pPr>
      <w:r>
        <w:rPr>
          <w:rFonts w:ascii="Calibri" w:hAnsi="Calibri"/>
          <w:color w:val="1A1A1A"/>
          <w:sz w:val="22"/>
        </w:rPr>
        <w:t>User registration: Administered by Super Admin for all internal roles; new users are assigned a role at account creation.</w:t>
      </w:r>
    </w:p>
    <w:p>
      <w:pPr>
        <w:pStyle w:val="Heading3"/>
        <w:spacing w:before="160" w:after="60"/>
      </w:pPr>
      <w:r>
        <w:t>Data Entities Involved</w:t>
      </w:r>
    </w:p>
    <w:p>
      <w:pPr>
        <w:spacing w:before="40" w:after="100" w:line="280" w:lineRule="exact"/>
      </w:pPr>
      <w:r>
        <w:t>User (userId, email, fullName, phone, role, passwordHash, isActive, dealership, createdAt, updatedAt).</w:t>
      </w:r>
    </w:p>
    <w:p>
      <w:pPr>
        <w:pStyle w:val="Heading2"/>
        <w:spacing w:before="200" w:after="80"/>
      </w:pPr>
      <w:r>
        <w:t>6.2  Customer Management Module</w:t>
      </w:r>
    </w:p>
    <w:p>
      <w:pPr>
        <w:spacing w:before="40" w:after="100" w:line="280" w:lineRule="exact"/>
      </w:pPr>
      <w:r>
        <w:t>The Customer Management module serves as the CRM backbone of the dealership, maintaining comprehensive records of all prospective and existing customers.</w:t>
      </w:r>
    </w:p>
    <w:p>
      <w:pPr>
        <w:pStyle w:val="Heading3"/>
        <w:spacing w:before="160" w:after="60"/>
      </w:pPr>
      <w:r>
        <w:t>Purpose</w:t>
      </w:r>
    </w:p>
    <w:p>
      <w:pPr>
        <w:spacing w:before="40" w:after="100" w:line="280" w:lineRule="exact"/>
      </w:pPr>
      <w:r>
        <w:t>To maintain a unified customer repository that supports the full sales cycle from initial enquiry to post-sale follow-up, while preserving referential integrity across bookings, test drives, and exchange requests.</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Customer profile creation with personal data: name, email, phone, alternate phone, address (city, state, pincode).</w:t>
      </w:r>
    </w:p>
    <w:p>
      <w:pPr>
        <w:pStyle w:val="ListBullet"/>
        <w:spacing w:before="20" w:after="60"/>
        <w:ind w:left="432"/>
        <w:numPr>
          <w:ilvl w:val="0"/>
          <w:numId w:val="1"/>
        </w:numPr>
      </w:pPr>
      <w:r>
        <w:rPr>
          <w:rFonts w:ascii="Calibri" w:hAnsi="Calibri"/>
          <w:color w:val="1A1A1A"/>
          <w:sz w:val="22"/>
        </w:rPr>
        <w:t>KYC document storage: PAN number, Aadhaar number, Driving Licence.</w:t>
      </w:r>
    </w:p>
    <w:p>
      <w:pPr>
        <w:pStyle w:val="ListBullet"/>
        <w:spacing w:before="20" w:after="60"/>
        <w:ind w:left="432"/>
        <w:numPr>
          <w:ilvl w:val="0"/>
          <w:numId w:val="1"/>
        </w:numPr>
      </w:pPr>
      <w:r>
        <w:rPr>
          <w:rFonts w:ascii="Calibri" w:hAnsi="Calibri"/>
          <w:color w:val="1A1A1A"/>
          <w:sz w:val="22"/>
        </w:rPr>
        <w:t>Date fields: Date of Birth and Anniversary Date for personalised engagement.</w:t>
      </w:r>
    </w:p>
    <w:p>
      <w:pPr>
        <w:pStyle w:val="ListBullet"/>
        <w:spacing w:before="20" w:after="60"/>
        <w:ind w:left="432"/>
        <w:numPr>
          <w:ilvl w:val="0"/>
          <w:numId w:val="1"/>
        </w:numPr>
      </w:pPr>
      <w:r>
        <w:rPr>
          <w:rFonts w:ascii="Calibri" w:hAnsi="Calibri"/>
          <w:color w:val="1A1A1A"/>
          <w:sz w:val="22"/>
        </w:rPr>
        <w:t>Customer segmentation: INDIVIDUAL or CORPORATE type classification.</w:t>
      </w:r>
    </w:p>
    <w:p>
      <w:pPr>
        <w:pStyle w:val="ListBullet"/>
        <w:spacing w:before="20" w:after="60"/>
        <w:ind w:left="432"/>
        <w:numPr>
          <w:ilvl w:val="0"/>
          <w:numId w:val="1"/>
        </w:numPr>
      </w:pPr>
      <w:r>
        <w:rPr>
          <w:rFonts w:ascii="Calibri" w:hAnsi="Calibri"/>
          <w:color w:val="1A1A1A"/>
          <w:sz w:val="22"/>
        </w:rPr>
        <w:t>Loyalty points management: accrual and reference for repeat customers.</w:t>
      </w:r>
    </w:p>
    <w:p>
      <w:pPr>
        <w:pStyle w:val="ListBullet"/>
        <w:spacing w:before="20" w:after="60"/>
        <w:ind w:left="432"/>
        <w:numPr>
          <w:ilvl w:val="0"/>
          <w:numId w:val="1"/>
        </w:numPr>
      </w:pPr>
      <w:r>
        <w:rPr>
          <w:rFonts w:ascii="Calibri" w:hAnsi="Calibri"/>
          <w:color w:val="1A1A1A"/>
          <w:sz w:val="22"/>
        </w:rPr>
        <w:t>Referral source tracking: 'Referred By' field for marketing attribution.</w:t>
      </w:r>
    </w:p>
    <w:p>
      <w:pPr>
        <w:pStyle w:val="ListBullet"/>
        <w:spacing w:before="20" w:after="60"/>
        <w:ind w:left="432"/>
        <w:numPr>
          <w:ilvl w:val="0"/>
          <w:numId w:val="1"/>
        </w:numPr>
      </w:pPr>
      <w:r>
        <w:rPr>
          <w:rFonts w:ascii="Calibri" w:hAnsi="Calibri"/>
          <w:color w:val="1A1A1A"/>
          <w:sz w:val="22"/>
        </w:rPr>
        <w:t>Soft delete: Customers are deactivated (isActive = false) rather than hard-deleted, preserving all linked records.</w:t>
      </w:r>
    </w:p>
    <w:p>
      <w:pPr>
        <w:pStyle w:val="ListBullet"/>
        <w:spacing w:before="20" w:after="60"/>
        <w:ind w:left="432"/>
        <w:numPr>
          <w:ilvl w:val="0"/>
          <w:numId w:val="1"/>
        </w:numPr>
      </w:pPr>
      <w:r>
        <w:rPr>
          <w:rFonts w:ascii="Calibri" w:hAnsi="Calibri"/>
          <w:color w:val="1A1A1A"/>
          <w:sz w:val="22"/>
        </w:rPr>
        <w:t>Bulk import: CSV template-based upload for onboarding multiple customers at once.</w:t>
      </w:r>
    </w:p>
    <w:p>
      <w:pPr>
        <w:pStyle w:val="ListBullet"/>
        <w:spacing w:before="20" w:after="60"/>
        <w:ind w:left="432"/>
        <w:numPr>
          <w:ilvl w:val="0"/>
          <w:numId w:val="1"/>
        </w:numPr>
      </w:pPr>
      <w:r>
        <w:rPr>
          <w:rFonts w:ascii="Calibri" w:hAnsi="Calibri"/>
          <w:color w:val="1A1A1A"/>
          <w:sz w:val="22"/>
        </w:rPr>
        <w:t>Customer-level 360° view: All associated bookings, test drives, and exchange requests accessible from the customer profile.</w:t>
      </w:r>
    </w:p>
    <w:p>
      <w:pPr>
        <w:pStyle w:val="Heading3"/>
        <w:spacing w:before="160" w:after="60"/>
      </w:pPr>
      <w:r>
        <w:t>Data Entities Involved</w:t>
      </w:r>
    </w:p>
    <w:p>
      <w:pPr>
        <w:spacing w:before="40" w:after="100" w:line="280" w:lineRule="exact"/>
      </w:pPr>
      <w:r>
        <w:t>Customer (customerId, firstName, lastName, email, phone, alternatePhone, address, city, state, pincode, dateOfBirth, anniversaryDate, panNumber, aadharNumber, drivingLicense, customerType, loyaltyPoints, referredBy, notes, isActive, createdAt, updatedAt, createdBy).</w:t>
      </w:r>
    </w:p>
    <w:p>
      <w:pPr>
        <w:pStyle w:val="Heading2"/>
        <w:spacing w:before="200" w:after="80"/>
      </w:pPr>
      <w:r>
        <w:t>6.3  Booking Management Module</w:t>
      </w:r>
    </w:p>
    <w:p>
      <w:pPr>
        <w:spacing w:before="40" w:after="100" w:line="280" w:lineRule="exact"/>
      </w:pPr>
      <w:r>
        <w:t>The Booking Management module governs the entire vehicle reservation and delivery cycle, forming the commercial core of the dealership's operations.</w:t>
      </w:r>
    </w:p>
    <w:p>
      <w:pPr>
        <w:pStyle w:val="Heading3"/>
        <w:spacing w:before="160" w:after="60"/>
      </w:pPr>
      <w:r>
        <w:t>Purpose</w:t>
      </w:r>
    </w:p>
    <w:p>
      <w:pPr>
        <w:spacing w:before="40" w:after="100" w:line="280" w:lineRule="exact"/>
      </w:pPr>
      <w:r>
        <w:t>To provide a structured, traceable mechanism for recording vehicle bookings, tracking their progression from placement to delivery, and managing cancellations with appropriate financial workflows.</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Booking creation: Linked to a specific customer, vehicle variant, dealership, and sales executive.</w:t>
      </w:r>
    </w:p>
    <w:p>
      <w:pPr>
        <w:pStyle w:val="ListBullet"/>
        <w:spacing w:before="20" w:after="60"/>
        <w:ind w:left="432"/>
        <w:numPr>
          <w:ilvl w:val="0"/>
          <w:numId w:val="1"/>
        </w:numPr>
      </w:pPr>
      <w:r>
        <w:rPr>
          <w:rFonts w:ascii="Calibri" w:hAnsi="Calibri"/>
          <w:color w:val="1A1A1A"/>
          <w:sz w:val="22"/>
        </w:rPr>
        <w:t>Unique booking reference: Auto-generated booking number assigned at creation.</w:t>
      </w:r>
    </w:p>
    <w:p>
      <w:pPr>
        <w:pStyle w:val="ListBullet"/>
        <w:spacing w:before="20" w:after="60"/>
        <w:ind w:left="432"/>
        <w:numPr>
          <w:ilvl w:val="0"/>
          <w:numId w:val="1"/>
        </w:numPr>
      </w:pPr>
      <w:r>
        <w:rPr>
          <w:rFonts w:ascii="Calibri" w:hAnsi="Calibri"/>
          <w:color w:val="1A1A1A"/>
          <w:sz w:val="22"/>
        </w:rPr>
        <w:t>Financial data: Booking amount, total amount, and payment mode (Cash, Cheque, Bank Transfer, Finance).</w:t>
      </w:r>
    </w:p>
    <w:p>
      <w:pPr>
        <w:pStyle w:val="ListBullet"/>
        <w:spacing w:before="20" w:after="60"/>
        <w:ind w:left="432"/>
        <w:numPr>
          <w:ilvl w:val="0"/>
          <w:numId w:val="1"/>
        </w:numPr>
      </w:pPr>
      <w:r>
        <w:rPr>
          <w:rFonts w:ascii="Calibri" w:hAnsi="Calibri"/>
          <w:color w:val="1A1A1A"/>
          <w:sz w:val="22"/>
        </w:rPr>
        <w:t>Status lifecycle: PENDING → CONFIRMED → DELIVERED / CANCELLED.</w:t>
      </w:r>
    </w:p>
    <w:p>
      <w:pPr>
        <w:pStyle w:val="ListBullet"/>
        <w:spacing w:before="20" w:after="60"/>
        <w:ind w:left="432"/>
        <w:numPr>
          <w:ilvl w:val="0"/>
          <w:numId w:val="1"/>
        </w:numPr>
      </w:pPr>
      <w:r>
        <w:rPr>
          <w:rFonts w:ascii="Calibri" w:hAnsi="Calibri"/>
          <w:color w:val="1A1A1A"/>
          <w:sz w:val="22"/>
        </w:rPr>
        <w:t>Expected delivery date: Planned delivery target date recorded at booking.</w:t>
      </w:r>
    </w:p>
    <w:p>
      <w:pPr>
        <w:pStyle w:val="ListBullet"/>
        <w:spacing w:before="20" w:after="60"/>
        <w:ind w:left="432"/>
        <w:numPr>
          <w:ilvl w:val="0"/>
          <w:numId w:val="1"/>
        </w:numPr>
      </w:pPr>
      <w:r>
        <w:rPr>
          <w:rFonts w:ascii="Calibri" w:hAnsi="Calibri"/>
          <w:color w:val="1A1A1A"/>
          <w:sz w:val="22"/>
        </w:rPr>
        <w:t>Cancellation management: Reason recording, refund status (PENDING, PROCESSED, WAIVED), linked via BookingCancellation entity.</w:t>
      </w:r>
    </w:p>
    <w:p>
      <w:pPr>
        <w:pStyle w:val="ListBullet"/>
        <w:spacing w:before="20" w:after="60"/>
        <w:ind w:left="432"/>
        <w:numPr>
          <w:ilvl w:val="0"/>
          <w:numId w:val="1"/>
        </w:numPr>
      </w:pPr>
      <w:r>
        <w:rPr>
          <w:rFonts w:ascii="Calibri" w:hAnsi="Calibri"/>
          <w:color w:val="1A1A1A"/>
          <w:sz w:val="22"/>
        </w:rPr>
        <w:t>Booking receipt: Printable PDF receipt generation for customer records.</w:t>
      </w:r>
    </w:p>
    <w:p>
      <w:pPr>
        <w:pStyle w:val="ListBullet"/>
        <w:spacing w:before="20" w:after="60"/>
        <w:ind w:left="432"/>
        <w:numPr>
          <w:ilvl w:val="0"/>
          <w:numId w:val="1"/>
        </w:numPr>
      </w:pPr>
      <w:r>
        <w:rPr>
          <w:rFonts w:ascii="Calibri" w:hAnsi="Calibri"/>
          <w:color w:val="1A1A1A"/>
          <w:sz w:val="22"/>
        </w:rPr>
        <w:t>Vehicle linkage: A specific vehicle (VIN-level) is assigned upon confirmation.</w:t>
      </w:r>
    </w:p>
    <w:p>
      <w:pPr>
        <w:pStyle w:val="ListBullet"/>
        <w:spacing w:before="20" w:after="60"/>
        <w:ind w:left="432"/>
        <w:numPr>
          <w:ilvl w:val="0"/>
          <w:numId w:val="1"/>
        </w:numPr>
      </w:pPr>
      <w:r>
        <w:rPr>
          <w:rFonts w:ascii="Calibri" w:hAnsi="Calibri"/>
          <w:color w:val="1A1A1A"/>
          <w:sz w:val="22"/>
        </w:rPr>
        <w:t>Audit fields: createdBy, updatedBy, createdAt, updatedAt for full traceability.</w:t>
      </w:r>
    </w:p>
    <w:p>
      <w:pPr>
        <w:pStyle w:val="Heading3"/>
        <w:spacing w:before="160" w:after="60"/>
      </w:pPr>
      <w:r>
        <w:t>Booking Status Workflow</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002C5F"/>
          </w:tcPr>
          <w:p>
            <w:pPr>
              <w:spacing w:before="60" w:after="60"/>
              <w:jc w:val="center"/>
            </w:pPr>
            <w:r/>
            <w:r>
              <w:rPr>
                <w:rFonts w:ascii="Calibri" w:hAnsi="Calibri"/>
                <w:b/>
                <w:color w:val="FFFFFF"/>
                <w:sz w:val="21"/>
              </w:rPr>
              <w:t>Status</w:t>
            </w:r>
          </w:p>
        </w:tc>
        <w:tc>
          <w:tcPr>
            <w:tcW w:type="dxa" w:w="7344"/>
            <w:shd w:val="clear" w:color="auto" w:fill="002C5F"/>
          </w:tcPr>
          <w:p>
            <w:pPr>
              <w:spacing w:before="60" w:after="60"/>
              <w:jc w:val="center"/>
            </w:pPr>
            <w:r/>
            <w:r>
              <w:rPr>
                <w:rFonts w:ascii="Calibri" w:hAnsi="Calibri"/>
                <w:b/>
                <w:color w:val="FFFFFF"/>
                <w:sz w:val="21"/>
              </w:rPr>
              <w:t>Description</w:t>
            </w:r>
          </w:p>
        </w:tc>
      </w:tr>
      <w:tr>
        <w:tc>
          <w:tcPr>
            <w:tcW w:type="dxa" w:w="2160"/>
            <w:shd w:val="clear" w:color="auto" w:fill="F9FBFF"/>
          </w:tcPr>
          <w:p>
            <w:pPr>
              <w:spacing w:before="40" w:after="40"/>
            </w:pPr>
            <w:r/>
            <w:r>
              <w:rPr>
                <w:rFonts w:ascii="Calibri" w:hAnsi="Calibri"/>
                <w:sz w:val="21"/>
              </w:rPr>
              <w:t>PENDING</w:t>
            </w:r>
          </w:p>
        </w:tc>
        <w:tc>
          <w:tcPr>
            <w:tcW w:type="dxa" w:w="7344"/>
            <w:shd w:val="clear" w:color="auto" w:fill="F9FBFF"/>
          </w:tcPr>
          <w:p>
            <w:pPr>
              <w:spacing w:before="40" w:after="40"/>
            </w:pPr>
            <w:r/>
            <w:r>
              <w:rPr>
                <w:rFonts w:ascii="Calibri" w:hAnsi="Calibri"/>
                <w:sz w:val="21"/>
              </w:rPr>
              <w:t>Booking has been placed; awaiting dealership confirmation.</w:t>
            </w:r>
          </w:p>
        </w:tc>
      </w:tr>
      <w:tr>
        <w:tc>
          <w:tcPr>
            <w:tcW w:type="dxa" w:w="2160"/>
            <w:shd w:val="clear" w:color="auto" w:fill="FFFFFF"/>
          </w:tcPr>
          <w:p>
            <w:pPr>
              <w:spacing w:before="40" w:after="40"/>
            </w:pPr>
            <w:r/>
            <w:r>
              <w:rPr>
                <w:rFonts w:ascii="Calibri" w:hAnsi="Calibri"/>
                <w:sz w:val="21"/>
              </w:rPr>
              <w:t>CONFIRMED</w:t>
            </w:r>
          </w:p>
        </w:tc>
        <w:tc>
          <w:tcPr>
            <w:tcW w:type="dxa" w:w="7344"/>
            <w:shd w:val="clear" w:color="auto" w:fill="FFFFFF"/>
          </w:tcPr>
          <w:p>
            <w:pPr>
              <w:spacing w:before="40" w:after="40"/>
            </w:pPr>
            <w:r/>
            <w:r>
              <w:rPr>
                <w:rFonts w:ascii="Calibri" w:hAnsi="Calibri"/>
                <w:sz w:val="21"/>
              </w:rPr>
              <w:t>Booking confirmed by dealer; vehicle variant reserved.</w:t>
            </w:r>
          </w:p>
        </w:tc>
      </w:tr>
      <w:tr>
        <w:tc>
          <w:tcPr>
            <w:tcW w:type="dxa" w:w="2160"/>
            <w:shd w:val="clear" w:color="auto" w:fill="F9FBFF"/>
          </w:tcPr>
          <w:p>
            <w:pPr>
              <w:spacing w:before="40" w:after="40"/>
            </w:pPr>
            <w:r/>
            <w:r>
              <w:rPr>
                <w:rFonts w:ascii="Calibri" w:hAnsi="Calibri"/>
                <w:sz w:val="21"/>
              </w:rPr>
              <w:t>DELIVERED</w:t>
            </w:r>
          </w:p>
        </w:tc>
        <w:tc>
          <w:tcPr>
            <w:tcW w:type="dxa" w:w="7344"/>
            <w:shd w:val="clear" w:color="auto" w:fill="F9FBFF"/>
          </w:tcPr>
          <w:p>
            <w:pPr>
              <w:spacing w:before="40" w:after="40"/>
            </w:pPr>
            <w:r/>
            <w:r>
              <w:rPr>
                <w:rFonts w:ascii="Calibri" w:hAnsi="Calibri"/>
                <w:sz w:val="21"/>
              </w:rPr>
              <w:t>Vehicle dispatched and delivered to customer; triggers sales transaction creation.</w:t>
            </w:r>
          </w:p>
        </w:tc>
      </w:tr>
      <w:tr>
        <w:tc>
          <w:tcPr>
            <w:tcW w:type="dxa" w:w="2160"/>
            <w:shd w:val="clear" w:color="auto" w:fill="FFFFFF"/>
          </w:tcPr>
          <w:p>
            <w:pPr>
              <w:spacing w:before="40" w:after="40"/>
            </w:pPr>
            <w:r/>
            <w:r>
              <w:rPr>
                <w:rFonts w:ascii="Calibri" w:hAnsi="Calibri"/>
                <w:sz w:val="21"/>
              </w:rPr>
              <w:t>CANCELLED</w:t>
            </w:r>
          </w:p>
        </w:tc>
        <w:tc>
          <w:tcPr>
            <w:tcW w:type="dxa" w:w="7344"/>
            <w:shd w:val="clear" w:color="auto" w:fill="FFFFFF"/>
          </w:tcPr>
          <w:p>
            <w:pPr>
              <w:spacing w:before="40" w:after="40"/>
            </w:pPr>
            <w:r/>
            <w:r>
              <w:rPr>
                <w:rFonts w:ascii="Calibri" w:hAnsi="Calibri"/>
                <w:sz w:val="21"/>
              </w:rPr>
              <w:t>Booking cancelled by customer or dealership; refund workflow initiated.</w:t>
            </w:r>
          </w:p>
        </w:tc>
      </w:tr>
    </w:tbl>
    <w:p/>
    <w:p>
      <w:pPr>
        <w:pStyle w:val="Heading2"/>
        <w:spacing w:before="200" w:after="80"/>
      </w:pPr>
      <w:r>
        <w:t>6.4  Inventory Management Module</w:t>
      </w:r>
    </w:p>
    <w:p>
      <w:pPr>
        <w:spacing w:before="40" w:after="100" w:line="280" w:lineRule="exact"/>
      </w:pPr>
      <w:r>
        <w:t>The Inventory Management module provides complete visibility and control over every vehicle within the dealership's physical and digital inventory.</w:t>
      </w:r>
    </w:p>
    <w:p>
      <w:pPr>
        <w:pStyle w:val="Heading3"/>
        <w:spacing w:before="160" w:after="60"/>
      </w:pPr>
      <w:r>
        <w:t>Purpose</w:t>
      </w:r>
    </w:p>
    <w:p>
      <w:pPr>
        <w:spacing w:before="40" w:after="100" w:line="280" w:lineRule="exact"/>
      </w:pPr>
      <w:r>
        <w:t>To maintain an accurate, real-time record of all vehicles from the point of OEM dispatch to final sale, enabling the dealership to make informed stocking, pricing, and allocation decisions.</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Vehicle master data: VIN (17-character unique identifier), chassis number, engine number, manufacturing year and month.</w:t>
      </w:r>
    </w:p>
    <w:p>
      <w:pPr>
        <w:pStyle w:val="ListBullet"/>
        <w:spacing w:before="20" w:after="60"/>
        <w:ind w:left="432"/>
        <w:numPr>
          <w:ilvl w:val="0"/>
          <w:numId w:val="1"/>
        </w:numPr>
      </w:pPr>
      <w:r>
        <w:rPr>
          <w:rFonts w:ascii="Calibri" w:hAnsi="Calibri"/>
          <w:color w:val="1A1A1A"/>
          <w:sz w:val="22"/>
        </w:rPr>
        <w:t>Variant linkage: Each vehicle is associated with a predefined variant (model → variant → fuel type → transmission type → price).</w:t>
      </w:r>
    </w:p>
    <w:p>
      <w:pPr>
        <w:pStyle w:val="ListBullet"/>
        <w:spacing w:before="20" w:after="60"/>
        <w:ind w:left="432"/>
        <w:numPr>
          <w:ilvl w:val="0"/>
          <w:numId w:val="1"/>
        </w:numPr>
      </w:pPr>
      <w:r>
        <w:rPr>
          <w:rFonts w:ascii="Calibri" w:hAnsi="Calibri"/>
          <w:color w:val="1A1A1A"/>
          <w:sz w:val="22"/>
        </w:rPr>
        <w:t>Colour and pricing: Per-unit colour and selling price, with optional purchase price for margin calculation.</w:t>
      </w:r>
    </w:p>
    <w:p>
      <w:pPr>
        <w:pStyle w:val="ListBullet"/>
        <w:spacing w:before="20" w:after="60"/>
        <w:ind w:left="432"/>
        <w:numPr>
          <w:ilvl w:val="0"/>
          <w:numId w:val="1"/>
        </w:numPr>
      </w:pPr>
      <w:r>
        <w:rPr>
          <w:rFonts w:ascii="Calibri" w:hAnsi="Calibri"/>
          <w:color w:val="1A1A1A"/>
          <w:sz w:val="22"/>
        </w:rPr>
        <w:t>Vehicle status workflow: IN_TRANSIT → IN_STOCKYARD → IN_SHOWROOM → BOOKED → DISPATCHED → SOLD.</w:t>
      </w:r>
    </w:p>
    <w:p>
      <w:pPr>
        <w:pStyle w:val="ListBullet"/>
        <w:spacing w:before="20" w:after="60"/>
        <w:ind w:left="432"/>
        <w:numPr>
          <w:ilvl w:val="0"/>
          <w:numId w:val="1"/>
        </w:numPr>
      </w:pPr>
      <w:r>
        <w:rPr>
          <w:rFonts w:ascii="Calibri" w:hAnsi="Calibri"/>
          <w:color w:val="1A1A1A"/>
          <w:sz w:val="22"/>
        </w:rPr>
        <w:t>Stockyard management: Slot-level physical location tracking within the stockyard.</w:t>
      </w:r>
    </w:p>
    <w:p>
      <w:pPr>
        <w:pStyle w:val="ListBullet"/>
        <w:spacing w:before="20" w:after="60"/>
        <w:ind w:left="432"/>
        <w:numPr>
          <w:ilvl w:val="0"/>
          <w:numId w:val="1"/>
        </w:numPr>
      </w:pPr>
      <w:r>
        <w:rPr>
          <w:rFonts w:ascii="Calibri" w:hAnsi="Calibri"/>
          <w:color w:val="1A1A1A"/>
          <w:sz w:val="22"/>
        </w:rPr>
        <w:t>Arrival date: Date of physical arrival at the dealership for ageing analysis.</w:t>
      </w:r>
    </w:p>
    <w:p>
      <w:pPr>
        <w:pStyle w:val="ListBullet"/>
        <w:spacing w:before="20" w:after="60"/>
        <w:ind w:left="432"/>
        <w:numPr>
          <w:ilvl w:val="0"/>
          <w:numId w:val="1"/>
        </w:numPr>
      </w:pPr>
      <w:r>
        <w:rPr>
          <w:rFonts w:ascii="Calibri" w:hAnsi="Calibri"/>
          <w:color w:val="1A1A1A"/>
          <w:sz w:val="22"/>
        </w:rPr>
        <w:t>Advanced search and filtering: By model, variant, status, colour, fuel type, transmission, and date range.</w:t>
      </w:r>
    </w:p>
    <w:p>
      <w:pPr>
        <w:pStyle w:val="ListBullet"/>
        <w:spacing w:before="20" w:after="60"/>
        <w:ind w:left="432"/>
        <w:numPr>
          <w:ilvl w:val="0"/>
          <w:numId w:val="1"/>
        </w:numPr>
      </w:pPr>
      <w:r>
        <w:rPr>
          <w:rFonts w:ascii="Calibri" w:hAnsi="Calibri"/>
          <w:color w:val="1A1A1A"/>
          <w:sz w:val="22"/>
        </w:rPr>
        <w:t>Bulk CSV import and Excel export.</w:t>
      </w:r>
    </w:p>
    <w:p>
      <w:pPr>
        <w:pStyle w:val="ListBullet"/>
        <w:spacing w:before="20" w:after="60"/>
        <w:ind w:left="432"/>
        <w:numPr>
          <w:ilvl w:val="0"/>
          <w:numId w:val="1"/>
        </w:numPr>
      </w:pPr>
      <w:r>
        <w:rPr>
          <w:rFonts w:ascii="Calibri" w:hAnsi="Calibri"/>
          <w:color w:val="1A1A1A"/>
          <w:sz w:val="22"/>
        </w:rPr>
        <w:t>Vehicle Model and Variant master management by Super Admin.</w:t>
      </w:r>
    </w:p>
    <w:p>
      <w:pPr>
        <w:pStyle w:val="Heading3"/>
        <w:spacing w:before="160" w:after="60"/>
      </w:pPr>
      <w:r>
        <w:t>Vehicle Status Workflow</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002C5F"/>
          </w:tcPr>
          <w:p>
            <w:pPr>
              <w:spacing w:before="60" w:after="60"/>
              <w:jc w:val="center"/>
            </w:pPr>
            <w:r/>
            <w:r>
              <w:rPr>
                <w:rFonts w:ascii="Calibri" w:hAnsi="Calibri"/>
                <w:b/>
                <w:color w:val="FFFFFF"/>
                <w:sz w:val="21"/>
              </w:rPr>
              <w:t>Status</w:t>
            </w:r>
          </w:p>
        </w:tc>
        <w:tc>
          <w:tcPr>
            <w:tcW w:type="dxa" w:w="7344"/>
            <w:shd w:val="clear" w:color="auto" w:fill="002C5F"/>
          </w:tcPr>
          <w:p>
            <w:pPr>
              <w:spacing w:before="60" w:after="60"/>
              <w:jc w:val="center"/>
            </w:pPr>
            <w:r/>
            <w:r>
              <w:rPr>
                <w:rFonts w:ascii="Calibri" w:hAnsi="Calibri"/>
                <w:b/>
                <w:color w:val="FFFFFF"/>
                <w:sz w:val="21"/>
              </w:rPr>
              <w:t>Description</w:t>
            </w:r>
          </w:p>
        </w:tc>
      </w:tr>
      <w:tr>
        <w:tc>
          <w:tcPr>
            <w:tcW w:type="dxa" w:w="2160"/>
            <w:shd w:val="clear" w:color="auto" w:fill="F9FBFF"/>
          </w:tcPr>
          <w:p>
            <w:pPr>
              <w:spacing w:before="40" w:after="40"/>
            </w:pPr>
            <w:r/>
            <w:r>
              <w:rPr>
                <w:rFonts w:ascii="Calibri" w:hAnsi="Calibri"/>
                <w:sz w:val="21"/>
              </w:rPr>
              <w:t>IN_TRANSIT</w:t>
            </w:r>
          </w:p>
        </w:tc>
        <w:tc>
          <w:tcPr>
            <w:tcW w:type="dxa" w:w="7344"/>
            <w:shd w:val="clear" w:color="auto" w:fill="F9FBFF"/>
          </w:tcPr>
          <w:p>
            <w:pPr>
              <w:spacing w:before="40" w:after="40"/>
            </w:pPr>
            <w:r/>
            <w:r>
              <w:rPr>
                <w:rFonts w:ascii="Calibri" w:hAnsi="Calibri"/>
                <w:sz w:val="21"/>
              </w:rPr>
              <w:t>Vehicle dispatched from OEM; en route to dealership.</w:t>
            </w:r>
          </w:p>
        </w:tc>
      </w:tr>
      <w:tr>
        <w:tc>
          <w:tcPr>
            <w:tcW w:type="dxa" w:w="2160"/>
            <w:shd w:val="clear" w:color="auto" w:fill="FFFFFF"/>
          </w:tcPr>
          <w:p>
            <w:pPr>
              <w:spacing w:before="40" w:after="40"/>
            </w:pPr>
            <w:r/>
            <w:r>
              <w:rPr>
                <w:rFonts w:ascii="Calibri" w:hAnsi="Calibri"/>
                <w:sz w:val="21"/>
              </w:rPr>
              <w:t>IN_STOCKYARD</w:t>
            </w:r>
          </w:p>
        </w:tc>
        <w:tc>
          <w:tcPr>
            <w:tcW w:type="dxa" w:w="7344"/>
            <w:shd w:val="clear" w:color="auto" w:fill="FFFFFF"/>
          </w:tcPr>
          <w:p>
            <w:pPr>
              <w:spacing w:before="40" w:after="40"/>
            </w:pPr>
            <w:r/>
            <w:r>
              <w:rPr>
                <w:rFonts w:ascii="Calibri" w:hAnsi="Calibri"/>
                <w:sz w:val="21"/>
              </w:rPr>
              <w:t>Vehicle received and stored in the dealership stockyard.</w:t>
            </w:r>
          </w:p>
        </w:tc>
      </w:tr>
      <w:tr>
        <w:tc>
          <w:tcPr>
            <w:tcW w:type="dxa" w:w="2160"/>
            <w:shd w:val="clear" w:color="auto" w:fill="F9FBFF"/>
          </w:tcPr>
          <w:p>
            <w:pPr>
              <w:spacing w:before="40" w:after="40"/>
            </w:pPr>
            <w:r/>
            <w:r>
              <w:rPr>
                <w:rFonts w:ascii="Calibri" w:hAnsi="Calibri"/>
                <w:sz w:val="21"/>
              </w:rPr>
              <w:t>IN_SHOWROOM</w:t>
            </w:r>
          </w:p>
        </w:tc>
        <w:tc>
          <w:tcPr>
            <w:tcW w:type="dxa" w:w="7344"/>
            <w:shd w:val="clear" w:color="auto" w:fill="F9FBFF"/>
          </w:tcPr>
          <w:p>
            <w:pPr>
              <w:spacing w:before="40" w:after="40"/>
            </w:pPr>
            <w:r/>
            <w:r>
              <w:rPr>
                <w:rFonts w:ascii="Calibri" w:hAnsi="Calibri"/>
                <w:sz w:val="21"/>
              </w:rPr>
              <w:t>Vehicle moved to the showroom floor for customer display.</w:t>
            </w:r>
          </w:p>
        </w:tc>
      </w:tr>
      <w:tr>
        <w:tc>
          <w:tcPr>
            <w:tcW w:type="dxa" w:w="2160"/>
            <w:shd w:val="clear" w:color="auto" w:fill="FFFFFF"/>
          </w:tcPr>
          <w:p>
            <w:pPr>
              <w:spacing w:before="40" w:after="40"/>
            </w:pPr>
            <w:r/>
            <w:r>
              <w:rPr>
                <w:rFonts w:ascii="Calibri" w:hAnsi="Calibri"/>
                <w:sz w:val="21"/>
              </w:rPr>
              <w:t>BOOKED</w:t>
            </w:r>
          </w:p>
        </w:tc>
        <w:tc>
          <w:tcPr>
            <w:tcW w:type="dxa" w:w="7344"/>
            <w:shd w:val="clear" w:color="auto" w:fill="FFFFFF"/>
          </w:tcPr>
          <w:p>
            <w:pPr>
              <w:spacing w:before="40" w:after="40"/>
            </w:pPr>
            <w:r/>
            <w:r>
              <w:rPr>
                <w:rFonts w:ascii="Calibri" w:hAnsi="Calibri"/>
                <w:sz w:val="21"/>
              </w:rPr>
              <w:t>Vehicle reserved against a confirmed customer booking.</w:t>
            </w:r>
          </w:p>
        </w:tc>
      </w:tr>
      <w:tr>
        <w:tc>
          <w:tcPr>
            <w:tcW w:type="dxa" w:w="2160"/>
            <w:shd w:val="clear" w:color="auto" w:fill="F9FBFF"/>
          </w:tcPr>
          <w:p>
            <w:pPr>
              <w:spacing w:before="40" w:after="40"/>
            </w:pPr>
            <w:r/>
            <w:r>
              <w:rPr>
                <w:rFonts w:ascii="Calibri" w:hAnsi="Calibri"/>
                <w:sz w:val="21"/>
              </w:rPr>
              <w:t>DISPATCHED</w:t>
            </w:r>
          </w:p>
        </w:tc>
        <w:tc>
          <w:tcPr>
            <w:tcW w:type="dxa" w:w="7344"/>
            <w:shd w:val="clear" w:color="auto" w:fill="F9FBFF"/>
          </w:tcPr>
          <w:p>
            <w:pPr>
              <w:spacing w:before="40" w:after="40"/>
            </w:pPr>
            <w:r/>
            <w:r>
              <w:rPr>
                <w:rFonts w:ascii="Calibri" w:hAnsi="Calibri"/>
                <w:sz w:val="21"/>
              </w:rPr>
              <w:t>Vehicle prepared for delivery to customer.</w:t>
            </w:r>
          </w:p>
        </w:tc>
      </w:tr>
      <w:tr>
        <w:tc>
          <w:tcPr>
            <w:tcW w:type="dxa" w:w="2160"/>
            <w:shd w:val="clear" w:color="auto" w:fill="FFFFFF"/>
          </w:tcPr>
          <w:p>
            <w:pPr>
              <w:spacing w:before="40" w:after="40"/>
            </w:pPr>
            <w:r/>
            <w:r>
              <w:rPr>
                <w:rFonts w:ascii="Calibri" w:hAnsi="Calibri"/>
                <w:sz w:val="21"/>
              </w:rPr>
              <w:t>SOLD</w:t>
            </w:r>
          </w:p>
        </w:tc>
        <w:tc>
          <w:tcPr>
            <w:tcW w:type="dxa" w:w="7344"/>
            <w:shd w:val="clear" w:color="auto" w:fill="FFFFFF"/>
          </w:tcPr>
          <w:p>
            <w:pPr>
              <w:spacing w:before="40" w:after="40"/>
            </w:pPr>
            <w:r/>
            <w:r>
              <w:rPr>
                <w:rFonts w:ascii="Calibri" w:hAnsi="Calibri"/>
                <w:sz w:val="21"/>
              </w:rPr>
              <w:t>Vehicle fully transferred to customer; sales transaction completed.</w:t>
            </w:r>
          </w:p>
        </w:tc>
      </w:tr>
    </w:tbl>
    <w:p/>
    <w:p>
      <w:pPr>
        <w:pStyle w:val="Heading2"/>
        <w:spacing w:before="200" w:after="80"/>
      </w:pPr>
      <w:r>
        <w:t>6.5  Test Drive Management Module</w:t>
      </w:r>
    </w:p>
    <w:p>
      <w:pPr>
        <w:spacing w:before="40" w:after="100" w:line="280" w:lineRule="exact"/>
      </w:pPr>
      <w:r>
        <w:t>The Test Drive module enables dealership staff to schedule, track, and record outcomes for all customer vehicle test drives.</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Schedule test drives with customer, vehicle, sales executive, date, and time.</w:t>
      </w:r>
    </w:p>
    <w:p>
      <w:pPr>
        <w:pStyle w:val="ListBullet"/>
        <w:spacing w:before="20" w:after="60"/>
        <w:ind w:left="432"/>
        <w:numPr>
          <w:ilvl w:val="0"/>
          <w:numId w:val="1"/>
        </w:numPr>
      </w:pPr>
      <w:r>
        <w:rPr>
          <w:rFonts w:ascii="Calibri" w:hAnsi="Calibri"/>
          <w:color w:val="1A1A1A"/>
          <w:sz w:val="22"/>
        </w:rPr>
        <w:t>Test drive status tracking: SCHEDULED, COMPLETED, CANCELLED, NO_SHOW.</w:t>
      </w:r>
    </w:p>
    <w:p>
      <w:pPr>
        <w:pStyle w:val="ListBullet"/>
        <w:spacing w:before="20" w:after="60"/>
        <w:ind w:left="432"/>
        <w:numPr>
          <w:ilvl w:val="0"/>
          <w:numId w:val="1"/>
        </w:numPr>
      </w:pPr>
      <w:r>
        <w:rPr>
          <w:rFonts w:ascii="Calibri" w:hAnsi="Calibri"/>
          <w:color w:val="1A1A1A"/>
          <w:sz w:val="22"/>
        </w:rPr>
        <w:t>Calendar view for visualising the daily and weekly test drive schedule.</w:t>
      </w:r>
    </w:p>
    <w:p>
      <w:pPr>
        <w:pStyle w:val="ListBullet"/>
        <w:spacing w:before="20" w:after="60"/>
        <w:ind w:left="432"/>
        <w:numPr>
          <w:ilvl w:val="0"/>
          <w:numId w:val="1"/>
        </w:numPr>
      </w:pPr>
      <w:r>
        <w:rPr>
          <w:rFonts w:ascii="Calibri" w:hAnsi="Calibri"/>
          <w:color w:val="1A1A1A"/>
          <w:sz w:val="22"/>
        </w:rPr>
        <w:t>Feedback collection: Post-drive customer comments captured by the sales executive.</w:t>
      </w:r>
    </w:p>
    <w:p>
      <w:pPr>
        <w:pStyle w:val="ListBullet"/>
        <w:spacing w:before="20" w:after="60"/>
        <w:ind w:left="432"/>
        <w:numPr>
          <w:ilvl w:val="0"/>
          <w:numId w:val="1"/>
        </w:numPr>
      </w:pPr>
      <w:r>
        <w:rPr>
          <w:rFonts w:ascii="Calibri" w:hAnsi="Calibri"/>
          <w:color w:val="1A1A1A"/>
          <w:sz w:val="22"/>
        </w:rPr>
        <w:t>Vehicle availability check: Prevents scheduling on vehicles with incompatible statuses.</w:t>
      </w:r>
    </w:p>
    <w:p>
      <w:pPr>
        <w:pStyle w:val="ListBullet"/>
        <w:spacing w:before="20" w:after="60"/>
        <w:ind w:left="432"/>
        <w:numPr>
          <w:ilvl w:val="0"/>
          <w:numId w:val="1"/>
        </w:numPr>
      </w:pPr>
      <w:r>
        <w:rPr>
          <w:rFonts w:ascii="Calibri" w:hAnsi="Calibri"/>
          <w:color w:val="1A1A1A"/>
          <w:sz w:val="22"/>
        </w:rPr>
        <w:t>Linked to customer profile for full engagement history.</w:t>
      </w:r>
    </w:p>
    <w:p>
      <w:pPr>
        <w:pStyle w:val="Heading2"/>
        <w:spacing w:before="200" w:after="80"/>
      </w:pPr>
      <w:r>
        <w:t>6.6  Exchange / Trade-In Management Module</w:t>
      </w:r>
    </w:p>
    <w:p>
      <w:pPr>
        <w:spacing w:before="40" w:after="100" w:line="280" w:lineRule="exact"/>
      </w:pPr>
      <w:r>
        <w:t>The Exchange Management module facilitates the old-vehicle trade-in process, integrating valuation outcomes directly into the financial settlement of the linked booking.</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Old vehicle data capture: Make, model, variant, year, registration number, km driven, and physical condition.</w:t>
      </w:r>
    </w:p>
    <w:p>
      <w:pPr>
        <w:pStyle w:val="ListBullet"/>
        <w:spacing w:before="20" w:after="60"/>
        <w:ind w:left="432"/>
        <w:numPr>
          <w:ilvl w:val="0"/>
          <w:numId w:val="1"/>
        </w:numPr>
      </w:pPr>
      <w:r>
        <w:rPr>
          <w:rFonts w:ascii="Calibri" w:hAnsi="Calibri"/>
          <w:color w:val="1A1A1A"/>
          <w:sz w:val="22"/>
        </w:rPr>
        <w:t>Dual amount fields: Valuation amount (appraised market value) and offered amount (actual exchange credit offered to customer).</w:t>
      </w:r>
    </w:p>
    <w:p>
      <w:pPr>
        <w:pStyle w:val="ListBullet"/>
        <w:spacing w:before="20" w:after="60"/>
        <w:ind w:left="432"/>
        <w:numPr>
          <w:ilvl w:val="0"/>
          <w:numId w:val="1"/>
        </w:numPr>
      </w:pPr>
      <w:r>
        <w:rPr>
          <w:rFonts w:ascii="Calibri" w:hAnsi="Calibri"/>
          <w:color w:val="1A1A1A"/>
          <w:sz w:val="22"/>
        </w:rPr>
        <w:t>Evaluator assignment: Dealership staff member responsible for the physical inspection.</w:t>
      </w:r>
    </w:p>
    <w:p>
      <w:pPr>
        <w:pStyle w:val="ListBullet"/>
        <w:spacing w:before="20" w:after="60"/>
        <w:ind w:left="432"/>
        <w:numPr>
          <w:ilvl w:val="0"/>
          <w:numId w:val="1"/>
        </w:numPr>
      </w:pPr>
      <w:r>
        <w:rPr>
          <w:rFonts w:ascii="Calibri" w:hAnsi="Calibri"/>
          <w:color w:val="1A1A1A"/>
          <w:sz w:val="22"/>
        </w:rPr>
        <w:t>Status workflow: PENDING → APPROVED / REJECTED → COMPLETED.</w:t>
      </w:r>
    </w:p>
    <w:p>
      <w:pPr>
        <w:pStyle w:val="ListBullet"/>
        <w:spacing w:before="20" w:after="60"/>
        <w:ind w:left="432"/>
        <w:numPr>
          <w:ilvl w:val="0"/>
          <w:numId w:val="1"/>
        </w:numPr>
      </w:pPr>
      <w:r>
        <w:rPr>
          <w:rFonts w:ascii="Calibri" w:hAnsi="Calibri"/>
          <w:color w:val="1A1A1A"/>
          <w:sz w:val="22"/>
        </w:rPr>
        <w:t>Sales integration: Approved offered amount deducted from total payable in the linked SalesTransaction.</w:t>
      </w:r>
    </w:p>
    <w:p>
      <w:pPr>
        <w:pStyle w:val="Heading2"/>
        <w:spacing w:before="200" w:after="80"/>
      </w:pPr>
      <w:r>
        <w:t>6.7  Accessories Management Module</w:t>
      </w:r>
    </w:p>
    <w:p>
      <w:pPr>
        <w:spacing w:before="40" w:after="100" w:line="280" w:lineRule="exact"/>
      </w:pPr>
      <w:r>
        <w:t>The Accessories module manages the dealership's after-market accessories catalogue and tracks customer orders for accessories.</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Accessories catalogue: Name, unique accessory code, category, textual description, price, and active/inactive status.</w:t>
      </w:r>
    </w:p>
    <w:p>
      <w:pPr>
        <w:pStyle w:val="ListBullet"/>
        <w:spacing w:before="20" w:after="60"/>
        <w:ind w:left="432"/>
        <w:numPr>
          <w:ilvl w:val="0"/>
          <w:numId w:val="1"/>
        </w:numPr>
      </w:pPr>
      <w:r>
        <w:rPr>
          <w:rFonts w:ascii="Calibri" w:hAnsi="Calibri"/>
          <w:color w:val="1A1A1A"/>
          <w:sz w:val="22"/>
        </w:rPr>
        <w:t>Category classification: Enables filtering by product category (e.g., Interior, Exterior, Electronics, Safety).</w:t>
      </w:r>
    </w:p>
    <w:p>
      <w:pPr>
        <w:pStyle w:val="ListBullet"/>
        <w:spacing w:before="20" w:after="60"/>
        <w:ind w:left="432"/>
        <w:numPr>
          <w:ilvl w:val="0"/>
          <w:numId w:val="1"/>
        </w:numPr>
      </w:pPr>
      <w:r>
        <w:rPr>
          <w:rFonts w:ascii="Calibri" w:hAnsi="Calibri"/>
          <w:color w:val="1A1A1A"/>
          <w:sz w:val="22"/>
        </w:rPr>
        <w:t>Accessory orders: Customer orders linked to bookings with status tracking.</w:t>
      </w:r>
    </w:p>
    <w:p>
      <w:pPr>
        <w:pStyle w:val="ListBullet"/>
        <w:spacing w:before="20" w:after="60"/>
        <w:ind w:left="432"/>
        <w:numPr>
          <w:ilvl w:val="0"/>
          <w:numId w:val="1"/>
        </w:numPr>
      </w:pPr>
      <w:r>
        <w:rPr>
          <w:rFonts w:ascii="Calibri" w:hAnsi="Calibri"/>
          <w:color w:val="1A1A1A"/>
          <w:sz w:val="22"/>
        </w:rPr>
        <w:t>Order fulfilment tracking: Order status management from placement to installation.</w:t>
      </w:r>
    </w:p>
    <w:p>
      <w:pPr>
        <w:pStyle w:val="ListBullet"/>
        <w:spacing w:before="20" w:after="60"/>
        <w:ind w:left="432"/>
        <w:numPr>
          <w:ilvl w:val="0"/>
          <w:numId w:val="1"/>
        </w:numPr>
      </w:pPr>
      <w:r>
        <w:rPr>
          <w:rFonts w:ascii="Calibri" w:hAnsi="Calibri"/>
          <w:color w:val="1A1A1A"/>
          <w:sz w:val="22"/>
        </w:rPr>
        <w:t>Inactive accessories: Deactivated items are excluded from new orders but retained in historical order records.</w:t>
      </w:r>
    </w:p>
    <w:p>
      <w:pPr>
        <w:pStyle w:val="Heading2"/>
        <w:spacing w:before="200" w:after="80"/>
      </w:pPr>
      <w:r>
        <w:t>6.8  Admin Settings Module</w:t>
      </w:r>
    </w:p>
    <w:p>
      <w:pPr>
        <w:spacing w:before="40" w:after="100" w:line="280" w:lineRule="exact"/>
      </w:pPr>
      <w:r>
        <w:t>The Admin Settings module is accessible exclusively to the Super Admin and provides centralised configuration management for the entire DMS platform.</w:t>
      </w:r>
    </w:p>
    <w:p>
      <w:pPr>
        <w:pStyle w:val="Heading3"/>
        <w:spacing w:before="160" w:after="60"/>
      </w:pPr>
      <w:r>
        <w:t>Key Capabilities</w:t>
      </w:r>
    </w:p>
    <w:p>
      <w:pPr>
        <w:pStyle w:val="ListBullet"/>
        <w:spacing w:before="20" w:after="60"/>
        <w:ind w:left="432"/>
        <w:numPr>
          <w:ilvl w:val="0"/>
          <w:numId w:val="1"/>
        </w:numPr>
      </w:pPr>
      <w:r>
        <w:rPr>
          <w:rFonts w:ascii="Calibri" w:hAnsi="Calibri"/>
          <w:color w:val="1A1A1A"/>
          <w:sz w:val="22"/>
        </w:rPr>
        <w:t>Dealership management: Register new dealerships with name, code, address, city, state, pincode, phone, email, and manager name.</w:t>
      </w:r>
    </w:p>
    <w:p>
      <w:pPr>
        <w:pStyle w:val="ListBullet"/>
        <w:spacing w:before="20" w:after="60"/>
        <w:ind w:left="432"/>
        <w:numPr>
          <w:ilvl w:val="0"/>
          <w:numId w:val="1"/>
        </w:numPr>
      </w:pPr>
      <w:r>
        <w:rPr>
          <w:rFonts w:ascii="Calibri" w:hAnsi="Calibri"/>
          <w:color w:val="1A1A1A"/>
          <w:sz w:val="22"/>
        </w:rPr>
        <w:t>User management: Create, edit, activate, and deactivate user accounts; assign roles.</w:t>
      </w:r>
    </w:p>
    <w:p>
      <w:pPr>
        <w:pStyle w:val="ListBullet"/>
        <w:spacing w:before="20" w:after="60"/>
        <w:ind w:left="432"/>
        <w:numPr>
          <w:ilvl w:val="0"/>
          <w:numId w:val="1"/>
        </w:numPr>
      </w:pPr>
      <w:r>
        <w:rPr>
          <w:rFonts w:ascii="Calibri" w:hAnsi="Calibri"/>
          <w:color w:val="1A1A1A"/>
          <w:sz w:val="22"/>
        </w:rPr>
        <w:t>Vehicle model management: Maintain the master list of vehicle models available in the system.</w:t>
      </w:r>
    </w:p>
    <w:p>
      <w:pPr>
        <w:pStyle w:val="ListBullet"/>
        <w:spacing w:before="20" w:after="60"/>
        <w:ind w:left="432"/>
        <w:numPr>
          <w:ilvl w:val="0"/>
          <w:numId w:val="1"/>
        </w:numPr>
      </w:pPr>
      <w:r>
        <w:rPr>
          <w:rFonts w:ascii="Calibri" w:hAnsi="Calibri"/>
          <w:color w:val="1A1A1A"/>
          <w:sz w:val="22"/>
        </w:rPr>
        <w:t>Vehicle variant management: Define variants per model, including ex-showroom price, fuel type, and transmission type.</w:t>
      </w:r>
    </w:p>
    <w:p>
      <w:pPr>
        <w:pStyle w:val="ListBullet"/>
        <w:spacing w:before="20" w:after="60"/>
        <w:ind w:left="432"/>
        <w:numPr>
          <w:ilvl w:val="0"/>
          <w:numId w:val="1"/>
        </w:numPr>
      </w:pPr>
      <w:r>
        <w:rPr>
          <w:rFonts w:ascii="Calibri" w:hAnsi="Calibri"/>
          <w:color w:val="1A1A1A"/>
          <w:sz w:val="22"/>
        </w:rPr>
        <w:t>System settings: Global application parameters configurable by the Super Admin.</w:t>
      </w:r>
    </w:p>
    <w:p>
      <w:pPr>
        <w:pStyle w:val="Heading2"/>
        <w:spacing w:before="200" w:after="80"/>
      </w:pPr>
      <w:r>
        <w:t>6.9  Reports &amp; Audit Logs Module</w:t>
      </w:r>
    </w:p>
    <w:p>
      <w:pPr>
        <w:spacing w:before="40" w:after="100" w:line="280" w:lineRule="exact"/>
      </w:pPr>
      <w:r>
        <w:t>The Reports and Audit Logs module delivers business intelligence and accountability features to support management decisions and regulatory compliance.</w:t>
      </w:r>
    </w:p>
    <w:p>
      <w:pPr>
        <w:pStyle w:val="Heading3"/>
        <w:spacing w:before="160" w:after="60"/>
      </w:pPr>
      <w:r>
        <w:t>Report Types</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02C5F"/>
          </w:tcPr>
          <w:p>
            <w:pPr>
              <w:spacing w:before="60" w:after="60"/>
              <w:jc w:val="center"/>
            </w:pPr>
            <w:r/>
            <w:r>
              <w:rPr>
                <w:rFonts w:ascii="Calibri" w:hAnsi="Calibri"/>
                <w:b/>
                <w:color w:val="FFFFFF"/>
                <w:sz w:val="21"/>
              </w:rPr>
              <w:t>Report Name</w:t>
            </w:r>
          </w:p>
        </w:tc>
        <w:tc>
          <w:tcPr>
            <w:tcW w:type="dxa" w:w="6336"/>
            <w:shd w:val="clear" w:color="auto" w:fill="002C5F"/>
          </w:tcPr>
          <w:p>
            <w:pPr>
              <w:spacing w:before="60" w:after="60"/>
              <w:jc w:val="center"/>
            </w:pPr>
            <w:r/>
            <w:r>
              <w:rPr>
                <w:rFonts w:ascii="Calibri" w:hAnsi="Calibri"/>
                <w:b/>
                <w:color w:val="FFFFFF"/>
                <w:sz w:val="21"/>
              </w:rPr>
              <w:t>Description</w:t>
            </w:r>
          </w:p>
        </w:tc>
      </w:tr>
      <w:tr>
        <w:tc>
          <w:tcPr>
            <w:tcW w:type="dxa" w:w="3168"/>
            <w:shd w:val="clear" w:color="auto" w:fill="F9FBFF"/>
          </w:tcPr>
          <w:p>
            <w:pPr>
              <w:spacing w:before="40" w:after="40"/>
            </w:pPr>
            <w:r/>
            <w:r>
              <w:rPr>
                <w:rFonts w:ascii="Calibri" w:hAnsi="Calibri"/>
                <w:sz w:val="21"/>
              </w:rPr>
              <w:t>Sales Summary Report</w:t>
            </w:r>
          </w:p>
        </w:tc>
        <w:tc>
          <w:tcPr>
            <w:tcW w:type="dxa" w:w="6336"/>
            <w:shd w:val="clear" w:color="auto" w:fill="F9FBFF"/>
          </w:tcPr>
          <w:p>
            <w:pPr>
              <w:spacing w:before="40" w:after="40"/>
            </w:pPr>
            <w:r/>
            <w:r>
              <w:rPr>
                <w:rFonts w:ascii="Calibri" w:hAnsi="Calibri"/>
                <w:sz w:val="21"/>
              </w:rPr>
              <w:t>Aggregated total sales revenue, units sold, and average sale value for a specified period.</w:t>
            </w:r>
          </w:p>
        </w:tc>
      </w:tr>
      <w:tr>
        <w:tc>
          <w:tcPr>
            <w:tcW w:type="dxa" w:w="3168"/>
            <w:shd w:val="clear" w:color="auto" w:fill="FFFFFF"/>
          </w:tcPr>
          <w:p>
            <w:pPr>
              <w:spacing w:before="40" w:after="40"/>
            </w:pPr>
            <w:r/>
            <w:r>
              <w:rPr>
                <w:rFonts w:ascii="Calibri" w:hAnsi="Calibri"/>
                <w:sz w:val="21"/>
              </w:rPr>
              <w:t>Inventory Status Report</w:t>
            </w:r>
          </w:p>
        </w:tc>
        <w:tc>
          <w:tcPr>
            <w:tcW w:type="dxa" w:w="6336"/>
            <w:shd w:val="clear" w:color="auto" w:fill="FFFFFF"/>
          </w:tcPr>
          <w:p>
            <w:pPr>
              <w:spacing w:before="40" w:after="40"/>
            </w:pPr>
            <w:r/>
            <w:r>
              <w:rPr>
                <w:rFonts w:ascii="Calibri" w:hAnsi="Calibri"/>
                <w:sz w:val="21"/>
              </w:rPr>
              <w:t>Distribution of vehicles across all status categories; ageing analysis.</w:t>
            </w:r>
          </w:p>
        </w:tc>
      </w:tr>
      <w:tr>
        <w:tc>
          <w:tcPr>
            <w:tcW w:type="dxa" w:w="3168"/>
            <w:shd w:val="clear" w:color="auto" w:fill="F9FBFF"/>
          </w:tcPr>
          <w:p>
            <w:pPr>
              <w:spacing w:before="40" w:after="40"/>
            </w:pPr>
            <w:r/>
            <w:r>
              <w:rPr>
                <w:rFonts w:ascii="Calibri" w:hAnsi="Calibri"/>
                <w:sz w:val="21"/>
              </w:rPr>
              <w:t>Dispatch Summary Report</w:t>
            </w:r>
          </w:p>
        </w:tc>
        <w:tc>
          <w:tcPr>
            <w:tcW w:type="dxa" w:w="6336"/>
            <w:shd w:val="clear" w:color="auto" w:fill="F9FBFF"/>
          </w:tcPr>
          <w:p>
            <w:pPr>
              <w:spacing w:before="40" w:after="40"/>
            </w:pPr>
            <w:r/>
            <w:r>
              <w:rPr>
                <w:rFonts w:ascii="Calibri" w:hAnsi="Calibri"/>
                <w:sz w:val="21"/>
              </w:rPr>
              <w:t>On-time vs. delayed delivery breakdown; average dispatch lead time.</w:t>
            </w:r>
          </w:p>
        </w:tc>
      </w:tr>
      <w:tr>
        <w:tc>
          <w:tcPr>
            <w:tcW w:type="dxa" w:w="3168"/>
            <w:shd w:val="clear" w:color="auto" w:fill="FFFFFF"/>
          </w:tcPr>
          <w:p>
            <w:pPr>
              <w:spacing w:before="40" w:after="40"/>
            </w:pPr>
            <w:r/>
            <w:r>
              <w:rPr>
                <w:rFonts w:ascii="Calibri" w:hAnsi="Calibri"/>
                <w:sz w:val="21"/>
              </w:rPr>
              <w:t>Booking Analysis Report</w:t>
            </w:r>
          </w:p>
        </w:tc>
        <w:tc>
          <w:tcPr>
            <w:tcW w:type="dxa" w:w="6336"/>
            <w:shd w:val="clear" w:color="auto" w:fill="FFFFFF"/>
          </w:tcPr>
          <w:p>
            <w:pPr>
              <w:spacing w:before="40" w:after="40"/>
            </w:pPr>
            <w:r/>
            <w:r>
              <w:rPr>
                <w:rFonts w:ascii="Calibri" w:hAnsi="Calibri"/>
                <w:sz w:val="21"/>
              </w:rPr>
              <w:t>Status-wise booking counts; cancellation rates; booking-to-delivery conversion.</w:t>
            </w:r>
          </w:p>
        </w:tc>
      </w:tr>
      <w:tr>
        <w:tc>
          <w:tcPr>
            <w:tcW w:type="dxa" w:w="3168"/>
            <w:shd w:val="clear" w:color="auto" w:fill="F9FBFF"/>
          </w:tcPr>
          <w:p>
            <w:pPr>
              <w:spacing w:before="40" w:after="40"/>
            </w:pPr>
            <w:r/>
            <w:r>
              <w:rPr>
                <w:rFonts w:ascii="Calibri" w:hAnsi="Calibri"/>
                <w:sz w:val="21"/>
              </w:rPr>
              <w:t>Top Models Report</w:t>
            </w:r>
          </w:p>
        </w:tc>
        <w:tc>
          <w:tcPr>
            <w:tcW w:type="dxa" w:w="6336"/>
            <w:shd w:val="clear" w:color="auto" w:fill="F9FBFF"/>
          </w:tcPr>
          <w:p>
            <w:pPr>
              <w:spacing w:before="40" w:after="40"/>
            </w:pPr>
            <w:r/>
            <w:r>
              <w:rPr>
                <w:rFonts w:ascii="Calibri" w:hAnsi="Calibri"/>
                <w:sz w:val="21"/>
              </w:rPr>
              <w:t>Ranking of vehicle models by sales volume and revenue contribution.</w:t>
            </w:r>
          </w:p>
        </w:tc>
      </w:tr>
      <w:tr>
        <w:tc>
          <w:tcPr>
            <w:tcW w:type="dxa" w:w="3168"/>
            <w:shd w:val="clear" w:color="auto" w:fill="FFFFFF"/>
          </w:tcPr>
          <w:p>
            <w:pPr>
              <w:spacing w:before="40" w:after="40"/>
            </w:pPr>
            <w:r/>
            <w:r>
              <w:rPr>
                <w:rFonts w:ascii="Calibri" w:hAnsi="Calibri"/>
                <w:sz w:val="21"/>
              </w:rPr>
              <w:t>Exchange Report</w:t>
            </w:r>
          </w:p>
        </w:tc>
        <w:tc>
          <w:tcPr>
            <w:tcW w:type="dxa" w:w="6336"/>
            <w:shd w:val="clear" w:color="auto" w:fill="FFFFFF"/>
          </w:tcPr>
          <w:p>
            <w:pPr>
              <w:spacing w:before="40" w:after="40"/>
            </w:pPr>
            <w:r/>
            <w:r>
              <w:rPr>
                <w:rFonts w:ascii="Calibri" w:hAnsi="Calibri"/>
                <w:sz w:val="21"/>
              </w:rPr>
              <w:t>Volume and value of exchange requests by status and evaluator.</w:t>
            </w:r>
          </w:p>
        </w:tc>
      </w:tr>
      <w:tr>
        <w:tc>
          <w:tcPr>
            <w:tcW w:type="dxa" w:w="3168"/>
            <w:shd w:val="clear" w:color="auto" w:fill="F9FBFF"/>
          </w:tcPr>
          <w:p>
            <w:pPr>
              <w:spacing w:before="40" w:after="40"/>
            </w:pPr>
            <w:r/>
            <w:r>
              <w:rPr>
                <w:rFonts w:ascii="Calibri" w:hAnsi="Calibri"/>
                <w:sz w:val="21"/>
              </w:rPr>
              <w:t>Test Drive Report</w:t>
            </w:r>
          </w:p>
        </w:tc>
        <w:tc>
          <w:tcPr>
            <w:tcW w:type="dxa" w:w="6336"/>
            <w:shd w:val="clear" w:color="auto" w:fill="F9FBFF"/>
          </w:tcPr>
          <w:p>
            <w:pPr>
              <w:spacing w:before="40" w:after="40"/>
            </w:pPr>
            <w:r/>
            <w:r>
              <w:rPr>
                <w:rFonts w:ascii="Calibri" w:hAnsi="Calibri"/>
                <w:sz w:val="21"/>
              </w:rPr>
              <w:t>Scheduled vs. completed vs. no-show rates; conversion to booking.</w:t>
            </w:r>
          </w:p>
        </w:tc>
      </w:tr>
    </w:tbl>
    <w:p/>
    <w:p>
      <w:pPr>
        <w:pStyle w:val="Heading3"/>
        <w:spacing w:before="160" w:after="60"/>
      </w:pPr>
      <w:r>
        <w:t>Report Features</w:t>
      </w:r>
    </w:p>
    <w:p>
      <w:pPr>
        <w:pStyle w:val="ListBullet"/>
        <w:spacing w:before="20" w:after="60"/>
        <w:ind w:left="432"/>
        <w:numPr>
          <w:ilvl w:val="0"/>
          <w:numId w:val="1"/>
        </w:numPr>
      </w:pPr>
      <w:r>
        <w:rPr>
          <w:rFonts w:ascii="Calibri" w:hAnsi="Calibri"/>
          <w:color w:val="1A1A1A"/>
          <w:sz w:val="22"/>
        </w:rPr>
        <w:t>Custom date range filters for all reports.</w:t>
      </w:r>
    </w:p>
    <w:p>
      <w:pPr>
        <w:pStyle w:val="ListBullet"/>
        <w:spacing w:before="20" w:after="60"/>
        <w:ind w:left="432"/>
        <w:numPr>
          <w:ilvl w:val="0"/>
          <w:numId w:val="1"/>
        </w:numPr>
      </w:pPr>
      <w:r>
        <w:rPr>
          <w:rFonts w:ascii="Calibri" w:hAnsi="Calibri"/>
          <w:color w:val="1A1A1A"/>
          <w:sz w:val="22"/>
        </w:rPr>
        <w:t>Export to PDF (formatted, printable) and Excel (data analysis) formats.</w:t>
      </w:r>
    </w:p>
    <w:p>
      <w:pPr>
        <w:pStyle w:val="ListBullet"/>
        <w:spacing w:before="20" w:after="60"/>
        <w:ind w:left="432"/>
        <w:numPr>
          <w:ilvl w:val="0"/>
          <w:numId w:val="1"/>
        </w:numPr>
      </w:pPr>
      <w:r>
        <w:rPr>
          <w:rFonts w:ascii="Calibri" w:hAnsi="Calibri"/>
          <w:color w:val="1A1A1A"/>
          <w:sz w:val="22"/>
        </w:rPr>
        <w:t>Role-appropriate report access (Senior Official — read-only; Dealer Manager — all reports; Sales Executive — personal performance only).</w:t>
      </w:r>
    </w:p>
    <w:p>
      <w:pPr>
        <w:pStyle w:val="Heading3"/>
        <w:spacing w:before="160" w:after="60"/>
      </w:pPr>
      <w:r>
        <w:t>Audit Log Features</w:t>
      </w:r>
    </w:p>
    <w:p>
      <w:pPr>
        <w:pStyle w:val="ListBullet"/>
        <w:spacing w:before="20" w:after="60"/>
        <w:ind w:left="432"/>
        <w:numPr>
          <w:ilvl w:val="0"/>
          <w:numId w:val="1"/>
        </w:numPr>
      </w:pPr>
      <w:r>
        <w:rPr>
          <w:rFonts w:ascii="Calibri" w:hAnsi="Calibri"/>
          <w:color w:val="1A1A1A"/>
          <w:sz w:val="22"/>
        </w:rPr>
        <w:t>Captures: action type (e.g., CREATE_BOOKING, DELETE_USER, UPDATE_VEHICLE_STATUS), performing user, timestamp, and contextual details.</w:t>
      </w:r>
    </w:p>
    <w:p>
      <w:pPr>
        <w:pStyle w:val="ListBullet"/>
        <w:spacing w:before="20" w:after="60"/>
        <w:ind w:left="432"/>
        <w:numPr>
          <w:ilvl w:val="0"/>
          <w:numId w:val="1"/>
        </w:numPr>
      </w:pPr>
      <w:r>
        <w:rPr>
          <w:rFonts w:ascii="Calibri" w:hAnsi="Calibri"/>
          <w:color w:val="1A1A1A"/>
          <w:sz w:val="22"/>
        </w:rPr>
        <w:t>Immutable records: Audit entries cannot be edited or deleted by any user.</w:t>
      </w:r>
    </w:p>
    <w:p>
      <w:pPr>
        <w:pStyle w:val="ListBullet"/>
        <w:spacing w:before="20" w:after="60"/>
        <w:ind w:left="432"/>
        <w:numPr>
          <w:ilvl w:val="0"/>
          <w:numId w:val="1"/>
        </w:numPr>
      </w:pPr>
      <w:r>
        <w:rPr>
          <w:rFonts w:ascii="Calibri" w:hAnsi="Calibri"/>
          <w:color w:val="1A1A1A"/>
          <w:sz w:val="22"/>
        </w:rPr>
        <w:t>Accessible by Super Admin only.</w:t>
      </w:r>
    </w:p>
    <w:p>
      <w:pPr>
        <w:pStyle w:val="ListBullet"/>
        <w:spacing w:before="20" w:after="60"/>
        <w:ind w:left="432"/>
        <w:numPr>
          <w:ilvl w:val="0"/>
          <w:numId w:val="1"/>
        </w:numPr>
      </w:pPr>
      <w:r>
        <w:rPr>
          <w:rFonts w:ascii="Calibri" w:hAnsi="Calibri"/>
          <w:color w:val="1A1A1A"/>
          <w:sz w:val="22"/>
        </w:rPr>
        <w:t>Filterable by action type, performing user, and date range.</w:t>
      </w:r>
    </w:p>
    <w:p>
      <w:r>
        <w:br w:type="page"/>
      </w:r>
    </w:p>
    <w:p>
      <w:pPr>
        <w:pStyle w:val="Heading1"/>
        <w:spacing w:before="280" w:after="120"/>
      </w:pPr>
      <w:r>
        <w:t>7. Non-Functional Requirements</w:t>
      </w:r>
    </w:p>
    <w:p>
      <w:pPr>
        <w:spacing w:before="40" w:after="100" w:line="280" w:lineRule="exact"/>
      </w:pPr>
      <w:r>
        <w:t>Non-functional requirements define the quality attributes the DMS must exhibit in addition to its functional capabilities.</w:t>
      </w:r>
    </w:p>
    <w:tbl>
      <w:tblPr>
        <w:tblStyle w:val="TableGrid"/>
        <w:tblW w:type="auto" w:w="0"/>
        <w:jc w:val="left"/>
        <w:tblLook w:firstColumn="1" w:firstRow="1" w:lastColumn="0" w:lastRow="0" w:noHBand="0" w:noVBand="1" w:val="04A0"/>
      </w:tblPr>
      <w:tblGrid>
        <w:gridCol w:w="3135"/>
        <w:gridCol w:w="3135"/>
        <w:gridCol w:w="3135"/>
      </w:tblGrid>
      <w:tr>
        <w:tc>
          <w:tcPr>
            <w:tcW w:type="dxa" w:w="1584"/>
            <w:shd w:val="clear" w:color="auto" w:fill="002C5F"/>
          </w:tcPr>
          <w:p>
            <w:pPr>
              <w:spacing w:before="60" w:after="60"/>
              <w:jc w:val="center"/>
            </w:pPr>
            <w:r/>
            <w:r>
              <w:rPr>
                <w:rFonts w:ascii="Calibri" w:hAnsi="Calibri"/>
                <w:b/>
                <w:color w:val="FFFFFF"/>
                <w:sz w:val="21"/>
              </w:rPr>
              <w:t>ID</w:t>
            </w:r>
          </w:p>
        </w:tc>
        <w:tc>
          <w:tcPr>
            <w:tcW w:type="dxa" w:w="1872"/>
            <w:shd w:val="clear" w:color="auto" w:fill="002C5F"/>
          </w:tcPr>
          <w:p>
            <w:pPr>
              <w:spacing w:before="60" w:after="60"/>
              <w:jc w:val="center"/>
            </w:pPr>
            <w:r/>
            <w:r>
              <w:rPr>
                <w:rFonts w:ascii="Calibri" w:hAnsi="Calibri"/>
                <w:b/>
                <w:color w:val="FFFFFF"/>
                <w:sz w:val="21"/>
              </w:rPr>
              <w:t>Category</w:t>
            </w:r>
          </w:p>
        </w:tc>
        <w:tc>
          <w:tcPr>
            <w:tcW w:type="dxa" w:w="6048"/>
            <w:shd w:val="clear" w:color="auto" w:fill="002C5F"/>
          </w:tcPr>
          <w:p>
            <w:pPr>
              <w:spacing w:before="60" w:after="60"/>
              <w:jc w:val="center"/>
            </w:pPr>
            <w:r/>
            <w:r>
              <w:rPr>
                <w:rFonts w:ascii="Calibri" w:hAnsi="Calibri"/>
                <w:b/>
                <w:color w:val="FFFFFF"/>
                <w:sz w:val="21"/>
              </w:rPr>
              <w:t>Requirement</w:t>
            </w:r>
          </w:p>
        </w:tc>
      </w:tr>
      <w:tr>
        <w:tc>
          <w:tcPr>
            <w:tcW w:type="dxa" w:w="1584"/>
            <w:shd w:val="clear" w:color="auto" w:fill="F9FBFF"/>
          </w:tcPr>
          <w:p>
            <w:pPr>
              <w:spacing w:before="40" w:after="40"/>
            </w:pPr>
            <w:r/>
            <w:r>
              <w:rPr>
                <w:rFonts w:ascii="Calibri" w:hAnsi="Calibri"/>
                <w:sz w:val="21"/>
              </w:rPr>
              <w:t>NFR-PERF-01</w:t>
            </w:r>
          </w:p>
        </w:tc>
        <w:tc>
          <w:tcPr>
            <w:tcW w:type="dxa" w:w="1872"/>
            <w:shd w:val="clear" w:color="auto" w:fill="F9FBFF"/>
          </w:tcPr>
          <w:p>
            <w:pPr>
              <w:spacing w:before="40" w:after="40"/>
            </w:pPr>
            <w:r/>
            <w:r>
              <w:rPr>
                <w:rFonts w:ascii="Calibri" w:hAnsi="Calibri"/>
                <w:sz w:val="21"/>
              </w:rPr>
              <w:t>Performance</w:t>
            </w:r>
          </w:p>
        </w:tc>
        <w:tc>
          <w:tcPr>
            <w:tcW w:type="dxa" w:w="6048"/>
            <w:shd w:val="clear" w:color="auto" w:fill="F9FBFF"/>
          </w:tcPr>
          <w:p>
            <w:pPr>
              <w:spacing w:before="40" w:after="40"/>
            </w:pPr>
            <w:r/>
            <w:r>
              <w:rPr>
                <w:rFonts w:ascii="Calibri" w:hAnsi="Calibri"/>
                <w:sz w:val="21"/>
              </w:rPr>
              <w:t>API response time for standard data retrieval requests shall not exceed 2 seconds under normal load conditions.</w:t>
            </w:r>
          </w:p>
        </w:tc>
      </w:tr>
      <w:tr>
        <w:tc>
          <w:tcPr>
            <w:tcW w:type="dxa" w:w="1584"/>
            <w:shd w:val="clear" w:color="auto" w:fill="FFFFFF"/>
          </w:tcPr>
          <w:p>
            <w:pPr>
              <w:spacing w:before="40" w:after="40"/>
            </w:pPr>
            <w:r/>
            <w:r>
              <w:rPr>
                <w:rFonts w:ascii="Calibri" w:hAnsi="Calibri"/>
                <w:sz w:val="21"/>
              </w:rPr>
              <w:t>NFR-PERF-02</w:t>
            </w:r>
          </w:p>
        </w:tc>
        <w:tc>
          <w:tcPr>
            <w:tcW w:type="dxa" w:w="1872"/>
            <w:shd w:val="clear" w:color="auto" w:fill="FFFFFF"/>
          </w:tcPr>
          <w:p>
            <w:pPr>
              <w:spacing w:before="40" w:after="40"/>
            </w:pPr>
            <w:r/>
            <w:r>
              <w:rPr>
                <w:rFonts w:ascii="Calibri" w:hAnsi="Calibri"/>
                <w:sz w:val="21"/>
              </w:rPr>
              <w:t>Performance</w:t>
            </w:r>
          </w:p>
        </w:tc>
        <w:tc>
          <w:tcPr>
            <w:tcW w:type="dxa" w:w="6048"/>
            <w:shd w:val="clear" w:color="auto" w:fill="FFFFFF"/>
          </w:tcPr>
          <w:p>
            <w:pPr>
              <w:spacing w:before="40" w:after="40"/>
            </w:pPr>
            <w:r/>
            <w:r>
              <w:rPr>
                <w:rFonts w:ascii="Calibri" w:hAnsi="Calibri"/>
                <w:sz w:val="21"/>
              </w:rPr>
              <w:t>The system shall support a minimum of 20 concurrent users per dealership without degradation in response time.</w:t>
            </w:r>
          </w:p>
        </w:tc>
      </w:tr>
      <w:tr>
        <w:tc>
          <w:tcPr>
            <w:tcW w:type="dxa" w:w="1584"/>
            <w:shd w:val="clear" w:color="auto" w:fill="F9FBFF"/>
          </w:tcPr>
          <w:p>
            <w:pPr>
              <w:spacing w:before="40" w:after="40"/>
            </w:pPr>
            <w:r/>
            <w:r>
              <w:rPr>
                <w:rFonts w:ascii="Calibri" w:hAnsi="Calibri"/>
                <w:sz w:val="21"/>
              </w:rPr>
              <w:t>NFR-PERF-03</w:t>
            </w:r>
          </w:p>
        </w:tc>
        <w:tc>
          <w:tcPr>
            <w:tcW w:type="dxa" w:w="1872"/>
            <w:shd w:val="clear" w:color="auto" w:fill="F9FBFF"/>
          </w:tcPr>
          <w:p>
            <w:pPr>
              <w:spacing w:before="40" w:after="40"/>
            </w:pPr>
            <w:r/>
            <w:r>
              <w:rPr>
                <w:rFonts w:ascii="Calibri" w:hAnsi="Calibri"/>
                <w:sz w:val="21"/>
              </w:rPr>
              <w:t>Performance</w:t>
            </w:r>
          </w:p>
        </w:tc>
        <w:tc>
          <w:tcPr>
            <w:tcW w:type="dxa" w:w="6048"/>
            <w:shd w:val="clear" w:color="auto" w:fill="F9FBFF"/>
          </w:tcPr>
          <w:p>
            <w:pPr>
              <w:spacing w:before="40" w:after="40"/>
            </w:pPr>
            <w:r/>
            <w:r>
              <w:rPr>
                <w:rFonts w:ascii="Calibri" w:hAnsi="Calibri"/>
                <w:sz w:val="21"/>
              </w:rPr>
              <w:t>Database queries shall leverage indexed columns for all primary filter criteria to optimise query execution time.</w:t>
            </w:r>
          </w:p>
        </w:tc>
      </w:tr>
      <w:tr>
        <w:tc>
          <w:tcPr>
            <w:tcW w:type="dxa" w:w="1584"/>
            <w:shd w:val="clear" w:color="auto" w:fill="FFFFFF"/>
          </w:tcPr>
          <w:p>
            <w:pPr>
              <w:spacing w:before="40" w:after="40"/>
            </w:pPr>
            <w:r/>
            <w:r>
              <w:rPr>
                <w:rFonts w:ascii="Calibri" w:hAnsi="Calibri"/>
                <w:sz w:val="21"/>
              </w:rPr>
              <w:t>NFR-SEC-01</w:t>
            </w:r>
          </w:p>
        </w:tc>
        <w:tc>
          <w:tcPr>
            <w:tcW w:type="dxa" w:w="1872"/>
            <w:shd w:val="clear" w:color="auto" w:fill="FFFFFF"/>
          </w:tcPr>
          <w:p>
            <w:pPr>
              <w:spacing w:before="40" w:after="40"/>
            </w:pPr>
            <w:r/>
            <w:r>
              <w:rPr>
                <w:rFonts w:ascii="Calibri" w:hAnsi="Calibri"/>
                <w:sz w:val="21"/>
              </w:rPr>
              <w:t>Security</w:t>
            </w:r>
          </w:p>
        </w:tc>
        <w:tc>
          <w:tcPr>
            <w:tcW w:type="dxa" w:w="6048"/>
            <w:shd w:val="clear" w:color="auto" w:fill="FFFFFF"/>
          </w:tcPr>
          <w:p>
            <w:pPr>
              <w:spacing w:before="40" w:after="40"/>
            </w:pPr>
            <w:r/>
            <w:r>
              <w:rPr>
                <w:rFonts w:ascii="Calibri" w:hAnsi="Calibri"/>
                <w:sz w:val="21"/>
              </w:rPr>
              <w:t>All API endpoints (except /api/auth/login and /api/auth/register) shall require a valid JWT Bearer token.</w:t>
            </w:r>
          </w:p>
        </w:tc>
      </w:tr>
      <w:tr>
        <w:tc>
          <w:tcPr>
            <w:tcW w:type="dxa" w:w="1584"/>
            <w:shd w:val="clear" w:color="auto" w:fill="F9FBFF"/>
          </w:tcPr>
          <w:p>
            <w:pPr>
              <w:spacing w:before="40" w:after="40"/>
            </w:pPr>
            <w:r/>
            <w:r>
              <w:rPr>
                <w:rFonts w:ascii="Calibri" w:hAnsi="Calibri"/>
                <w:sz w:val="21"/>
              </w:rPr>
              <w:t>NFR-SEC-02</w:t>
            </w:r>
          </w:p>
        </w:tc>
        <w:tc>
          <w:tcPr>
            <w:tcW w:type="dxa" w:w="1872"/>
            <w:shd w:val="clear" w:color="auto" w:fill="F9FBFF"/>
          </w:tcPr>
          <w:p>
            <w:pPr>
              <w:spacing w:before="40" w:after="40"/>
            </w:pPr>
            <w:r/>
            <w:r>
              <w:rPr>
                <w:rFonts w:ascii="Calibri" w:hAnsi="Calibri"/>
                <w:sz w:val="21"/>
              </w:rPr>
              <w:t>Security</w:t>
            </w:r>
          </w:p>
        </w:tc>
        <w:tc>
          <w:tcPr>
            <w:tcW w:type="dxa" w:w="6048"/>
            <w:shd w:val="clear" w:color="auto" w:fill="F9FBFF"/>
          </w:tcPr>
          <w:p>
            <w:pPr>
              <w:spacing w:before="40" w:after="40"/>
            </w:pPr>
            <w:r/>
            <w:r>
              <w:rPr>
                <w:rFonts w:ascii="Calibri" w:hAnsi="Calibri"/>
                <w:sz w:val="21"/>
              </w:rPr>
              <w:t>JWTs shall carry an expiry claim; expired tokens shall be rejected with an HTTP 401 Unauthorized response.</w:t>
            </w:r>
          </w:p>
        </w:tc>
      </w:tr>
      <w:tr>
        <w:tc>
          <w:tcPr>
            <w:tcW w:type="dxa" w:w="1584"/>
            <w:shd w:val="clear" w:color="auto" w:fill="FFFFFF"/>
          </w:tcPr>
          <w:p>
            <w:pPr>
              <w:spacing w:before="40" w:after="40"/>
            </w:pPr>
            <w:r/>
            <w:r>
              <w:rPr>
                <w:rFonts w:ascii="Calibri" w:hAnsi="Calibri"/>
                <w:sz w:val="21"/>
              </w:rPr>
              <w:t>NFR-SEC-03</w:t>
            </w:r>
          </w:p>
        </w:tc>
        <w:tc>
          <w:tcPr>
            <w:tcW w:type="dxa" w:w="1872"/>
            <w:shd w:val="clear" w:color="auto" w:fill="FFFFFF"/>
          </w:tcPr>
          <w:p>
            <w:pPr>
              <w:spacing w:before="40" w:after="40"/>
            </w:pPr>
            <w:r/>
            <w:r>
              <w:rPr>
                <w:rFonts w:ascii="Calibri" w:hAnsi="Calibri"/>
                <w:sz w:val="21"/>
              </w:rPr>
              <w:t>Security</w:t>
            </w:r>
          </w:p>
        </w:tc>
        <w:tc>
          <w:tcPr>
            <w:tcW w:type="dxa" w:w="6048"/>
            <w:shd w:val="clear" w:color="auto" w:fill="FFFFFF"/>
          </w:tcPr>
          <w:p>
            <w:pPr>
              <w:spacing w:before="40" w:after="40"/>
            </w:pPr>
            <w:r/>
            <w:r>
              <w:rPr>
                <w:rFonts w:ascii="Calibri" w:hAnsi="Calibri"/>
                <w:sz w:val="21"/>
              </w:rPr>
              <w:t>User passwords shall be hashed using BCrypt with a minimum work factor of 10.</w:t>
            </w:r>
          </w:p>
        </w:tc>
      </w:tr>
      <w:tr>
        <w:tc>
          <w:tcPr>
            <w:tcW w:type="dxa" w:w="1584"/>
            <w:shd w:val="clear" w:color="auto" w:fill="F9FBFF"/>
          </w:tcPr>
          <w:p>
            <w:pPr>
              <w:spacing w:before="40" w:after="40"/>
            </w:pPr>
            <w:r/>
            <w:r>
              <w:rPr>
                <w:rFonts w:ascii="Calibri" w:hAnsi="Calibri"/>
                <w:sz w:val="21"/>
              </w:rPr>
              <w:t>NFR-SEC-04</w:t>
            </w:r>
          </w:p>
        </w:tc>
        <w:tc>
          <w:tcPr>
            <w:tcW w:type="dxa" w:w="1872"/>
            <w:shd w:val="clear" w:color="auto" w:fill="F9FBFF"/>
          </w:tcPr>
          <w:p>
            <w:pPr>
              <w:spacing w:before="40" w:after="40"/>
            </w:pPr>
            <w:r/>
            <w:r>
              <w:rPr>
                <w:rFonts w:ascii="Calibri" w:hAnsi="Calibri"/>
                <w:sz w:val="21"/>
              </w:rPr>
              <w:t>Security</w:t>
            </w:r>
          </w:p>
        </w:tc>
        <w:tc>
          <w:tcPr>
            <w:tcW w:type="dxa" w:w="6048"/>
            <w:shd w:val="clear" w:color="auto" w:fill="F9FBFF"/>
          </w:tcPr>
          <w:p>
            <w:pPr>
              <w:spacing w:before="40" w:after="40"/>
            </w:pPr>
            <w:r/>
            <w:r>
              <w:rPr>
                <w:rFonts w:ascii="Calibri" w:hAnsi="Calibri"/>
                <w:sz w:val="21"/>
              </w:rPr>
              <w:t>CORS policy shall restrict API access to known frontend origins; unrestricted cross-origin requests shall be blocked.</w:t>
            </w:r>
          </w:p>
        </w:tc>
      </w:tr>
      <w:tr>
        <w:tc>
          <w:tcPr>
            <w:tcW w:type="dxa" w:w="1584"/>
            <w:shd w:val="clear" w:color="auto" w:fill="FFFFFF"/>
          </w:tcPr>
          <w:p>
            <w:pPr>
              <w:spacing w:before="40" w:after="40"/>
            </w:pPr>
            <w:r/>
            <w:r>
              <w:rPr>
                <w:rFonts w:ascii="Calibri" w:hAnsi="Calibri"/>
                <w:sz w:val="21"/>
              </w:rPr>
              <w:t>NFR-SEC-05</w:t>
            </w:r>
          </w:p>
        </w:tc>
        <w:tc>
          <w:tcPr>
            <w:tcW w:type="dxa" w:w="1872"/>
            <w:shd w:val="clear" w:color="auto" w:fill="FFFFFF"/>
          </w:tcPr>
          <w:p>
            <w:pPr>
              <w:spacing w:before="40" w:after="40"/>
            </w:pPr>
            <w:r/>
            <w:r>
              <w:rPr>
                <w:rFonts w:ascii="Calibri" w:hAnsi="Calibri"/>
                <w:sz w:val="21"/>
              </w:rPr>
              <w:t>Security</w:t>
            </w:r>
          </w:p>
        </w:tc>
        <w:tc>
          <w:tcPr>
            <w:tcW w:type="dxa" w:w="6048"/>
            <w:shd w:val="clear" w:color="auto" w:fill="FFFFFF"/>
          </w:tcPr>
          <w:p>
            <w:pPr>
              <w:spacing w:before="40" w:after="40"/>
            </w:pPr>
            <w:r/>
            <w:r>
              <w:rPr>
                <w:rFonts w:ascii="Calibri" w:hAnsi="Calibri"/>
                <w:sz w:val="21"/>
              </w:rPr>
              <w:t>Role-based endpoint guards shall be enforced at the Spring Security filter chain level; bypassing through URL manipulation shall not be possible.</w:t>
            </w:r>
          </w:p>
        </w:tc>
      </w:tr>
      <w:tr>
        <w:tc>
          <w:tcPr>
            <w:tcW w:type="dxa" w:w="1584"/>
            <w:shd w:val="clear" w:color="auto" w:fill="F9FBFF"/>
          </w:tcPr>
          <w:p>
            <w:pPr>
              <w:spacing w:before="40" w:after="40"/>
            </w:pPr>
            <w:r/>
            <w:r>
              <w:rPr>
                <w:rFonts w:ascii="Calibri" w:hAnsi="Calibri"/>
                <w:sz w:val="21"/>
              </w:rPr>
              <w:t>NFR-SCAL-01</w:t>
            </w:r>
          </w:p>
        </w:tc>
        <w:tc>
          <w:tcPr>
            <w:tcW w:type="dxa" w:w="1872"/>
            <w:shd w:val="clear" w:color="auto" w:fill="F9FBFF"/>
          </w:tcPr>
          <w:p>
            <w:pPr>
              <w:spacing w:before="40" w:after="40"/>
            </w:pPr>
            <w:r/>
            <w:r>
              <w:rPr>
                <w:rFonts w:ascii="Calibri" w:hAnsi="Calibri"/>
                <w:sz w:val="21"/>
              </w:rPr>
              <w:t>Scalability</w:t>
            </w:r>
          </w:p>
        </w:tc>
        <w:tc>
          <w:tcPr>
            <w:tcW w:type="dxa" w:w="6048"/>
            <w:shd w:val="clear" w:color="auto" w:fill="F9FBFF"/>
          </w:tcPr>
          <w:p>
            <w:pPr>
              <w:spacing w:before="40" w:after="40"/>
            </w:pPr>
            <w:r/>
            <w:r>
              <w:rPr>
                <w:rFonts w:ascii="Calibri" w:hAnsi="Calibri"/>
                <w:sz w:val="21"/>
              </w:rPr>
              <w:t>The layered architecture (Controller → Service → Repository → Database) shall support horizontal scaling of the API layer without schema changes.</w:t>
            </w:r>
          </w:p>
        </w:tc>
      </w:tr>
      <w:tr>
        <w:tc>
          <w:tcPr>
            <w:tcW w:type="dxa" w:w="1584"/>
            <w:shd w:val="clear" w:color="auto" w:fill="FFFFFF"/>
          </w:tcPr>
          <w:p>
            <w:pPr>
              <w:spacing w:before="40" w:after="40"/>
            </w:pPr>
            <w:r/>
            <w:r>
              <w:rPr>
                <w:rFonts w:ascii="Calibri" w:hAnsi="Calibri"/>
                <w:sz w:val="21"/>
              </w:rPr>
              <w:t>NFR-SCAL-02</w:t>
            </w:r>
          </w:p>
        </w:tc>
        <w:tc>
          <w:tcPr>
            <w:tcW w:type="dxa" w:w="1872"/>
            <w:shd w:val="clear" w:color="auto" w:fill="FFFFFF"/>
          </w:tcPr>
          <w:p>
            <w:pPr>
              <w:spacing w:before="40" w:after="40"/>
            </w:pPr>
            <w:r/>
            <w:r>
              <w:rPr>
                <w:rFonts w:ascii="Calibri" w:hAnsi="Calibri"/>
                <w:sz w:val="21"/>
              </w:rPr>
              <w:t>Scalability</w:t>
            </w:r>
          </w:p>
        </w:tc>
        <w:tc>
          <w:tcPr>
            <w:tcW w:type="dxa" w:w="6048"/>
            <w:shd w:val="clear" w:color="auto" w:fill="FFFFFF"/>
          </w:tcPr>
          <w:p>
            <w:pPr>
              <w:spacing w:before="40" w:after="40"/>
            </w:pPr>
            <w:r/>
            <w:r>
              <w:rPr>
                <w:rFonts w:ascii="Calibri" w:hAnsi="Calibri"/>
                <w:sz w:val="21"/>
              </w:rPr>
              <w:t>The multi-dealership data model shall support onboarding additional dealership locations by adding dealership records without structural database changes.</w:t>
            </w:r>
          </w:p>
        </w:tc>
      </w:tr>
      <w:tr>
        <w:tc>
          <w:tcPr>
            <w:tcW w:type="dxa" w:w="1584"/>
            <w:shd w:val="clear" w:color="auto" w:fill="F9FBFF"/>
          </w:tcPr>
          <w:p>
            <w:pPr>
              <w:spacing w:before="40" w:after="40"/>
            </w:pPr>
            <w:r/>
            <w:r>
              <w:rPr>
                <w:rFonts w:ascii="Calibri" w:hAnsi="Calibri"/>
                <w:sz w:val="21"/>
              </w:rPr>
              <w:t>NFR-USE-01</w:t>
            </w:r>
          </w:p>
        </w:tc>
        <w:tc>
          <w:tcPr>
            <w:tcW w:type="dxa" w:w="1872"/>
            <w:shd w:val="clear" w:color="auto" w:fill="F9FBFF"/>
          </w:tcPr>
          <w:p>
            <w:pPr>
              <w:spacing w:before="40" w:after="40"/>
            </w:pPr>
            <w:r/>
            <w:r>
              <w:rPr>
                <w:rFonts w:ascii="Calibri" w:hAnsi="Calibri"/>
                <w:sz w:val="21"/>
              </w:rPr>
              <w:t>Usability</w:t>
            </w:r>
          </w:p>
        </w:tc>
        <w:tc>
          <w:tcPr>
            <w:tcW w:type="dxa" w:w="6048"/>
            <w:shd w:val="clear" w:color="auto" w:fill="F9FBFF"/>
          </w:tcPr>
          <w:p>
            <w:pPr>
              <w:spacing w:before="40" w:after="40"/>
            </w:pPr>
            <w:r/>
            <w:r>
              <w:rPr>
                <w:rFonts w:ascii="Calibri" w:hAnsi="Calibri"/>
                <w:sz w:val="21"/>
              </w:rPr>
              <w:t>The UI shall be responsive and usable on desktop (1920×1080), laptop (1366×768), and tablet (768×1024) viewports.</w:t>
            </w:r>
          </w:p>
        </w:tc>
      </w:tr>
      <w:tr>
        <w:tc>
          <w:tcPr>
            <w:tcW w:type="dxa" w:w="1584"/>
            <w:shd w:val="clear" w:color="auto" w:fill="FFFFFF"/>
          </w:tcPr>
          <w:p>
            <w:pPr>
              <w:spacing w:before="40" w:after="40"/>
            </w:pPr>
            <w:r/>
            <w:r>
              <w:rPr>
                <w:rFonts w:ascii="Calibri" w:hAnsi="Calibri"/>
                <w:sz w:val="21"/>
              </w:rPr>
              <w:t>NFR-USE-02</w:t>
            </w:r>
          </w:p>
        </w:tc>
        <w:tc>
          <w:tcPr>
            <w:tcW w:type="dxa" w:w="1872"/>
            <w:shd w:val="clear" w:color="auto" w:fill="FFFFFF"/>
          </w:tcPr>
          <w:p>
            <w:pPr>
              <w:spacing w:before="40" w:after="40"/>
            </w:pPr>
            <w:r/>
            <w:r>
              <w:rPr>
                <w:rFonts w:ascii="Calibri" w:hAnsi="Calibri"/>
                <w:sz w:val="21"/>
              </w:rPr>
              <w:t>Usability</w:t>
            </w:r>
          </w:p>
        </w:tc>
        <w:tc>
          <w:tcPr>
            <w:tcW w:type="dxa" w:w="6048"/>
            <w:shd w:val="clear" w:color="auto" w:fill="FFFFFF"/>
          </w:tcPr>
          <w:p>
            <w:pPr>
              <w:spacing w:before="40" w:after="40"/>
            </w:pPr>
            <w:r/>
            <w:r>
              <w:rPr>
                <w:rFonts w:ascii="Calibri" w:hAnsi="Calibri"/>
                <w:sz w:val="21"/>
              </w:rPr>
              <w:t>All form validation errors shall be surfaced inline, adjacent to the offending field, with descriptive messages.</w:t>
            </w:r>
          </w:p>
        </w:tc>
      </w:tr>
      <w:tr>
        <w:tc>
          <w:tcPr>
            <w:tcW w:type="dxa" w:w="1584"/>
            <w:shd w:val="clear" w:color="auto" w:fill="F9FBFF"/>
          </w:tcPr>
          <w:p>
            <w:pPr>
              <w:spacing w:before="40" w:after="40"/>
            </w:pPr>
            <w:r/>
            <w:r>
              <w:rPr>
                <w:rFonts w:ascii="Calibri" w:hAnsi="Calibri"/>
                <w:sz w:val="21"/>
              </w:rPr>
              <w:t>NFR-USE-03</w:t>
            </w:r>
          </w:p>
        </w:tc>
        <w:tc>
          <w:tcPr>
            <w:tcW w:type="dxa" w:w="1872"/>
            <w:shd w:val="clear" w:color="auto" w:fill="F9FBFF"/>
          </w:tcPr>
          <w:p>
            <w:pPr>
              <w:spacing w:before="40" w:after="40"/>
            </w:pPr>
            <w:r/>
            <w:r>
              <w:rPr>
                <w:rFonts w:ascii="Calibri" w:hAnsi="Calibri"/>
                <w:sz w:val="21"/>
              </w:rPr>
              <w:t>Usability</w:t>
            </w:r>
          </w:p>
        </w:tc>
        <w:tc>
          <w:tcPr>
            <w:tcW w:type="dxa" w:w="6048"/>
            <w:shd w:val="clear" w:color="auto" w:fill="F9FBFF"/>
          </w:tcPr>
          <w:p>
            <w:pPr>
              <w:spacing w:before="40" w:after="40"/>
            </w:pPr>
            <w:r/>
            <w:r>
              <w:rPr>
                <w:rFonts w:ascii="Calibri" w:hAnsi="Calibri"/>
                <w:sz w:val="21"/>
              </w:rPr>
              <w:t>Data tables shall support pagination, sorting, and column-level filtering for all primary listing screens.</w:t>
            </w:r>
          </w:p>
        </w:tc>
      </w:tr>
      <w:tr>
        <w:tc>
          <w:tcPr>
            <w:tcW w:type="dxa" w:w="1584"/>
            <w:shd w:val="clear" w:color="auto" w:fill="FFFFFF"/>
          </w:tcPr>
          <w:p>
            <w:pPr>
              <w:spacing w:before="40" w:after="40"/>
            </w:pPr>
            <w:r/>
            <w:r>
              <w:rPr>
                <w:rFonts w:ascii="Calibri" w:hAnsi="Calibri"/>
                <w:sz w:val="21"/>
              </w:rPr>
              <w:t>NFR-USE-04</w:t>
            </w:r>
          </w:p>
        </w:tc>
        <w:tc>
          <w:tcPr>
            <w:tcW w:type="dxa" w:w="1872"/>
            <w:shd w:val="clear" w:color="auto" w:fill="FFFFFF"/>
          </w:tcPr>
          <w:p>
            <w:pPr>
              <w:spacing w:before="40" w:after="40"/>
            </w:pPr>
            <w:r/>
            <w:r>
              <w:rPr>
                <w:rFonts w:ascii="Calibri" w:hAnsi="Calibri"/>
                <w:sz w:val="21"/>
              </w:rPr>
              <w:t>Usability</w:t>
            </w:r>
          </w:p>
        </w:tc>
        <w:tc>
          <w:tcPr>
            <w:tcW w:type="dxa" w:w="6048"/>
            <w:shd w:val="clear" w:color="auto" w:fill="FFFFFF"/>
          </w:tcPr>
          <w:p>
            <w:pPr>
              <w:spacing w:before="40" w:after="40"/>
            </w:pPr>
            <w:r/>
            <w:r>
              <w:rPr>
                <w:rFonts w:ascii="Calibri" w:hAnsi="Calibri"/>
                <w:sz w:val="21"/>
              </w:rPr>
              <w:t>Toast notifications shall provide immediate, non-blocking feedback for all create, update, and delete operations.</w:t>
            </w:r>
          </w:p>
        </w:tc>
      </w:tr>
      <w:tr>
        <w:tc>
          <w:tcPr>
            <w:tcW w:type="dxa" w:w="1584"/>
            <w:shd w:val="clear" w:color="auto" w:fill="F9FBFF"/>
          </w:tcPr>
          <w:p>
            <w:pPr>
              <w:spacing w:before="40" w:after="40"/>
            </w:pPr>
            <w:r/>
            <w:r>
              <w:rPr>
                <w:rFonts w:ascii="Calibri" w:hAnsi="Calibri"/>
                <w:sz w:val="21"/>
              </w:rPr>
              <w:t>NFR-REL-01</w:t>
            </w:r>
          </w:p>
        </w:tc>
        <w:tc>
          <w:tcPr>
            <w:tcW w:type="dxa" w:w="1872"/>
            <w:shd w:val="clear" w:color="auto" w:fill="F9FBFF"/>
          </w:tcPr>
          <w:p>
            <w:pPr>
              <w:spacing w:before="40" w:after="40"/>
            </w:pPr>
            <w:r/>
            <w:r>
              <w:rPr>
                <w:rFonts w:ascii="Calibri" w:hAnsi="Calibri"/>
                <w:sz w:val="21"/>
              </w:rPr>
              <w:t>Reliability</w:t>
            </w:r>
          </w:p>
        </w:tc>
        <w:tc>
          <w:tcPr>
            <w:tcW w:type="dxa" w:w="6048"/>
            <w:shd w:val="clear" w:color="auto" w:fill="F9FBFF"/>
          </w:tcPr>
          <w:p>
            <w:pPr>
              <w:spacing w:before="40" w:after="40"/>
            </w:pPr>
            <w:r/>
            <w:r>
              <w:rPr>
                <w:rFonts w:ascii="Calibri" w:hAnsi="Calibri"/>
                <w:sz w:val="21"/>
              </w:rPr>
              <w:t>The system shall implement global exception handling; unhandled errors shall return structured JSON error responses rather than stack traces.</w:t>
            </w:r>
          </w:p>
        </w:tc>
      </w:tr>
      <w:tr>
        <w:tc>
          <w:tcPr>
            <w:tcW w:type="dxa" w:w="1584"/>
            <w:shd w:val="clear" w:color="auto" w:fill="FFFFFF"/>
          </w:tcPr>
          <w:p>
            <w:pPr>
              <w:spacing w:before="40" w:after="40"/>
            </w:pPr>
            <w:r/>
            <w:r>
              <w:rPr>
                <w:rFonts w:ascii="Calibri" w:hAnsi="Calibri"/>
                <w:sz w:val="21"/>
              </w:rPr>
              <w:t>NFR-REL-02</w:t>
            </w:r>
          </w:p>
        </w:tc>
        <w:tc>
          <w:tcPr>
            <w:tcW w:type="dxa" w:w="1872"/>
            <w:shd w:val="clear" w:color="auto" w:fill="FFFFFF"/>
          </w:tcPr>
          <w:p>
            <w:pPr>
              <w:spacing w:before="40" w:after="40"/>
            </w:pPr>
            <w:r/>
            <w:r>
              <w:rPr>
                <w:rFonts w:ascii="Calibri" w:hAnsi="Calibri"/>
                <w:sz w:val="21"/>
              </w:rPr>
              <w:t>Reliability</w:t>
            </w:r>
          </w:p>
        </w:tc>
        <w:tc>
          <w:tcPr>
            <w:tcW w:type="dxa" w:w="6048"/>
            <w:shd w:val="clear" w:color="auto" w:fill="FFFFFF"/>
          </w:tcPr>
          <w:p>
            <w:pPr>
              <w:spacing w:before="40" w:after="40"/>
            </w:pPr>
            <w:r/>
            <w:r>
              <w:rPr>
                <w:rFonts w:ascii="Calibri" w:hAnsi="Calibri"/>
                <w:sz w:val="21"/>
              </w:rPr>
              <w:t>All critical database entities shall carry immutable creation timestamps and auditable last-modified timestamps.</w:t>
            </w:r>
          </w:p>
        </w:tc>
      </w:tr>
      <w:tr>
        <w:tc>
          <w:tcPr>
            <w:tcW w:type="dxa" w:w="1584"/>
            <w:shd w:val="clear" w:color="auto" w:fill="F9FBFF"/>
          </w:tcPr>
          <w:p>
            <w:pPr>
              <w:spacing w:before="40" w:after="40"/>
            </w:pPr>
            <w:r/>
            <w:r>
              <w:rPr>
                <w:rFonts w:ascii="Calibri" w:hAnsi="Calibri"/>
                <w:sz w:val="21"/>
              </w:rPr>
              <w:t>NFR-REL-03</w:t>
            </w:r>
          </w:p>
        </w:tc>
        <w:tc>
          <w:tcPr>
            <w:tcW w:type="dxa" w:w="1872"/>
            <w:shd w:val="clear" w:color="auto" w:fill="F9FBFF"/>
          </w:tcPr>
          <w:p>
            <w:pPr>
              <w:spacing w:before="40" w:after="40"/>
            </w:pPr>
            <w:r/>
            <w:r>
              <w:rPr>
                <w:rFonts w:ascii="Calibri" w:hAnsi="Calibri"/>
                <w:sz w:val="21"/>
              </w:rPr>
              <w:t>Reliability</w:t>
            </w:r>
          </w:p>
        </w:tc>
        <w:tc>
          <w:tcPr>
            <w:tcW w:type="dxa" w:w="6048"/>
            <w:shd w:val="clear" w:color="auto" w:fill="F9FBFF"/>
          </w:tcPr>
          <w:p>
            <w:pPr>
              <w:spacing w:before="40" w:after="40"/>
            </w:pPr>
            <w:r/>
            <w:r>
              <w:rPr>
                <w:rFonts w:ascii="Calibri" w:hAnsi="Calibri"/>
                <w:sz w:val="21"/>
              </w:rPr>
              <w:t>The application shall support a graceful startup sequence with schema validation via Hibernate DDL auto-create/update.</w:t>
            </w:r>
          </w:p>
        </w:tc>
      </w:tr>
      <w:tr>
        <w:tc>
          <w:tcPr>
            <w:tcW w:type="dxa" w:w="1584"/>
            <w:shd w:val="clear" w:color="auto" w:fill="FFFFFF"/>
          </w:tcPr>
          <w:p>
            <w:pPr>
              <w:spacing w:before="40" w:after="40"/>
            </w:pPr>
            <w:r/>
            <w:r>
              <w:rPr>
                <w:rFonts w:ascii="Calibri" w:hAnsi="Calibri"/>
                <w:sz w:val="21"/>
              </w:rPr>
              <w:t>NFR-MAINT-01</w:t>
            </w:r>
          </w:p>
        </w:tc>
        <w:tc>
          <w:tcPr>
            <w:tcW w:type="dxa" w:w="1872"/>
            <w:shd w:val="clear" w:color="auto" w:fill="FFFFFF"/>
          </w:tcPr>
          <w:p>
            <w:pPr>
              <w:spacing w:before="40" w:after="40"/>
            </w:pPr>
            <w:r/>
            <w:r>
              <w:rPr>
                <w:rFonts w:ascii="Calibri" w:hAnsi="Calibri"/>
                <w:sz w:val="21"/>
              </w:rPr>
              <w:t>Maintainability</w:t>
            </w:r>
          </w:p>
        </w:tc>
        <w:tc>
          <w:tcPr>
            <w:tcW w:type="dxa" w:w="6048"/>
            <w:shd w:val="clear" w:color="auto" w:fill="FFFFFF"/>
          </w:tcPr>
          <w:p>
            <w:pPr>
              <w:spacing w:before="40" w:after="40"/>
            </w:pPr>
            <w:r/>
            <w:r>
              <w:rPr>
                <w:rFonts w:ascii="Calibri" w:hAnsi="Calibri"/>
                <w:sz w:val="21"/>
              </w:rPr>
              <w:t>The codebase shall follow a layered MVC architecture with clear separation of Controller, Service, Repository, DTO, and Entity layers.</w:t>
            </w:r>
          </w:p>
        </w:tc>
      </w:tr>
      <w:tr>
        <w:tc>
          <w:tcPr>
            <w:tcW w:type="dxa" w:w="1584"/>
            <w:shd w:val="clear" w:color="auto" w:fill="F9FBFF"/>
          </w:tcPr>
          <w:p>
            <w:pPr>
              <w:spacing w:before="40" w:after="40"/>
            </w:pPr>
            <w:r/>
            <w:r>
              <w:rPr>
                <w:rFonts w:ascii="Calibri" w:hAnsi="Calibri"/>
                <w:sz w:val="21"/>
              </w:rPr>
              <w:t>NFR-MAINT-02</w:t>
            </w:r>
          </w:p>
        </w:tc>
        <w:tc>
          <w:tcPr>
            <w:tcW w:type="dxa" w:w="1872"/>
            <w:shd w:val="clear" w:color="auto" w:fill="F9FBFF"/>
          </w:tcPr>
          <w:p>
            <w:pPr>
              <w:spacing w:before="40" w:after="40"/>
            </w:pPr>
            <w:r/>
            <w:r>
              <w:rPr>
                <w:rFonts w:ascii="Calibri" w:hAnsi="Calibri"/>
                <w:sz w:val="21"/>
              </w:rPr>
              <w:t>Maintainability</w:t>
            </w:r>
          </w:p>
        </w:tc>
        <w:tc>
          <w:tcPr>
            <w:tcW w:type="dxa" w:w="6048"/>
            <w:shd w:val="clear" w:color="auto" w:fill="F9FBFF"/>
          </w:tcPr>
          <w:p>
            <w:pPr>
              <w:spacing w:before="40" w:after="40"/>
            </w:pPr>
            <w:r/>
            <w:r>
              <w:rPr>
                <w:rFonts w:ascii="Calibri" w:hAnsi="Calibri"/>
                <w:sz w:val="21"/>
              </w:rPr>
              <w:t>API documentation shall be auto-generated and accessible via Swagger UI (Springdoc OpenAPI) at the /swagger-ui.html endpoint.</w:t>
            </w:r>
          </w:p>
        </w:tc>
      </w:tr>
    </w:tbl>
    <w:p/>
    <w:p>
      <w:r>
        <w:br w:type="page"/>
      </w:r>
    </w:p>
    <w:p>
      <w:pPr>
        <w:pStyle w:val="Heading1"/>
        <w:spacing w:before="280" w:after="120"/>
      </w:pPr>
      <w:r>
        <w:t>8. Assumptions &amp; Constraints</w:t>
      </w:r>
    </w:p>
    <w:p>
      <w:pPr>
        <w:pStyle w:val="Heading2"/>
        <w:spacing w:before="200" w:after="80"/>
      </w:pPr>
      <w:r>
        <w:t>8.1  Assumptions</w:t>
      </w:r>
    </w:p>
    <w:p>
      <w:pPr>
        <w:spacing w:before="40" w:after="100" w:line="280" w:lineRule="exact"/>
      </w:pPr>
      <w:r>
        <w:t>The following assumptions have been made in the definition of requirements and design of the DMS:</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002C5F"/>
          </w:tcPr>
          <w:p>
            <w:pPr>
              <w:spacing w:before="60" w:after="60"/>
              <w:jc w:val="center"/>
            </w:pPr>
            <w:r/>
            <w:r>
              <w:rPr>
                <w:rFonts w:ascii="Calibri" w:hAnsi="Calibri"/>
                <w:b/>
                <w:color w:val="FFFFFF"/>
                <w:sz w:val="21"/>
              </w:rPr>
              <w:t>ID</w:t>
            </w:r>
          </w:p>
        </w:tc>
        <w:tc>
          <w:tcPr>
            <w:tcW w:type="dxa" w:w="2160"/>
            <w:shd w:val="clear" w:color="auto" w:fill="002C5F"/>
          </w:tcPr>
          <w:p>
            <w:pPr>
              <w:spacing w:before="60" w:after="60"/>
              <w:jc w:val="center"/>
            </w:pPr>
            <w:r/>
            <w:r>
              <w:rPr>
                <w:rFonts w:ascii="Calibri" w:hAnsi="Calibri"/>
                <w:b/>
                <w:color w:val="FFFFFF"/>
                <w:sz w:val="21"/>
              </w:rPr>
              <w:t>Category</w:t>
            </w:r>
          </w:p>
        </w:tc>
        <w:tc>
          <w:tcPr>
            <w:tcW w:type="dxa" w:w="6480"/>
            <w:shd w:val="clear" w:color="auto" w:fill="002C5F"/>
          </w:tcPr>
          <w:p>
            <w:pPr>
              <w:spacing w:before="60" w:after="60"/>
              <w:jc w:val="center"/>
            </w:pPr>
            <w:r/>
            <w:r>
              <w:rPr>
                <w:rFonts w:ascii="Calibri" w:hAnsi="Calibri"/>
                <w:b/>
                <w:color w:val="FFFFFF"/>
                <w:sz w:val="21"/>
              </w:rPr>
              <w:t>Assumption</w:t>
            </w:r>
          </w:p>
        </w:tc>
      </w:tr>
      <w:tr>
        <w:tc>
          <w:tcPr>
            <w:tcW w:type="dxa" w:w="1008"/>
            <w:shd w:val="clear" w:color="auto" w:fill="F9FBFF"/>
          </w:tcPr>
          <w:p>
            <w:pPr>
              <w:spacing w:before="40" w:after="40"/>
            </w:pPr>
            <w:r/>
            <w:r>
              <w:rPr>
                <w:rFonts w:ascii="Calibri" w:hAnsi="Calibri"/>
                <w:sz w:val="21"/>
              </w:rPr>
              <w:t>ASS-01</w:t>
            </w:r>
          </w:p>
        </w:tc>
        <w:tc>
          <w:tcPr>
            <w:tcW w:type="dxa" w:w="2160"/>
            <w:shd w:val="clear" w:color="auto" w:fill="F9FBFF"/>
          </w:tcPr>
          <w:p>
            <w:pPr>
              <w:spacing w:before="40" w:after="40"/>
            </w:pPr>
            <w:r/>
            <w:r>
              <w:rPr>
                <w:rFonts w:ascii="Calibri" w:hAnsi="Calibri"/>
                <w:sz w:val="21"/>
              </w:rPr>
              <w:t>Internet &amp; Network</w:t>
            </w:r>
          </w:p>
        </w:tc>
        <w:tc>
          <w:tcPr>
            <w:tcW w:type="dxa" w:w="6480"/>
            <w:shd w:val="clear" w:color="auto" w:fill="F9FBFF"/>
          </w:tcPr>
          <w:p>
            <w:pPr>
              <w:spacing w:before="40" w:after="40"/>
            </w:pPr>
            <w:r/>
            <w:r>
              <w:rPr>
                <w:rFonts w:ascii="Calibri" w:hAnsi="Calibri"/>
                <w:sz w:val="21"/>
              </w:rPr>
              <w:t>All users will have reliable access to a local area network or internet connection sufficient to run the web application; the system is not designed for offline use.</w:t>
            </w:r>
          </w:p>
        </w:tc>
      </w:tr>
      <w:tr>
        <w:tc>
          <w:tcPr>
            <w:tcW w:type="dxa" w:w="1008"/>
            <w:shd w:val="clear" w:color="auto" w:fill="FFFFFF"/>
          </w:tcPr>
          <w:p>
            <w:pPr>
              <w:spacing w:before="40" w:after="40"/>
            </w:pPr>
            <w:r/>
            <w:r>
              <w:rPr>
                <w:rFonts w:ascii="Calibri" w:hAnsi="Calibri"/>
                <w:sz w:val="21"/>
              </w:rPr>
              <w:t>ASS-02</w:t>
            </w:r>
          </w:p>
        </w:tc>
        <w:tc>
          <w:tcPr>
            <w:tcW w:type="dxa" w:w="2160"/>
            <w:shd w:val="clear" w:color="auto" w:fill="FFFFFF"/>
          </w:tcPr>
          <w:p>
            <w:pPr>
              <w:spacing w:before="40" w:after="40"/>
            </w:pPr>
            <w:r/>
            <w:r>
              <w:rPr>
                <w:rFonts w:ascii="Calibri" w:hAnsi="Calibri"/>
                <w:sz w:val="21"/>
              </w:rPr>
              <w:t>User Training</w:t>
            </w:r>
          </w:p>
        </w:tc>
        <w:tc>
          <w:tcPr>
            <w:tcW w:type="dxa" w:w="6480"/>
            <w:shd w:val="clear" w:color="auto" w:fill="FFFFFF"/>
          </w:tcPr>
          <w:p>
            <w:pPr>
              <w:spacing w:before="40" w:after="40"/>
            </w:pPr>
            <w:r/>
            <w:r>
              <w:rPr>
                <w:rFonts w:ascii="Calibri" w:hAnsi="Calibri"/>
                <w:sz w:val="21"/>
              </w:rPr>
              <w:t>All internal users (Super Admin, Dealer Manager, Sales Executive) will receive adequate training prior to production deployment; the system assumes basic computer literacy.</w:t>
            </w:r>
          </w:p>
        </w:tc>
      </w:tr>
      <w:tr>
        <w:tc>
          <w:tcPr>
            <w:tcW w:type="dxa" w:w="1008"/>
            <w:shd w:val="clear" w:color="auto" w:fill="F9FBFF"/>
          </w:tcPr>
          <w:p>
            <w:pPr>
              <w:spacing w:before="40" w:after="40"/>
            </w:pPr>
            <w:r/>
            <w:r>
              <w:rPr>
                <w:rFonts w:ascii="Calibri" w:hAnsi="Calibri"/>
                <w:sz w:val="21"/>
              </w:rPr>
              <w:t>ASS-03</w:t>
            </w:r>
          </w:p>
        </w:tc>
        <w:tc>
          <w:tcPr>
            <w:tcW w:type="dxa" w:w="2160"/>
            <w:shd w:val="clear" w:color="auto" w:fill="F9FBFF"/>
          </w:tcPr>
          <w:p>
            <w:pPr>
              <w:spacing w:before="40" w:after="40"/>
            </w:pPr>
            <w:r/>
            <w:r>
              <w:rPr>
                <w:rFonts w:ascii="Calibri" w:hAnsi="Calibri"/>
                <w:sz w:val="21"/>
              </w:rPr>
              <w:t>Data Completeness</w:t>
            </w:r>
          </w:p>
        </w:tc>
        <w:tc>
          <w:tcPr>
            <w:tcW w:type="dxa" w:w="6480"/>
            <w:shd w:val="clear" w:color="auto" w:fill="F9FBFF"/>
          </w:tcPr>
          <w:p>
            <w:pPr>
              <w:spacing w:before="40" w:after="40"/>
            </w:pPr>
            <w:r/>
            <w:r>
              <w:rPr>
                <w:rFonts w:ascii="Calibri" w:hAnsi="Calibri"/>
                <w:sz w:val="21"/>
              </w:rPr>
              <w:t>Vehicle model and variant master data will be pre-loaded by the Super Admin before Sales Executive users begin operational use.</w:t>
            </w:r>
          </w:p>
        </w:tc>
      </w:tr>
      <w:tr>
        <w:tc>
          <w:tcPr>
            <w:tcW w:type="dxa" w:w="1008"/>
            <w:shd w:val="clear" w:color="auto" w:fill="FFFFFF"/>
          </w:tcPr>
          <w:p>
            <w:pPr>
              <w:spacing w:before="40" w:after="40"/>
            </w:pPr>
            <w:r/>
            <w:r>
              <w:rPr>
                <w:rFonts w:ascii="Calibri" w:hAnsi="Calibri"/>
                <w:sz w:val="21"/>
              </w:rPr>
              <w:t>ASS-04</w:t>
            </w:r>
          </w:p>
        </w:tc>
        <w:tc>
          <w:tcPr>
            <w:tcW w:type="dxa" w:w="2160"/>
            <w:shd w:val="clear" w:color="auto" w:fill="FFFFFF"/>
          </w:tcPr>
          <w:p>
            <w:pPr>
              <w:spacing w:before="40" w:after="40"/>
            </w:pPr>
            <w:r/>
            <w:r>
              <w:rPr>
                <w:rFonts w:ascii="Calibri" w:hAnsi="Calibri"/>
                <w:sz w:val="21"/>
              </w:rPr>
              <w:t>Single Browser Support</w:t>
            </w:r>
          </w:p>
        </w:tc>
        <w:tc>
          <w:tcPr>
            <w:tcW w:type="dxa" w:w="6480"/>
            <w:shd w:val="clear" w:color="auto" w:fill="FFFFFF"/>
          </w:tcPr>
          <w:p>
            <w:pPr>
              <w:spacing w:before="40" w:after="40"/>
            </w:pPr>
            <w:r/>
            <w:r>
              <w:rPr>
                <w:rFonts w:ascii="Calibri" w:hAnsi="Calibri"/>
                <w:sz w:val="21"/>
              </w:rPr>
              <w:t>The application is optimised for modern Chromium-based browsers (Chrome, Edge) and Firefox; compatibility with legacy browsers (IE11) is not guaranteed.</w:t>
            </w:r>
          </w:p>
        </w:tc>
      </w:tr>
      <w:tr>
        <w:tc>
          <w:tcPr>
            <w:tcW w:type="dxa" w:w="1008"/>
            <w:shd w:val="clear" w:color="auto" w:fill="F9FBFF"/>
          </w:tcPr>
          <w:p>
            <w:pPr>
              <w:spacing w:before="40" w:after="40"/>
            </w:pPr>
            <w:r/>
            <w:r>
              <w:rPr>
                <w:rFonts w:ascii="Calibri" w:hAnsi="Calibri"/>
                <w:sz w:val="21"/>
              </w:rPr>
              <w:t>ASS-05</w:t>
            </w:r>
          </w:p>
        </w:tc>
        <w:tc>
          <w:tcPr>
            <w:tcW w:type="dxa" w:w="2160"/>
            <w:shd w:val="clear" w:color="auto" w:fill="F9FBFF"/>
          </w:tcPr>
          <w:p>
            <w:pPr>
              <w:spacing w:before="40" w:after="40"/>
            </w:pPr>
            <w:r/>
            <w:r>
              <w:rPr>
                <w:rFonts w:ascii="Calibri" w:hAnsi="Calibri"/>
                <w:sz w:val="21"/>
              </w:rPr>
              <w:t>Dealership Pre-Config</w:t>
            </w:r>
          </w:p>
        </w:tc>
        <w:tc>
          <w:tcPr>
            <w:tcW w:type="dxa" w:w="6480"/>
            <w:shd w:val="clear" w:color="auto" w:fill="F9FBFF"/>
          </w:tcPr>
          <w:p>
            <w:pPr>
              <w:spacing w:before="40" w:after="40"/>
            </w:pPr>
            <w:r/>
            <w:r>
              <w:rPr>
                <w:rFonts w:ascii="Calibri" w:hAnsi="Calibri"/>
                <w:sz w:val="21"/>
              </w:rPr>
              <w:t>At least one active dealership record must exist in the system before user registration and operational use can commence.</w:t>
            </w:r>
          </w:p>
        </w:tc>
      </w:tr>
      <w:tr>
        <w:tc>
          <w:tcPr>
            <w:tcW w:type="dxa" w:w="1008"/>
            <w:shd w:val="clear" w:color="auto" w:fill="FFFFFF"/>
          </w:tcPr>
          <w:p>
            <w:pPr>
              <w:spacing w:before="40" w:after="40"/>
            </w:pPr>
            <w:r/>
            <w:r>
              <w:rPr>
                <w:rFonts w:ascii="Calibri" w:hAnsi="Calibri"/>
                <w:sz w:val="21"/>
              </w:rPr>
              <w:t>ASS-06</w:t>
            </w:r>
          </w:p>
        </w:tc>
        <w:tc>
          <w:tcPr>
            <w:tcW w:type="dxa" w:w="2160"/>
            <w:shd w:val="clear" w:color="auto" w:fill="FFFFFF"/>
          </w:tcPr>
          <w:p>
            <w:pPr>
              <w:spacing w:before="40" w:after="40"/>
            </w:pPr>
            <w:r/>
            <w:r>
              <w:rPr>
                <w:rFonts w:ascii="Calibri" w:hAnsi="Calibri"/>
                <w:sz w:val="21"/>
              </w:rPr>
              <w:t>KYC Verification</w:t>
            </w:r>
          </w:p>
        </w:tc>
        <w:tc>
          <w:tcPr>
            <w:tcW w:type="dxa" w:w="6480"/>
            <w:shd w:val="clear" w:color="auto" w:fill="FFFFFF"/>
          </w:tcPr>
          <w:p>
            <w:pPr>
              <w:spacing w:before="40" w:after="40"/>
            </w:pPr>
            <w:r/>
            <w:r>
              <w:rPr>
                <w:rFonts w:ascii="Calibri" w:hAnsi="Calibri"/>
                <w:sz w:val="21"/>
              </w:rPr>
              <w:t>The system stores KYC document details (PAN, Aadhaar) as entered by the Sales Executive; actual document verification is performed offline and is outside the scope of the application.</w:t>
            </w:r>
          </w:p>
        </w:tc>
      </w:tr>
      <w:tr>
        <w:tc>
          <w:tcPr>
            <w:tcW w:type="dxa" w:w="1008"/>
            <w:shd w:val="clear" w:color="auto" w:fill="F9FBFF"/>
          </w:tcPr>
          <w:p>
            <w:pPr>
              <w:spacing w:before="40" w:after="40"/>
            </w:pPr>
            <w:r/>
            <w:r>
              <w:rPr>
                <w:rFonts w:ascii="Calibri" w:hAnsi="Calibri"/>
                <w:sz w:val="21"/>
              </w:rPr>
              <w:t>ASS-07</w:t>
            </w:r>
          </w:p>
        </w:tc>
        <w:tc>
          <w:tcPr>
            <w:tcW w:type="dxa" w:w="2160"/>
            <w:shd w:val="clear" w:color="auto" w:fill="F9FBFF"/>
          </w:tcPr>
          <w:p>
            <w:pPr>
              <w:spacing w:before="40" w:after="40"/>
            </w:pPr>
            <w:r/>
            <w:r>
              <w:rPr>
                <w:rFonts w:ascii="Calibri" w:hAnsi="Calibri"/>
                <w:sz w:val="21"/>
              </w:rPr>
              <w:t>Single Currency</w:t>
            </w:r>
          </w:p>
        </w:tc>
        <w:tc>
          <w:tcPr>
            <w:tcW w:type="dxa" w:w="6480"/>
            <w:shd w:val="clear" w:color="auto" w:fill="F9FBFF"/>
          </w:tcPr>
          <w:p>
            <w:pPr>
              <w:spacing w:before="40" w:after="40"/>
            </w:pPr>
            <w:r/>
            <w:r>
              <w:rPr>
                <w:rFonts w:ascii="Calibri" w:hAnsi="Calibri"/>
                <w:sz w:val="21"/>
              </w:rPr>
              <w:t>All monetary values are assumed to be in Indian Rupees (INR); multi-currency support is not required.</w:t>
            </w:r>
          </w:p>
        </w:tc>
      </w:tr>
      <w:tr>
        <w:tc>
          <w:tcPr>
            <w:tcW w:type="dxa" w:w="1008"/>
            <w:shd w:val="clear" w:color="auto" w:fill="FFFFFF"/>
          </w:tcPr>
          <w:p>
            <w:pPr>
              <w:spacing w:before="40" w:after="40"/>
            </w:pPr>
            <w:r/>
            <w:r>
              <w:rPr>
                <w:rFonts w:ascii="Calibri" w:hAnsi="Calibri"/>
                <w:sz w:val="21"/>
              </w:rPr>
              <w:t>ASS-08</w:t>
            </w:r>
          </w:p>
        </w:tc>
        <w:tc>
          <w:tcPr>
            <w:tcW w:type="dxa" w:w="2160"/>
            <w:shd w:val="clear" w:color="auto" w:fill="FFFFFF"/>
          </w:tcPr>
          <w:p>
            <w:pPr>
              <w:spacing w:before="40" w:after="40"/>
            </w:pPr>
            <w:r/>
            <w:r>
              <w:rPr>
                <w:rFonts w:ascii="Calibri" w:hAnsi="Calibri"/>
                <w:sz w:val="21"/>
              </w:rPr>
              <w:t>Database Availability</w:t>
            </w:r>
          </w:p>
        </w:tc>
        <w:tc>
          <w:tcPr>
            <w:tcW w:type="dxa" w:w="6480"/>
            <w:shd w:val="clear" w:color="auto" w:fill="FFFFFF"/>
          </w:tcPr>
          <w:p>
            <w:pPr>
              <w:spacing w:before="40" w:after="40"/>
            </w:pPr>
            <w:r/>
            <w:r>
              <w:rPr>
                <w:rFonts w:ascii="Calibri" w:hAnsi="Calibri"/>
                <w:sz w:val="21"/>
              </w:rPr>
              <w:t>MySQL 8.0 will be available and accessible to the Spring Boot application at the configured JDBC URL at all times during operation.</w:t>
            </w:r>
          </w:p>
        </w:tc>
      </w:tr>
    </w:tbl>
    <w:p/>
    <w:p>
      <w:pPr>
        <w:pBdr>
          <w:bottom w:val="single" w:sz="6" w:space="1" w:color="D0D8E4"/>
        </w:pBdr>
        <w:spacing w:before="120" w:after="120"/>
      </w:pPr>
    </w:p>
    <w:p>
      <w:pPr>
        <w:pStyle w:val="Heading2"/>
        <w:spacing w:before="200" w:after="80"/>
      </w:pPr>
      <w:r>
        <w:t>8.2  Constraints</w:t>
      </w:r>
    </w:p>
    <w:p>
      <w:pPr>
        <w:spacing w:before="40" w:after="100" w:line="280" w:lineRule="exact"/>
      </w:pPr>
      <w:r>
        <w:t>The following constraints are imposed on the project and must be respected during design, development, and deployment:</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002C5F"/>
          </w:tcPr>
          <w:p>
            <w:pPr>
              <w:spacing w:before="60" w:after="60"/>
              <w:jc w:val="center"/>
            </w:pPr>
            <w:r/>
            <w:r>
              <w:rPr>
                <w:rFonts w:ascii="Calibri" w:hAnsi="Calibri"/>
                <w:b/>
                <w:color w:val="FFFFFF"/>
                <w:sz w:val="21"/>
              </w:rPr>
              <w:t>ID</w:t>
            </w:r>
          </w:p>
        </w:tc>
        <w:tc>
          <w:tcPr>
            <w:tcW w:type="dxa" w:w="2160"/>
            <w:shd w:val="clear" w:color="auto" w:fill="002C5F"/>
          </w:tcPr>
          <w:p>
            <w:pPr>
              <w:spacing w:before="60" w:after="60"/>
              <w:jc w:val="center"/>
            </w:pPr>
            <w:r/>
            <w:r>
              <w:rPr>
                <w:rFonts w:ascii="Calibri" w:hAnsi="Calibri"/>
                <w:b/>
                <w:color w:val="FFFFFF"/>
                <w:sz w:val="21"/>
              </w:rPr>
              <w:t>Category</w:t>
            </w:r>
          </w:p>
        </w:tc>
        <w:tc>
          <w:tcPr>
            <w:tcW w:type="dxa" w:w="6480"/>
            <w:shd w:val="clear" w:color="auto" w:fill="002C5F"/>
          </w:tcPr>
          <w:p>
            <w:pPr>
              <w:spacing w:before="60" w:after="60"/>
              <w:jc w:val="center"/>
            </w:pPr>
            <w:r/>
            <w:r>
              <w:rPr>
                <w:rFonts w:ascii="Calibri" w:hAnsi="Calibri"/>
                <w:b/>
                <w:color w:val="FFFFFF"/>
                <w:sz w:val="21"/>
              </w:rPr>
              <w:t>Constraint</w:t>
            </w:r>
          </w:p>
        </w:tc>
      </w:tr>
      <w:tr>
        <w:tc>
          <w:tcPr>
            <w:tcW w:type="dxa" w:w="1008"/>
            <w:shd w:val="clear" w:color="auto" w:fill="F9FBFF"/>
          </w:tcPr>
          <w:p>
            <w:pPr>
              <w:spacing w:before="40" w:after="40"/>
            </w:pPr>
            <w:r/>
            <w:r>
              <w:rPr>
                <w:rFonts w:ascii="Calibri" w:hAnsi="Calibri"/>
                <w:sz w:val="21"/>
              </w:rPr>
              <w:t>CON-01</w:t>
            </w:r>
          </w:p>
        </w:tc>
        <w:tc>
          <w:tcPr>
            <w:tcW w:type="dxa" w:w="2160"/>
            <w:shd w:val="clear" w:color="auto" w:fill="F9FBFF"/>
          </w:tcPr>
          <w:p>
            <w:pPr>
              <w:spacing w:before="40" w:after="40"/>
            </w:pPr>
            <w:r/>
            <w:r>
              <w:rPr>
                <w:rFonts w:ascii="Calibri" w:hAnsi="Calibri"/>
                <w:sz w:val="21"/>
              </w:rPr>
              <w:t>Technology Stack</w:t>
            </w:r>
          </w:p>
        </w:tc>
        <w:tc>
          <w:tcPr>
            <w:tcW w:type="dxa" w:w="6480"/>
            <w:shd w:val="clear" w:color="auto" w:fill="F9FBFF"/>
          </w:tcPr>
          <w:p>
            <w:pPr>
              <w:spacing w:before="40" w:after="40"/>
            </w:pPr>
            <w:r/>
            <w:r>
              <w:rPr>
                <w:rFonts w:ascii="Calibri" w:hAnsi="Calibri"/>
                <w:sz w:val="21"/>
              </w:rPr>
              <w:t>The backend must be implemented using Spring Boot 3.x (Java 21) with Spring Security and Spring Data JPA. The frontend must use React 18 with Vite. The database must be MySQL 8.0.</w:t>
            </w:r>
          </w:p>
        </w:tc>
      </w:tr>
      <w:tr>
        <w:tc>
          <w:tcPr>
            <w:tcW w:type="dxa" w:w="1008"/>
            <w:shd w:val="clear" w:color="auto" w:fill="FFFFFF"/>
          </w:tcPr>
          <w:p>
            <w:pPr>
              <w:spacing w:before="40" w:after="40"/>
            </w:pPr>
            <w:r/>
            <w:r>
              <w:rPr>
                <w:rFonts w:ascii="Calibri" w:hAnsi="Calibri"/>
                <w:sz w:val="21"/>
              </w:rPr>
              <w:t>CON-02</w:t>
            </w:r>
          </w:p>
        </w:tc>
        <w:tc>
          <w:tcPr>
            <w:tcW w:type="dxa" w:w="2160"/>
            <w:shd w:val="clear" w:color="auto" w:fill="FFFFFF"/>
          </w:tcPr>
          <w:p>
            <w:pPr>
              <w:spacing w:before="40" w:after="40"/>
            </w:pPr>
            <w:r/>
            <w:r>
              <w:rPr>
                <w:rFonts w:ascii="Calibri" w:hAnsi="Calibri"/>
                <w:sz w:val="21"/>
              </w:rPr>
              <w:t>Authentication</w:t>
            </w:r>
          </w:p>
        </w:tc>
        <w:tc>
          <w:tcPr>
            <w:tcW w:type="dxa" w:w="6480"/>
            <w:shd w:val="clear" w:color="auto" w:fill="FFFFFF"/>
          </w:tcPr>
          <w:p>
            <w:pPr>
              <w:spacing w:before="40" w:after="40"/>
            </w:pPr>
            <w:r/>
            <w:r>
              <w:rPr>
                <w:rFonts w:ascii="Calibri" w:hAnsi="Calibri"/>
                <w:sz w:val="21"/>
              </w:rPr>
              <w:t>Authentication must be token-based using JWT (JJWT 0.11.5). Session-based or OAuth2 authentication is not permitted in this version.</w:t>
            </w:r>
          </w:p>
        </w:tc>
      </w:tr>
      <w:tr>
        <w:tc>
          <w:tcPr>
            <w:tcW w:type="dxa" w:w="1008"/>
            <w:shd w:val="clear" w:color="auto" w:fill="F9FBFF"/>
          </w:tcPr>
          <w:p>
            <w:pPr>
              <w:spacing w:before="40" w:after="40"/>
            </w:pPr>
            <w:r/>
            <w:r>
              <w:rPr>
                <w:rFonts w:ascii="Calibri" w:hAnsi="Calibri"/>
                <w:sz w:val="21"/>
              </w:rPr>
              <w:t>CON-03</w:t>
            </w:r>
          </w:p>
        </w:tc>
        <w:tc>
          <w:tcPr>
            <w:tcW w:type="dxa" w:w="2160"/>
            <w:shd w:val="clear" w:color="auto" w:fill="F9FBFF"/>
          </w:tcPr>
          <w:p>
            <w:pPr>
              <w:spacing w:before="40" w:after="40"/>
            </w:pPr>
            <w:r/>
            <w:r>
              <w:rPr>
                <w:rFonts w:ascii="Calibri" w:hAnsi="Calibri"/>
                <w:sz w:val="21"/>
              </w:rPr>
              <w:t>Build Tool</w:t>
            </w:r>
          </w:p>
        </w:tc>
        <w:tc>
          <w:tcPr>
            <w:tcW w:type="dxa" w:w="6480"/>
            <w:shd w:val="clear" w:color="auto" w:fill="F9FBFF"/>
          </w:tcPr>
          <w:p>
            <w:pPr>
              <w:spacing w:before="40" w:after="40"/>
            </w:pPr>
            <w:r/>
            <w:r>
              <w:rPr>
                <w:rFonts w:ascii="Calibri" w:hAnsi="Calibri"/>
                <w:sz w:val="21"/>
              </w:rPr>
              <w:t>Maven is the mandated build and dependency management tool for the backend; npm/Vite for the frontend.</w:t>
            </w:r>
          </w:p>
        </w:tc>
      </w:tr>
      <w:tr>
        <w:tc>
          <w:tcPr>
            <w:tcW w:type="dxa" w:w="1008"/>
            <w:shd w:val="clear" w:color="auto" w:fill="FFFFFF"/>
          </w:tcPr>
          <w:p>
            <w:pPr>
              <w:spacing w:before="40" w:after="40"/>
            </w:pPr>
            <w:r/>
            <w:r>
              <w:rPr>
                <w:rFonts w:ascii="Calibri" w:hAnsi="Calibri"/>
                <w:sz w:val="21"/>
              </w:rPr>
              <w:t>CON-04</w:t>
            </w:r>
          </w:p>
        </w:tc>
        <w:tc>
          <w:tcPr>
            <w:tcW w:type="dxa" w:w="2160"/>
            <w:shd w:val="clear" w:color="auto" w:fill="FFFFFF"/>
          </w:tcPr>
          <w:p>
            <w:pPr>
              <w:spacing w:before="40" w:after="40"/>
            </w:pPr>
            <w:r/>
            <w:r>
              <w:rPr>
                <w:rFonts w:ascii="Calibri" w:hAnsi="Calibri"/>
                <w:sz w:val="21"/>
              </w:rPr>
              <w:t>Project Timeline</w:t>
            </w:r>
          </w:p>
        </w:tc>
        <w:tc>
          <w:tcPr>
            <w:tcW w:type="dxa" w:w="6480"/>
            <w:shd w:val="clear" w:color="auto" w:fill="FFFFFF"/>
          </w:tcPr>
          <w:p>
            <w:pPr>
              <w:spacing w:before="40" w:after="40"/>
            </w:pPr>
            <w:r/>
            <w:r>
              <w:rPr>
                <w:rFonts w:ascii="Calibri" w:hAnsi="Calibri"/>
                <w:sz w:val="21"/>
              </w:rPr>
              <w:t>The DMS is developed within an academic project cycle; scope must be achievable within the allocated semester timeline.</w:t>
            </w:r>
          </w:p>
        </w:tc>
      </w:tr>
      <w:tr>
        <w:tc>
          <w:tcPr>
            <w:tcW w:type="dxa" w:w="1008"/>
            <w:shd w:val="clear" w:color="auto" w:fill="F9FBFF"/>
          </w:tcPr>
          <w:p>
            <w:pPr>
              <w:spacing w:before="40" w:after="40"/>
            </w:pPr>
            <w:r/>
            <w:r>
              <w:rPr>
                <w:rFonts w:ascii="Calibri" w:hAnsi="Calibri"/>
                <w:sz w:val="21"/>
              </w:rPr>
              <w:t>CON-05</w:t>
            </w:r>
          </w:p>
        </w:tc>
        <w:tc>
          <w:tcPr>
            <w:tcW w:type="dxa" w:w="2160"/>
            <w:shd w:val="clear" w:color="auto" w:fill="F9FBFF"/>
          </w:tcPr>
          <w:p>
            <w:pPr>
              <w:spacing w:before="40" w:after="40"/>
            </w:pPr>
            <w:r/>
            <w:r>
              <w:rPr>
                <w:rFonts w:ascii="Calibri" w:hAnsi="Calibri"/>
                <w:sz w:val="21"/>
              </w:rPr>
              <w:t>No External APIs</w:t>
            </w:r>
          </w:p>
        </w:tc>
        <w:tc>
          <w:tcPr>
            <w:tcW w:type="dxa" w:w="6480"/>
            <w:shd w:val="clear" w:color="auto" w:fill="F9FBFF"/>
          </w:tcPr>
          <w:p>
            <w:pPr>
              <w:spacing w:before="40" w:after="40"/>
            </w:pPr>
            <w:r/>
            <w:r>
              <w:rPr>
                <w:rFonts w:ascii="Calibri" w:hAnsi="Calibri"/>
                <w:sz w:val="21"/>
              </w:rPr>
              <w:t>The system shall not integrate with external third-party APIs (payment gateways, Hyundai OEM systems, insurance APIs) in this version.</w:t>
            </w:r>
          </w:p>
        </w:tc>
      </w:tr>
      <w:tr>
        <w:tc>
          <w:tcPr>
            <w:tcW w:type="dxa" w:w="1008"/>
            <w:shd w:val="clear" w:color="auto" w:fill="FFFFFF"/>
          </w:tcPr>
          <w:p>
            <w:pPr>
              <w:spacing w:before="40" w:after="40"/>
            </w:pPr>
            <w:r/>
            <w:r>
              <w:rPr>
                <w:rFonts w:ascii="Calibri" w:hAnsi="Calibri"/>
                <w:sz w:val="21"/>
              </w:rPr>
              <w:t>CON-06</w:t>
            </w:r>
          </w:p>
        </w:tc>
        <w:tc>
          <w:tcPr>
            <w:tcW w:type="dxa" w:w="2160"/>
            <w:shd w:val="clear" w:color="auto" w:fill="FFFFFF"/>
          </w:tcPr>
          <w:p>
            <w:pPr>
              <w:spacing w:before="40" w:after="40"/>
            </w:pPr>
            <w:r/>
            <w:r>
              <w:rPr>
                <w:rFonts w:ascii="Calibri" w:hAnsi="Calibri"/>
                <w:sz w:val="21"/>
              </w:rPr>
              <w:t>API-First Design</w:t>
            </w:r>
          </w:p>
        </w:tc>
        <w:tc>
          <w:tcPr>
            <w:tcW w:type="dxa" w:w="6480"/>
            <w:shd w:val="clear" w:color="auto" w:fill="FFFFFF"/>
          </w:tcPr>
          <w:p>
            <w:pPr>
              <w:spacing w:before="40" w:after="40"/>
            </w:pPr>
            <w:r/>
            <w:r>
              <w:rPr>
                <w:rFonts w:ascii="Calibri" w:hAnsi="Calibri"/>
                <w:sz w:val="21"/>
              </w:rPr>
              <w:t>All frontend-backend communication must occur exclusively via RESTful HTTP APIs; direct database access from the frontend is prohibited.</w:t>
            </w:r>
          </w:p>
        </w:tc>
      </w:tr>
      <w:tr>
        <w:tc>
          <w:tcPr>
            <w:tcW w:type="dxa" w:w="1008"/>
            <w:shd w:val="clear" w:color="auto" w:fill="F9FBFF"/>
          </w:tcPr>
          <w:p>
            <w:pPr>
              <w:spacing w:before="40" w:after="40"/>
            </w:pPr>
            <w:r/>
            <w:r>
              <w:rPr>
                <w:rFonts w:ascii="Calibri" w:hAnsi="Calibri"/>
                <w:sz w:val="21"/>
              </w:rPr>
              <w:t>CON-07</w:t>
            </w:r>
          </w:p>
        </w:tc>
        <w:tc>
          <w:tcPr>
            <w:tcW w:type="dxa" w:w="2160"/>
            <w:shd w:val="clear" w:color="auto" w:fill="F9FBFF"/>
          </w:tcPr>
          <w:p>
            <w:pPr>
              <w:spacing w:before="40" w:after="40"/>
            </w:pPr>
            <w:r/>
            <w:r>
              <w:rPr>
                <w:rFonts w:ascii="Calibri" w:hAnsi="Calibri"/>
                <w:sz w:val="21"/>
              </w:rPr>
              <w:t>Data Privacy</w:t>
            </w:r>
          </w:p>
        </w:tc>
        <w:tc>
          <w:tcPr>
            <w:tcW w:type="dxa" w:w="6480"/>
            <w:shd w:val="clear" w:color="auto" w:fill="F9FBFF"/>
          </w:tcPr>
          <w:p>
            <w:pPr>
              <w:spacing w:before="40" w:after="40"/>
            </w:pPr>
            <w:r/>
            <w:r>
              <w:rPr>
                <w:rFonts w:ascii="Calibri" w:hAnsi="Calibri"/>
                <w:sz w:val="21"/>
              </w:rPr>
              <w:t>No real customer data shall be used during development and testing; all demo data shall be fabricated for academic purposes.</w:t>
            </w:r>
          </w:p>
        </w:tc>
      </w:tr>
      <w:tr>
        <w:tc>
          <w:tcPr>
            <w:tcW w:type="dxa" w:w="1008"/>
            <w:shd w:val="clear" w:color="auto" w:fill="FFFFFF"/>
          </w:tcPr>
          <w:p>
            <w:pPr>
              <w:spacing w:before="40" w:after="40"/>
            </w:pPr>
            <w:r/>
            <w:r>
              <w:rPr>
                <w:rFonts w:ascii="Calibri" w:hAnsi="Calibri"/>
                <w:sz w:val="21"/>
              </w:rPr>
              <w:t>CON-08</w:t>
            </w:r>
          </w:p>
        </w:tc>
        <w:tc>
          <w:tcPr>
            <w:tcW w:type="dxa" w:w="2160"/>
            <w:shd w:val="clear" w:color="auto" w:fill="FFFFFF"/>
          </w:tcPr>
          <w:p>
            <w:pPr>
              <w:spacing w:before="40" w:after="40"/>
            </w:pPr>
            <w:r/>
            <w:r>
              <w:rPr>
                <w:rFonts w:ascii="Calibri" w:hAnsi="Calibri"/>
                <w:sz w:val="21"/>
              </w:rPr>
              <w:t>Infrastructure</w:t>
            </w:r>
          </w:p>
        </w:tc>
        <w:tc>
          <w:tcPr>
            <w:tcW w:type="dxa" w:w="6480"/>
            <w:shd w:val="clear" w:color="auto" w:fill="FFFFFF"/>
          </w:tcPr>
          <w:p>
            <w:pPr>
              <w:spacing w:before="40" w:after="40"/>
            </w:pPr>
            <w:r/>
            <w:r>
              <w:rPr>
                <w:rFonts w:ascii="Calibri" w:hAnsi="Calibri"/>
                <w:sz w:val="21"/>
              </w:rPr>
              <w:t>The application will run on a single-server development/staging environment; distributed or cloud deployment is outside the current scope.</w:t>
            </w:r>
          </w:p>
        </w:tc>
      </w:tr>
    </w:tbl>
    <w:p/>
    <w:p>
      <w:r>
        <w:br w:type="page"/>
      </w:r>
    </w:p>
    <w:p>
      <w:pPr>
        <w:pStyle w:val="Heading1"/>
        <w:spacing w:before="280" w:after="120"/>
      </w:pPr>
      <w:r>
        <w:t>9. Risk Assessment</w:t>
      </w:r>
    </w:p>
    <w:p>
      <w:pPr>
        <w:spacing w:before="40" w:after="100" w:line="280" w:lineRule="exact"/>
      </w:pPr>
      <w:r>
        <w:t>The following risks have been identified for the DMS project. Each risk is assessed by likelihood and impact, and a mitigation strategy is defined.</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792"/>
            <w:shd w:val="clear" w:color="auto" w:fill="002C5F"/>
          </w:tcPr>
          <w:p>
            <w:pPr>
              <w:jc w:val="center"/>
            </w:pPr>
            <w:r/>
            <w:r>
              <w:rPr>
                <w:rFonts w:ascii="Calibri" w:hAnsi="Calibri"/>
                <w:b/>
                <w:color w:val="FFFFFF"/>
                <w:sz w:val="19"/>
              </w:rPr>
              <w:t>ID</w:t>
            </w:r>
          </w:p>
        </w:tc>
        <w:tc>
          <w:tcPr>
            <w:tcW w:type="dxa" w:w="1584"/>
            <w:shd w:val="clear" w:color="auto" w:fill="002C5F"/>
          </w:tcPr>
          <w:p>
            <w:pPr>
              <w:jc w:val="center"/>
            </w:pPr>
            <w:r/>
            <w:r>
              <w:rPr>
                <w:rFonts w:ascii="Calibri" w:hAnsi="Calibri"/>
                <w:b/>
                <w:color w:val="FFFFFF"/>
                <w:sz w:val="19"/>
              </w:rPr>
              <w:t>Risk</w:t>
            </w:r>
          </w:p>
        </w:tc>
        <w:tc>
          <w:tcPr>
            <w:tcW w:type="dxa" w:w="936"/>
            <w:shd w:val="clear" w:color="auto" w:fill="002C5F"/>
          </w:tcPr>
          <w:p>
            <w:pPr>
              <w:jc w:val="center"/>
            </w:pPr>
            <w:r/>
            <w:r>
              <w:rPr>
                <w:rFonts w:ascii="Calibri" w:hAnsi="Calibri"/>
                <w:b/>
                <w:color w:val="FFFFFF"/>
                <w:sz w:val="19"/>
              </w:rPr>
              <w:t>Likelihood</w:t>
            </w:r>
          </w:p>
        </w:tc>
        <w:tc>
          <w:tcPr>
            <w:tcW w:type="dxa" w:w="792"/>
            <w:shd w:val="clear" w:color="auto" w:fill="002C5F"/>
          </w:tcPr>
          <w:p>
            <w:pPr>
              <w:jc w:val="center"/>
            </w:pPr>
            <w:r/>
            <w:r>
              <w:rPr>
                <w:rFonts w:ascii="Calibri" w:hAnsi="Calibri"/>
                <w:b/>
                <w:color w:val="FFFFFF"/>
                <w:sz w:val="19"/>
              </w:rPr>
              <w:t>Impact</w:t>
            </w:r>
          </w:p>
        </w:tc>
        <w:tc>
          <w:tcPr>
            <w:tcW w:type="dxa" w:w="936"/>
            <w:shd w:val="clear" w:color="auto" w:fill="002C5F"/>
          </w:tcPr>
          <w:p>
            <w:pPr>
              <w:jc w:val="center"/>
            </w:pPr>
            <w:r/>
            <w:r>
              <w:rPr>
                <w:rFonts w:ascii="Calibri" w:hAnsi="Calibri"/>
                <w:b/>
                <w:color w:val="FFFFFF"/>
                <w:sz w:val="19"/>
              </w:rPr>
              <w:t>Severity</w:t>
            </w:r>
          </w:p>
        </w:tc>
        <w:tc>
          <w:tcPr>
            <w:tcW w:type="dxa" w:w="2592"/>
            <w:shd w:val="clear" w:color="auto" w:fill="002C5F"/>
          </w:tcPr>
          <w:p>
            <w:pPr>
              <w:jc w:val="center"/>
            </w:pPr>
            <w:r/>
            <w:r>
              <w:rPr>
                <w:rFonts w:ascii="Calibri" w:hAnsi="Calibri"/>
                <w:b/>
                <w:color w:val="FFFFFF"/>
                <w:sz w:val="19"/>
              </w:rPr>
              <w:t>Description</w:t>
            </w:r>
          </w:p>
        </w:tc>
        <w:tc>
          <w:tcPr>
            <w:tcW w:type="dxa" w:w="2592"/>
            <w:shd w:val="clear" w:color="auto" w:fill="002C5F"/>
          </w:tcPr>
          <w:p>
            <w:pPr>
              <w:jc w:val="center"/>
            </w:pPr>
            <w:r/>
            <w:r>
              <w:rPr>
                <w:rFonts w:ascii="Calibri" w:hAnsi="Calibri"/>
                <w:b/>
                <w:color w:val="FFFFFF"/>
                <w:sz w:val="19"/>
              </w:rPr>
              <w:t>Mitigation</w:t>
            </w:r>
          </w:p>
        </w:tc>
      </w:tr>
      <w:tr>
        <w:tc>
          <w:tcPr>
            <w:tcW w:type="dxa" w:w="792"/>
            <w:shd w:val="clear" w:color="auto" w:fill="F9FBFF"/>
          </w:tcPr>
          <w:p>
            <w:pPr>
              <w:spacing w:before="20" w:after="20"/>
            </w:pPr>
            <w:r/>
            <w:r>
              <w:rPr>
                <w:rFonts w:ascii="Calibri" w:hAnsi="Calibri"/>
                <w:sz w:val="18"/>
              </w:rPr>
              <w:t>RISK-01</w:t>
            </w:r>
          </w:p>
        </w:tc>
        <w:tc>
          <w:tcPr>
            <w:tcW w:type="dxa" w:w="1584"/>
            <w:shd w:val="clear" w:color="auto" w:fill="F9FBFF"/>
          </w:tcPr>
          <w:p>
            <w:pPr>
              <w:spacing w:before="20" w:after="20"/>
            </w:pPr>
            <w:r/>
            <w:r>
              <w:rPr>
                <w:rFonts w:ascii="Calibri" w:hAnsi="Calibri"/>
                <w:sz w:val="18"/>
              </w:rPr>
              <w:t>Data Inconsistency</w:t>
            </w:r>
          </w:p>
        </w:tc>
        <w:tc>
          <w:tcPr>
            <w:tcW w:type="dxa" w:w="936"/>
            <w:shd w:val="clear" w:color="auto" w:fill="F9FBFF"/>
          </w:tcPr>
          <w:p>
            <w:pPr>
              <w:spacing w:before="20" w:after="20"/>
            </w:pPr>
            <w:r/>
            <w:r>
              <w:rPr>
                <w:rFonts w:ascii="Calibri" w:hAnsi="Calibri"/>
                <w:sz w:val="18"/>
              </w:rPr>
              <w:t>HIGH</w:t>
            </w:r>
          </w:p>
        </w:tc>
        <w:tc>
          <w:tcPr>
            <w:tcW w:type="dxa" w:w="792"/>
            <w:shd w:val="clear" w:color="auto" w:fill="F9FBFF"/>
          </w:tcPr>
          <w:p>
            <w:pPr>
              <w:spacing w:before="20" w:after="20"/>
            </w:pPr>
            <w:r/>
            <w:r>
              <w:rPr>
                <w:rFonts w:ascii="Calibri" w:hAnsi="Calibri"/>
                <w:sz w:val="18"/>
              </w:rPr>
              <w:t>HIGH</w:t>
            </w:r>
          </w:p>
        </w:tc>
        <w:tc>
          <w:tcPr>
            <w:tcW w:type="dxa" w:w="936"/>
            <w:shd w:val="clear" w:color="auto" w:fill="F9FBFF"/>
            <w:shd w:val="clear" w:color="auto" w:fill="C0392B"/>
          </w:tcPr>
          <w:p>
            <w:pPr>
              <w:spacing w:before="20" w:after="20"/>
              <w:jc w:val="center"/>
            </w:pPr>
            <w:r/>
            <w:r>
              <w:rPr>
                <w:rFonts w:ascii="Calibri" w:hAnsi="Calibri"/>
                <w:b/>
                <w:color w:val="FFFFFF"/>
                <w:sz w:val="18"/>
              </w:rPr>
              <w:t>CRITICAL</w:t>
            </w:r>
          </w:p>
        </w:tc>
        <w:tc>
          <w:tcPr>
            <w:tcW w:type="dxa" w:w="2592"/>
            <w:shd w:val="clear" w:color="auto" w:fill="F9FBFF"/>
          </w:tcPr>
          <w:p>
            <w:pPr>
              <w:spacing w:before="20" w:after="20"/>
            </w:pPr>
            <w:r/>
            <w:r>
              <w:rPr>
                <w:rFonts w:ascii="Calibri" w:hAnsi="Calibri"/>
                <w:sz w:val="18"/>
              </w:rPr>
              <w:t>Concurrent updates to shared records (e.g., vehicle status) by multiple users may cause data conflicts.</w:t>
            </w:r>
          </w:p>
        </w:tc>
        <w:tc>
          <w:tcPr>
            <w:tcW w:type="dxa" w:w="2592"/>
            <w:shd w:val="clear" w:color="auto" w:fill="F9FBFF"/>
          </w:tcPr>
          <w:p>
            <w:pPr>
              <w:spacing w:before="20" w:after="20"/>
            </w:pPr>
            <w:r/>
            <w:r>
              <w:rPr>
                <w:rFonts w:ascii="Calibri" w:hAnsi="Calibri"/>
                <w:sz w:val="18"/>
              </w:rPr>
              <w:t>Enforce transactional integrity via Spring @Transactional annotations; use optimistic locking on critical entities; implement UI-level state refresh on stale data detection.</w:t>
            </w:r>
          </w:p>
        </w:tc>
      </w:tr>
      <w:tr>
        <w:tc>
          <w:tcPr>
            <w:tcW w:type="dxa" w:w="792"/>
            <w:shd w:val="clear" w:color="auto" w:fill="FFFFFF"/>
          </w:tcPr>
          <w:p>
            <w:pPr>
              <w:spacing w:before="20" w:after="20"/>
            </w:pPr>
            <w:r/>
            <w:r>
              <w:rPr>
                <w:rFonts w:ascii="Calibri" w:hAnsi="Calibri"/>
                <w:sz w:val="18"/>
              </w:rPr>
              <w:t>RISK-02</w:t>
            </w:r>
          </w:p>
        </w:tc>
        <w:tc>
          <w:tcPr>
            <w:tcW w:type="dxa" w:w="1584"/>
            <w:shd w:val="clear" w:color="auto" w:fill="FFFFFF"/>
          </w:tcPr>
          <w:p>
            <w:pPr>
              <w:spacing w:before="20" w:after="20"/>
            </w:pPr>
            <w:r/>
            <w:r>
              <w:rPr>
                <w:rFonts w:ascii="Calibri" w:hAnsi="Calibri"/>
                <w:sz w:val="18"/>
              </w:rPr>
              <w:t>Unauthorised Data Access</w:t>
            </w:r>
          </w:p>
        </w:tc>
        <w:tc>
          <w:tcPr>
            <w:tcW w:type="dxa" w:w="936"/>
            <w:shd w:val="clear" w:color="auto" w:fill="FFFFFF"/>
          </w:tcPr>
          <w:p>
            <w:pPr>
              <w:spacing w:before="20" w:after="20"/>
            </w:pPr>
            <w:r/>
            <w:r>
              <w:rPr>
                <w:rFonts w:ascii="Calibri" w:hAnsi="Calibri"/>
                <w:sz w:val="18"/>
              </w:rPr>
              <w:t>MEDIUM</w:t>
            </w:r>
          </w:p>
        </w:tc>
        <w:tc>
          <w:tcPr>
            <w:tcW w:type="dxa" w:w="792"/>
            <w:shd w:val="clear" w:color="auto" w:fill="FFFFFF"/>
          </w:tcPr>
          <w:p>
            <w:pPr>
              <w:spacing w:before="20" w:after="20"/>
            </w:pPr>
            <w:r/>
            <w:r>
              <w:rPr>
                <w:rFonts w:ascii="Calibri" w:hAnsi="Calibri"/>
                <w:sz w:val="18"/>
              </w:rPr>
              <w:t>HIGH</w:t>
            </w:r>
          </w:p>
        </w:tc>
        <w:tc>
          <w:tcPr>
            <w:tcW w:type="dxa" w:w="936"/>
            <w:shd w:val="clear" w:color="auto" w:fill="FFFFFF"/>
            <w:shd w:val="clear" w:color="auto" w:fill="E67E22"/>
          </w:tcPr>
          <w:p>
            <w:pPr>
              <w:spacing w:before="20" w:after="20"/>
              <w:jc w:val="center"/>
            </w:pPr>
            <w:r/>
            <w:r>
              <w:rPr>
                <w:rFonts w:ascii="Calibri" w:hAnsi="Calibri"/>
                <w:b/>
                <w:color w:val="FFFFFF"/>
                <w:sz w:val="18"/>
              </w:rPr>
              <w:t>HIGH</w:t>
            </w:r>
          </w:p>
        </w:tc>
        <w:tc>
          <w:tcPr>
            <w:tcW w:type="dxa" w:w="2592"/>
            <w:shd w:val="clear" w:color="auto" w:fill="FFFFFF"/>
          </w:tcPr>
          <w:p>
            <w:pPr>
              <w:spacing w:before="20" w:after="20"/>
            </w:pPr>
            <w:r/>
            <w:r>
              <w:rPr>
                <w:rFonts w:ascii="Calibri" w:hAnsi="Calibri"/>
                <w:sz w:val="18"/>
              </w:rPr>
              <w:t>A vulnerability in JWT validation or role-check logic could allow a lower-privileged user to access restricted endpoints.</w:t>
            </w:r>
          </w:p>
        </w:tc>
        <w:tc>
          <w:tcPr>
            <w:tcW w:type="dxa" w:w="2592"/>
            <w:shd w:val="clear" w:color="auto" w:fill="FFFFFF"/>
          </w:tcPr>
          <w:p>
            <w:pPr>
              <w:spacing w:before="20" w:after="20"/>
            </w:pPr>
            <w:r/>
            <w:r>
              <w:rPr>
                <w:rFonts w:ascii="Calibri" w:hAnsi="Calibri"/>
                <w:sz w:val="18"/>
              </w:rPr>
              <w:t>Enforce role guards at the Spring Security filter chain level (method-level @PreAuthorize); conduct regular security review of all controller endpoints.</w:t>
            </w:r>
          </w:p>
        </w:tc>
      </w:tr>
      <w:tr>
        <w:tc>
          <w:tcPr>
            <w:tcW w:type="dxa" w:w="792"/>
            <w:shd w:val="clear" w:color="auto" w:fill="F9FBFF"/>
          </w:tcPr>
          <w:p>
            <w:pPr>
              <w:spacing w:before="20" w:after="20"/>
            </w:pPr>
            <w:r/>
            <w:r>
              <w:rPr>
                <w:rFonts w:ascii="Calibri" w:hAnsi="Calibri"/>
                <w:sz w:val="18"/>
              </w:rPr>
              <w:t>RISK-03</w:t>
            </w:r>
          </w:p>
        </w:tc>
        <w:tc>
          <w:tcPr>
            <w:tcW w:type="dxa" w:w="1584"/>
            <w:shd w:val="clear" w:color="auto" w:fill="F9FBFF"/>
          </w:tcPr>
          <w:p>
            <w:pPr>
              <w:spacing w:before="20" w:after="20"/>
            </w:pPr>
            <w:r/>
            <w:r>
              <w:rPr>
                <w:rFonts w:ascii="Calibri" w:hAnsi="Calibri"/>
                <w:sz w:val="18"/>
              </w:rPr>
              <w:t>JWT Token Compromise</w:t>
            </w:r>
          </w:p>
        </w:tc>
        <w:tc>
          <w:tcPr>
            <w:tcW w:type="dxa" w:w="936"/>
            <w:shd w:val="clear" w:color="auto" w:fill="F9FBFF"/>
          </w:tcPr>
          <w:p>
            <w:pPr>
              <w:spacing w:before="20" w:after="20"/>
            </w:pPr>
            <w:r/>
            <w:r>
              <w:rPr>
                <w:rFonts w:ascii="Calibri" w:hAnsi="Calibri"/>
                <w:sz w:val="18"/>
              </w:rPr>
              <w:t>LOW</w:t>
            </w:r>
          </w:p>
        </w:tc>
        <w:tc>
          <w:tcPr>
            <w:tcW w:type="dxa" w:w="792"/>
            <w:shd w:val="clear" w:color="auto" w:fill="F9FBFF"/>
          </w:tcPr>
          <w:p>
            <w:pPr>
              <w:spacing w:before="20" w:after="20"/>
            </w:pPr>
            <w:r/>
            <w:r>
              <w:rPr>
                <w:rFonts w:ascii="Calibri" w:hAnsi="Calibri"/>
                <w:sz w:val="18"/>
              </w:rPr>
              <w:t>HIGH</w:t>
            </w:r>
          </w:p>
        </w:tc>
        <w:tc>
          <w:tcPr>
            <w:tcW w:type="dxa" w:w="936"/>
            <w:shd w:val="clear" w:color="auto" w:fill="F9FBFF"/>
            <w:shd w:val="clear" w:color="auto" w:fill="E67E22"/>
          </w:tcPr>
          <w:p>
            <w:pPr>
              <w:spacing w:before="20" w:after="20"/>
              <w:jc w:val="center"/>
            </w:pPr>
            <w:r/>
            <w:r>
              <w:rPr>
                <w:rFonts w:ascii="Calibri" w:hAnsi="Calibri"/>
                <w:b/>
                <w:color w:val="FFFFFF"/>
                <w:sz w:val="18"/>
              </w:rPr>
              <w:t>HIGH</w:t>
            </w:r>
          </w:p>
        </w:tc>
        <w:tc>
          <w:tcPr>
            <w:tcW w:type="dxa" w:w="2592"/>
            <w:shd w:val="clear" w:color="auto" w:fill="F9FBFF"/>
          </w:tcPr>
          <w:p>
            <w:pPr>
              <w:spacing w:before="20" w:after="20"/>
            </w:pPr>
            <w:r/>
            <w:r>
              <w:rPr>
                <w:rFonts w:ascii="Calibri" w:hAnsi="Calibri"/>
                <w:sz w:val="18"/>
              </w:rPr>
              <w:t>If a JWT is intercepted during transmission, it could be used to impersonate a legitimate user until expiry.</w:t>
            </w:r>
          </w:p>
        </w:tc>
        <w:tc>
          <w:tcPr>
            <w:tcW w:type="dxa" w:w="2592"/>
            <w:shd w:val="clear" w:color="auto" w:fill="F9FBFF"/>
          </w:tcPr>
          <w:p>
            <w:pPr>
              <w:spacing w:before="20" w:after="20"/>
            </w:pPr>
            <w:r/>
            <w:r>
              <w:rPr>
                <w:rFonts w:ascii="Calibri" w:hAnsi="Calibri"/>
                <w:sz w:val="18"/>
              </w:rPr>
              <w:t>Enforce HTTPS in production; set a short token expiry (e.g., 8 hours); implement token refresh mechanism in future iterations.</w:t>
            </w:r>
          </w:p>
        </w:tc>
      </w:tr>
      <w:tr>
        <w:tc>
          <w:tcPr>
            <w:tcW w:type="dxa" w:w="792"/>
            <w:shd w:val="clear" w:color="auto" w:fill="FFFFFF"/>
          </w:tcPr>
          <w:p>
            <w:pPr>
              <w:spacing w:before="20" w:after="20"/>
            </w:pPr>
            <w:r/>
            <w:r>
              <w:rPr>
                <w:rFonts w:ascii="Calibri" w:hAnsi="Calibri"/>
                <w:sz w:val="18"/>
              </w:rPr>
              <w:t>RISK-04</w:t>
            </w:r>
          </w:p>
        </w:tc>
        <w:tc>
          <w:tcPr>
            <w:tcW w:type="dxa" w:w="1584"/>
            <w:shd w:val="clear" w:color="auto" w:fill="FFFFFF"/>
          </w:tcPr>
          <w:p>
            <w:pPr>
              <w:spacing w:before="20" w:after="20"/>
            </w:pPr>
            <w:r/>
            <w:r>
              <w:rPr>
                <w:rFonts w:ascii="Calibri" w:hAnsi="Calibri"/>
                <w:sz w:val="18"/>
              </w:rPr>
              <w:t>Database Downtime</w:t>
            </w:r>
          </w:p>
        </w:tc>
        <w:tc>
          <w:tcPr>
            <w:tcW w:type="dxa" w:w="936"/>
            <w:shd w:val="clear" w:color="auto" w:fill="FFFFFF"/>
          </w:tcPr>
          <w:p>
            <w:pPr>
              <w:spacing w:before="20" w:after="20"/>
            </w:pPr>
            <w:r/>
            <w:r>
              <w:rPr>
                <w:rFonts w:ascii="Calibri" w:hAnsi="Calibri"/>
                <w:sz w:val="18"/>
              </w:rPr>
              <w:t>LOW</w:t>
            </w:r>
          </w:p>
        </w:tc>
        <w:tc>
          <w:tcPr>
            <w:tcW w:type="dxa" w:w="792"/>
            <w:shd w:val="clear" w:color="auto" w:fill="FFFFFF"/>
          </w:tcPr>
          <w:p>
            <w:pPr>
              <w:spacing w:before="20" w:after="20"/>
            </w:pPr>
            <w:r/>
            <w:r>
              <w:rPr>
                <w:rFonts w:ascii="Calibri" w:hAnsi="Calibri"/>
                <w:sz w:val="18"/>
              </w:rPr>
              <w:t>HIGH</w:t>
            </w:r>
          </w:p>
        </w:tc>
        <w:tc>
          <w:tcPr>
            <w:tcW w:type="dxa" w:w="936"/>
            <w:shd w:val="clear" w:color="auto" w:fill="FFFFFF"/>
            <w:shd w:val="clear" w:color="auto" w:fill="2980B9"/>
          </w:tcPr>
          <w:p>
            <w:pPr>
              <w:spacing w:before="20" w:after="20"/>
              <w:jc w:val="center"/>
            </w:pPr>
            <w:r/>
            <w:r>
              <w:rPr>
                <w:rFonts w:ascii="Calibri" w:hAnsi="Calibri"/>
                <w:b/>
                <w:color w:val="FFFFFF"/>
                <w:sz w:val="18"/>
              </w:rPr>
              <w:t>MEDIUM</w:t>
            </w:r>
          </w:p>
        </w:tc>
        <w:tc>
          <w:tcPr>
            <w:tcW w:type="dxa" w:w="2592"/>
            <w:shd w:val="clear" w:color="auto" w:fill="FFFFFF"/>
          </w:tcPr>
          <w:p>
            <w:pPr>
              <w:spacing w:before="20" w:after="20"/>
            </w:pPr>
            <w:r/>
            <w:r>
              <w:rPr>
                <w:rFonts w:ascii="Calibri" w:hAnsi="Calibri"/>
                <w:sz w:val="18"/>
              </w:rPr>
              <w:t>MySQL server unavailability would render the entire application non-functional.</w:t>
            </w:r>
          </w:p>
        </w:tc>
        <w:tc>
          <w:tcPr>
            <w:tcW w:type="dxa" w:w="2592"/>
            <w:shd w:val="clear" w:color="auto" w:fill="FFFFFF"/>
          </w:tcPr>
          <w:p>
            <w:pPr>
              <w:spacing w:before="20" w:after="20"/>
            </w:pPr>
            <w:r/>
            <w:r>
              <w:rPr>
                <w:rFonts w:ascii="Calibri" w:hAnsi="Calibri"/>
                <w:sz w:val="18"/>
              </w:rPr>
              <w:t>Implement regular automated database backups; document recovery procedures; consider a database replica for production.</w:t>
            </w:r>
          </w:p>
        </w:tc>
      </w:tr>
      <w:tr>
        <w:tc>
          <w:tcPr>
            <w:tcW w:type="dxa" w:w="792"/>
            <w:shd w:val="clear" w:color="auto" w:fill="F9FBFF"/>
          </w:tcPr>
          <w:p>
            <w:pPr>
              <w:spacing w:before="20" w:after="20"/>
            </w:pPr>
            <w:r/>
            <w:r>
              <w:rPr>
                <w:rFonts w:ascii="Calibri" w:hAnsi="Calibri"/>
                <w:sz w:val="18"/>
              </w:rPr>
              <w:t>RISK-05</w:t>
            </w:r>
          </w:p>
        </w:tc>
        <w:tc>
          <w:tcPr>
            <w:tcW w:type="dxa" w:w="1584"/>
            <w:shd w:val="clear" w:color="auto" w:fill="F9FBFF"/>
          </w:tcPr>
          <w:p>
            <w:pPr>
              <w:spacing w:before="20" w:after="20"/>
            </w:pPr>
            <w:r/>
            <w:r>
              <w:rPr>
                <w:rFonts w:ascii="Calibri" w:hAnsi="Calibri"/>
                <w:sz w:val="18"/>
              </w:rPr>
              <w:t>Invalid / Corrupt Import Data</w:t>
            </w:r>
          </w:p>
        </w:tc>
        <w:tc>
          <w:tcPr>
            <w:tcW w:type="dxa" w:w="936"/>
            <w:shd w:val="clear" w:color="auto" w:fill="F9FBFF"/>
          </w:tcPr>
          <w:p>
            <w:pPr>
              <w:spacing w:before="20" w:after="20"/>
            </w:pPr>
            <w:r/>
            <w:r>
              <w:rPr>
                <w:rFonts w:ascii="Calibri" w:hAnsi="Calibri"/>
                <w:sz w:val="18"/>
              </w:rPr>
              <w:t>HIGH</w:t>
            </w:r>
          </w:p>
        </w:tc>
        <w:tc>
          <w:tcPr>
            <w:tcW w:type="dxa" w:w="792"/>
            <w:shd w:val="clear" w:color="auto" w:fill="F9FBFF"/>
          </w:tcPr>
          <w:p>
            <w:pPr>
              <w:spacing w:before="20" w:after="20"/>
            </w:pPr>
            <w:r/>
            <w:r>
              <w:rPr>
                <w:rFonts w:ascii="Calibri" w:hAnsi="Calibri"/>
                <w:sz w:val="18"/>
              </w:rPr>
              <w:t>MEDIUM</w:t>
            </w:r>
          </w:p>
        </w:tc>
        <w:tc>
          <w:tcPr>
            <w:tcW w:type="dxa" w:w="936"/>
            <w:shd w:val="clear" w:color="auto" w:fill="F9FBFF"/>
            <w:shd w:val="clear" w:color="auto" w:fill="E67E22"/>
          </w:tcPr>
          <w:p>
            <w:pPr>
              <w:spacing w:before="20" w:after="20"/>
              <w:jc w:val="center"/>
            </w:pPr>
            <w:r/>
            <w:r>
              <w:rPr>
                <w:rFonts w:ascii="Calibri" w:hAnsi="Calibri"/>
                <w:b/>
                <w:color w:val="FFFFFF"/>
                <w:sz w:val="18"/>
              </w:rPr>
              <w:t>HIGH</w:t>
            </w:r>
          </w:p>
        </w:tc>
        <w:tc>
          <w:tcPr>
            <w:tcW w:type="dxa" w:w="2592"/>
            <w:shd w:val="clear" w:color="auto" w:fill="F9FBFF"/>
          </w:tcPr>
          <w:p>
            <w:pPr>
              <w:spacing w:before="20" w:after="20"/>
            </w:pPr>
            <w:r/>
            <w:r>
              <w:rPr>
                <w:rFonts w:ascii="Calibri" w:hAnsi="Calibri"/>
                <w:sz w:val="18"/>
              </w:rPr>
              <w:t>Unvalidated CSV imports for customers or vehicles may introduce corrupt or duplicate records.</w:t>
            </w:r>
          </w:p>
        </w:tc>
        <w:tc>
          <w:tcPr>
            <w:tcW w:type="dxa" w:w="2592"/>
            <w:shd w:val="clear" w:color="auto" w:fill="F9FBFF"/>
          </w:tcPr>
          <w:p>
            <w:pPr>
              <w:spacing w:before="20" w:after="20"/>
            </w:pPr>
            <w:r/>
            <w:r>
              <w:rPr>
                <w:rFonts w:ascii="Calibri" w:hAnsi="Calibri"/>
                <w:sz w:val="18"/>
              </w:rPr>
              <w:t>Implement server-side CSV validation with row-level error reporting; use unique constraint enforcement (VIN, phone) at the database level.</w:t>
            </w:r>
          </w:p>
        </w:tc>
      </w:tr>
      <w:tr>
        <w:tc>
          <w:tcPr>
            <w:tcW w:type="dxa" w:w="792"/>
            <w:shd w:val="clear" w:color="auto" w:fill="FFFFFF"/>
          </w:tcPr>
          <w:p>
            <w:pPr>
              <w:spacing w:before="20" w:after="20"/>
            </w:pPr>
            <w:r/>
            <w:r>
              <w:rPr>
                <w:rFonts w:ascii="Calibri" w:hAnsi="Calibri"/>
                <w:sz w:val="18"/>
              </w:rPr>
              <w:t>RISK-06</w:t>
            </w:r>
          </w:p>
        </w:tc>
        <w:tc>
          <w:tcPr>
            <w:tcW w:type="dxa" w:w="1584"/>
            <w:shd w:val="clear" w:color="auto" w:fill="FFFFFF"/>
          </w:tcPr>
          <w:p>
            <w:pPr>
              <w:spacing w:before="20" w:after="20"/>
            </w:pPr>
            <w:r/>
            <w:r>
              <w:rPr>
                <w:rFonts w:ascii="Calibri" w:hAnsi="Calibri"/>
                <w:sz w:val="18"/>
              </w:rPr>
              <w:t>Performance Degradation</w:t>
            </w:r>
          </w:p>
        </w:tc>
        <w:tc>
          <w:tcPr>
            <w:tcW w:type="dxa" w:w="936"/>
            <w:shd w:val="clear" w:color="auto" w:fill="FFFFFF"/>
          </w:tcPr>
          <w:p>
            <w:pPr>
              <w:spacing w:before="20" w:after="20"/>
            </w:pPr>
            <w:r/>
            <w:r>
              <w:rPr>
                <w:rFonts w:ascii="Calibri" w:hAnsi="Calibri"/>
                <w:sz w:val="18"/>
              </w:rPr>
              <w:t>MEDIUM</w:t>
            </w:r>
          </w:p>
        </w:tc>
        <w:tc>
          <w:tcPr>
            <w:tcW w:type="dxa" w:w="792"/>
            <w:shd w:val="clear" w:color="auto" w:fill="FFFFFF"/>
          </w:tcPr>
          <w:p>
            <w:pPr>
              <w:spacing w:before="20" w:after="20"/>
            </w:pPr>
            <w:r/>
            <w:r>
              <w:rPr>
                <w:rFonts w:ascii="Calibri" w:hAnsi="Calibri"/>
                <w:sz w:val="18"/>
              </w:rPr>
              <w:t>MEDIUM</w:t>
            </w:r>
          </w:p>
        </w:tc>
        <w:tc>
          <w:tcPr>
            <w:tcW w:type="dxa" w:w="936"/>
            <w:shd w:val="clear" w:color="auto" w:fill="FFFFFF"/>
            <w:shd w:val="clear" w:color="auto" w:fill="2980B9"/>
          </w:tcPr>
          <w:p>
            <w:pPr>
              <w:spacing w:before="20" w:after="20"/>
              <w:jc w:val="center"/>
            </w:pPr>
            <w:r/>
            <w:r>
              <w:rPr>
                <w:rFonts w:ascii="Calibri" w:hAnsi="Calibri"/>
                <w:b/>
                <w:color w:val="FFFFFF"/>
                <w:sz w:val="18"/>
              </w:rPr>
              <w:t>MEDIUM</w:t>
            </w:r>
          </w:p>
        </w:tc>
        <w:tc>
          <w:tcPr>
            <w:tcW w:type="dxa" w:w="2592"/>
            <w:shd w:val="clear" w:color="auto" w:fill="FFFFFF"/>
          </w:tcPr>
          <w:p>
            <w:pPr>
              <w:spacing w:before="20" w:after="20"/>
            </w:pPr>
            <w:r/>
            <w:r>
              <w:rPr>
                <w:rFonts w:ascii="Calibri" w:hAnsi="Calibri"/>
                <w:sz w:val="18"/>
              </w:rPr>
              <w:t>Unoptimised queries on large datasets (vehicles, bookings, audit logs) may slow the system under scale.</w:t>
            </w:r>
          </w:p>
        </w:tc>
        <w:tc>
          <w:tcPr>
            <w:tcW w:type="dxa" w:w="2592"/>
            <w:shd w:val="clear" w:color="auto" w:fill="FFFFFF"/>
          </w:tcPr>
          <w:p>
            <w:pPr>
              <w:spacing w:before="20" w:after="20"/>
            </w:pPr>
            <w:r/>
            <w:r>
              <w:rPr>
                <w:rFonts w:ascii="Calibri" w:hAnsi="Calibri"/>
                <w:sz w:val="18"/>
              </w:rPr>
              <w:t>Database indexes are defined on all primary filter columns (booking_date, status, customer_id, vehicle_id); Spring Cache is implemented for frequently-read data.</w:t>
            </w:r>
          </w:p>
        </w:tc>
      </w:tr>
      <w:tr>
        <w:tc>
          <w:tcPr>
            <w:tcW w:type="dxa" w:w="792"/>
            <w:shd w:val="clear" w:color="auto" w:fill="F9FBFF"/>
          </w:tcPr>
          <w:p>
            <w:pPr>
              <w:spacing w:before="20" w:after="20"/>
            </w:pPr>
            <w:r/>
            <w:r>
              <w:rPr>
                <w:rFonts w:ascii="Calibri" w:hAnsi="Calibri"/>
                <w:sz w:val="18"/>
              </w:rPr>
              <w:t>RISK-07</w:t>
            </w:r>
          </w:p>
        </w:tc>
        <w:tc>
          <w:tcPr>
            <w:tcW w:type="dxa" w:w="1584"/>
            <w:shd w:val="clear" w:color="auto" w:fill="F9FBFF"/>
          </w:tcPr>
          <w:p>
            <w:pPr>
              <w:spacing w:before="20" w:after="20"/>
            </w:pPr>
            <w:r/>
            <w:r>
              <w:rPr>
                <w:rFonts w:ascii="Calibri" w:hAnsi="Calibri"/>
                <w:sz w:val="18"/>
              </w:rPr>
              <w:t>User Adoption Resistance</w:t>
            </w:r>
          </w:p>
        </w:tc>
        <w:tc>
          <w:tcPr>
            <w:tcW w:type="dxa" w:w="936"/>
            <w:shd w:val="clear" w:color="auto" w:fill="F9FBFF"/>
          </w:tcPr>
          <w:p>
            <w:pPr>
              <w:spacing w:before="20" w:after="20"/>
            </w:pPr>
            <w:r/>
            <w:r>
              <w:rPr>
                <w:rFonts w:ascii="Calibri" w:hAnsi="Calibri"/>
                <w:sz w:val="18"/>
              </w:rPr>
              <w:t>MEDIUM</w:t>
            </w:r>
          </w:p>
        </w:tc>
        <w:tc>
          <w:tcPr>
            <w:tcW w:type="dxa" w:w="792"/>
            <w:shd w:val="clear" w:color="auto" w:fill="F9FBFF"/>
          </w:tcPr>
          <w:p>
            <w:pPr>
              <w:spacing w:before="20" w:after="20"/>
            </w:pPr>
            <w:r/>
            <w:r>
              <w:rPr>
                <w:rFonts w:ascii="Calibri" w:hAnsi="Calibri"/>
                <w:sz w:val="18"/>
              </w:rPr>
              <w:t>MEDIUM</w:t>
            </w:r>
          </w:p>
        </w:tc>
        <w:tc>
          <w:tcPr>
            <w:tcW w:type="dxa" w:w="936"/>
            <w:shd w:val="clear" w:color="auto" w:fill="F9FBFF"/>
            <w:shd w:val="clear" w:color="auto" w:fill="2980B9"/>
          </w:tcPr>
          <w:p>
            <w:pPr>
              <w:spacing w:before="20" w:after="20"/>
              <w:jc w:val="center"/>
            </w:pPr>
            <w:r/>
            <w:r>
              <w:rPr>
                <w:rFonts w:ascii="Calibri" w:hAnsi="Calibri"/>
                <w:b/>
                <w:color w:val="FFFFFF"/>
                <w:sz w:val="18"/>
              </w:rPr>
              <w:t>MEDIUM</w:t>
            </w:r>
          </w:p>
        </w:tc>
        <w:tc>
          <w:tcPr>
            <w:tcW w:type="dxa" w:w="2592"/>
            <w:shd w:val="clear" w:color="auto" w:fill="F9FBFF"/>
          </w:tcPr>
          <w:p>
            <w:pPr>
              <w:spacing w:before="20" w:after="20"/>
            </w:pPr>
            <w:r/>
            <w:r>
              <w:rPr>
                <w:rFonts w:ascii="Calibri" w:hAnsi="Calibri"/>
                <w:sz w:val="18"/>
              </w:rPr>
              <w:t>Staff unfamiliar with the digital system may resist adoption, reducing the system's operational value.</w:t>
            </w:r>
          </w:p>
        </w:tc>
        <w:tc>
          <w:tcPr>
            <w:tcW w:type="dxa" w:w="2592"/>
            <w:shd w:val="clear" w:color="auto" w:fill="F9FBFF"/>
          </w:tcPr>
          <w:p>
            <w:pPr>
              <w:spacing w:before="20" w:after="20"/>
            </w:pPr>
            <w:r/>
            <w:r>
              <w:rPr>
                <w:rFonts w:ascii="Calibri" w:hAnsi="Calibri"/>
                <w:sz w:val="18"/>
              </w:rPr>
              <w:t>Design intuitive, role-specific interfaces; provide role-based onboarding guides; offer training sessions prior to go-live.</w:t>
            </w:r>
          </w:p>
        </w:tc>
      </w:tr>
      <w:tr>
        <w:tc>
          <w:tcPr>
            <w:tcW w:type="dxa" w:w="792"/>
            <w:shd w:val="clear" w:color="auto" w:fill="FFFFFF"/>
          </w:tcPr>
          <w:p>
            <w:pPr>
              <w:spacing w:before="20" w:after="20"/>
            </w:pPr>
            <w:r/>
            <w:r>
              <w:rPr>
                <w:rFonts w:ascii="Calibri" w:hAnsi="Calibri"/>
                <w:sz w:val="18"/>
              </w:rPr>
              <w:t>RISK-08</w:t>
            </w:r>
          </w:p>
        </w:tc>
        <w:tc>
          <w:tcPr>
            <w:tcW w:type="dxa" w:w="1584"/>
            <w:shd w:val="clear" w:color="auto" w:fill="FFFFFF"/>
          </w:tcPr>
          <w:p>
            <w:pPr>
              <w:spacing w:before="20" w:after="20"/>
            </w:pPr>
            <w:r/>
            <w:r>
              <w:rPr>
                <w:rFonts w:ascii="Calibri" w:hAnsi="Calibri"/>
                <w:sz w:val="18"/>
              </w:rPr>
              <w:t>Scope Creep</w:t>
            </w:r>
          </w:p>
        </w:tc>
        <w:tc>
          <w:tcPr>
            <w:tcW w:type="dxa" w:w="936"/>
            <w:shd w:val="clear" w:color="auto" w:fill="FFFFFF"/>
          </w:tcPr>
          <w:p>
            <w:pPr>
              <w:spacing w:before="20" w:after="20"/>
            </w:pPr>
            <w:r/>
            <w:r>
              <w:rPr>
                <w:rFonts w:ascii="Calibri" w:hAnsi="Calibri"/>
                <w:sz w:val="18"/>
              </w:rPr>
              <w:t>HIGH</w:t>
            </w:r>
          </w:p>
        </w:tc>
        <w:tc>
          <w:tcPr>
            <w:tcW w:type="dxa" w:w="792"/>
            <w:shd w:val="clear" w:color="auto" w:fill="FFFFFF"/>
          </w:tcPr>
          <w:p>
            <w:pPr>
              <w:spacing w:before="20" w:after="20"/>
            </w:pPr>
            <w:r/>
            <w:r>
              <w:rPr>
                <w:rFonts w:ascii="Calibri" w:hAnsi="Calibri"/>
                <w:sz w:val="18"/>
              </w:rPr>
              <w:t>LOW</w:t>
            </w:r>
          </w:p>
        </w:tc>
        <w:tc>
          <w:tcPr>
            <w:tcW w:type="dxa" w:w="936"/>
            <w:shd w:val="clear" w:color="auto" w:fill="FFFFFF"/>
            <w:shd w:val="clear" w:color="auto" w:fill="2980B9"/>
          </w:tcPr>
          <w:p>
            <w:pPr>
              <w:spacing w:before="20" w:after="20"/>
              <w:jc w:val="center"/>
            </w:pPr>
            <w:r/>
            <w:r>
              <w:rPr>
                <w:rFonts w:ascii="Calibri" w:hAnsi="Calibri"/>
                <w:b/>
                <w:color w:val="FFFFFF"/>
                <w:sz w:val="18"/>
              </w:rPr>
              <w:t>MEDIUM</w:t>
            </w:r>
          </w:p>
        </w:tc>
        <w:tc>
          <w:tcPr>
            <w:tcW w:type="dxa" w:w="2592"/>
            <w:shd w:val="clear" w:color="auto" w:fill="FFFFFF"/>
          </w:tcPr>
          <w:p>
            <w:pPr>
              <w:spacing w:before="20" w:after="20"/>
            </w:pPr>
            <w:r/>
            <w:r>
              <w:rPr>
                <w:rFonts w:ascii="Calibri" w:hAnsi="Calibri"/>
                <w:sz w:val="18"/>
              </w:rPr>
              <w:t>Stakeholders may request features beyond the defined scope (mobile app, external integrations), impacting delivery timelines.</w:t>
            </w:r>
          </w:p>
        </w:tc>
        <w:tc>
          <w:tcPr>
            <w:tcW w:type="dxa" w:w="2592"/>
            <w:shd w:val="clear" w:color="auto" w:fill="FFFFFF"/>
          </w:tcPr>
          <w:p>
            <w:pPr>
              <w:spacing w:before="20" w:after="20"/>
            </w:pPr>
            <w:r/>
            <w:r>
              <w:rPr>
                <w:rFonts w:ascii="Calibri" w:hAnsi="Calibri"/>
                <w:sz w:val="18"/>
              </w:rPr>
              <w:t>Maintain a documented scope boundary; log out-of-scope requests in a product backlog for future releases; use the roadmap to manage expectations.</w:t>
            </w:r>
          </w:p>
        </w:tc>
      </w:tr>
    </w:tbl>
    <w:p/>
    <w:p>
      <w:r>
        <w:br w:type="page"/>
      </w:r>
    </w:p>
    <w:p>
      <w:pPr>
        <w:pStyle w:val="Heading1"/>
        <w:spacing w:before="280" w:after="120"/>
      </w:pPr>
      <w:r>
        <w:t>10. Success Criteria</w:t>
      </w:r>
    </w:p>
    <w:p>
      <w:pPr>
        <w:spacing w:before="40" w:after="100" w:line="280" w:lineRule="exact"/>
      </w:pPr>
      <w:r>
        <w:t>The Hyundai DMS project will be considered successfully delivered when the following measurable criteria are satisfied across functional, technical, and business dimensions.</w:t>
      </w:r>
    </w:p>
    <w:tbl>
      <w:tblPr>
        <w:tblStyle w:val="TableGrid"/>
        <w:tblW w:type="auto" w:w="0"/>
        <w:jc w:val="left"/>
        <w:tblLook w:firstColumn="1" w:firstRow="1" w:lastColumn="0" w:lastRow="0" w:noHBand="0" w:noVBand="1" w:val="04A0"/>
      </w:tblPr>
      <w:tblGrid>
        <w:gridCol w:w="3135"/>
        <w:gridCol w:w="3135"/>
        <w:gridCol w:w="3135"/>
      </w:tblGrid>
      <w:tr>
        <w:tc>
          <w:tcPr>
            <w:tcW w:type="dxa" w:w="864"/>
            <w:shd w:val="clear" w:color="auto" w:fill="002C5F"/>
          </w:tcPr>
          <w:p>
            <w:pPr>
              <w:spacing w:before="60" w:after="60"/>
              <w:jc w:val="center"/>
            </w:pPr>
            <w:r/>
            <w:r>
              <w:rPr>
                <w:rFonts w:ascii="Calibri" w:hAnsi="Calibri"/>
                <w:b/>
                <w:color w:val="FFFFFF"/>
                <w:sz w:val="21"/>
              </w:rPr>
              <w:t>ID</w:t>
            </w:r>
          </w:p>
        </w:tc>
        <w:tc>
          <w:tcPr>
            <w:tcW w:type="dxa" w:w="2592"/>
            <w:shd w:val="clear" w:color="auto" w:fill="002C5F"/>
          </w:tcPr>
          <w:p>
            <w:pPr>
              <w:spacing w:before="60" w:after="60"/>
              <w:jc w:val="center"/>
            </w:pPr>
            <w:r/>
            <w:r>
              <w:rPr>
                <w:rFonts w:ascii="Calibri" w:hAnsi="Calibri"/>
                <w:b/>
                <w:color w:val="FFFFFF"/>
                <w:sz w:val="21"/>
              </w:rPr>
              <w:t>Criterion</w:t>
            </w:r>
          </w:p>
        </w:tc>
        <w:tc>
          <w:tcPr>
            <w:tcW w:type="dxa" w:w="6120"/>
            <w:shd w:val="clear" w:color="auto" w:fill="002C5F"/>
          </w:tcPr>
          <w:p>
            <w:pPr>
              <w:spacing w:before="60" w:after="60"/>
              <w:jc w:val="center"/>
            </w:pPr>
            <w:r/>
            <w:r>
              <w:rPr>
                <w:rFonts w:ascii="Calibri" w:hAnsi="Calibri"/>
                <w:b/>
                <w:color w:val="FFFFFF"/>
                <w:sz w:val="21"/>
              </w:rPr>
              <w:t>Definition of Done</w:t>
            </w:r>
          </w:p>
        </w:tc>
      </w:tr>
      <w:tr>
        <w:tc>
          <w:tcPr>
            <w:tcW w:type="dxa" w:w="864"/>
            <w:shd w:val="clear" w:color="auto" w:fill="F9FBFF"/>
          </w:tcPr>
          <w:p>
            <w:pPr>
              <w:spacing w:before="40" w:after="40"/>
            </w:pPr>
            <w:r/>
            <w:r>
              <w:rPr>
                <w:rFonts w:ascii="Calibri" w:hAnsi="Calibri"/>
                <w:sz w:val="21"/>
              </w:rPr>
              <w:t>SC-01</w:t>
            </w:r>
          </w:p>
        </w:tc>
        <w:tc>
          <w:tcPr>
            <w:tcW w:type="dxa" w:w="2592"/>
            <w:shd w:val="clear" w:color="auto" w:fill="F9FBFF"/>
          </w:tcPr>
          <w:p>
            <w:pPr>
              <w:spacing w:before="40" w:after="40"/>
            </w:pPr>
            <w:r/>
            <w:r>
              <w:rPr>
                <w:rFonts w:ascii="Calibri" w:hAnsi="Calibri"/>
                <w:sz w:val="21"/>
              </w:rPr>
              <w:t>Functional Completeness</w:t>
            </w:r>
          </w:p>
        </w:tc>
        <w:tc>
          <w:tcPr>
            <w:tcW w:type="dxa" w:w="6120"/>
            <w:shd w:val="clear" w:color="auto" w:fill="F9FBFF"/>
          </w:tcPr>
          <w:p>
            <w:pPr>
              <w:spacing w:before="40" w:after="40"/>
            </w:pPr>
            <w:r/>
            <w:r>
              <w:rPr>
                <w:rFonts w:ascii="Calibri" w:hAnsi="Calibri"/>
                <w:sz w:val="21"/>
              </w:rPr>
              <w:t>All modules defined within the project scope (Authentication, Customer, Inventory, Booking, Test Drive, Exchange, Accessories, Reports, Audit Logs, Admin Settings) are implemented and operational.</w:t>
            </w:r>
          </w:p>
        </w:tc>
      </w:tr>
      <w:tr>
        <w:tc>
          <w:tcPr>
            <w:tcW w:type="dxa" w:w="864"/>
            <w:shd w:val="clear" w:color="auto" w:fill="FFFFFF"/>
          </w:tcPr>
          <w:p>
            <w:pPr>
              <w:spacing w:before="40" w:after="40"/>
            </w:pPr>
            <w:r/>
            <w:r>
              <w:rPr>
                <w:rFonts w:ascii="Calibri" w:hAnsi="Calibri"/>
                <w:sz w:val="21"/>
              </w:rPr>
              <w:t>SC-02</w:t>
            </w:r>
          </w:p>
        </w:tc>
        <w:tc>
          <w:tcPr>
            <w:tcW w:type="dxa" w:w="2592"/>
            <w:shd w:val="clear" w:color="auto" w:fill="FFFFFF"/>
          </w:tcPr>
          <w:p>
            <w:pPr>
              <w:spacing w:before="40" w:after="40"/>
            </w:pPr>
            <w:r/>
            <w:r>
              <w:rPr>
                <w:rFonts w:ascii="Calibri" w:hAnsi="Calibri"/>
                <w:sz w:val="21"/>
              </w:rPr>
              <w:t>Role-Based Access Control</w:t>
            </w:r>
          </w:p>
        </w:tc>
        <w:tc>
          <w:tcPr>
            <w:tcW w:type="dxa" w:w="6120"/>
            <w:shd w:val="clear" w:color="auto" w:fill="FFFFFF"/>
          </w:tcPr>
          <w:p>
            <w:pPr>
              <w:spacing w:before="40" w:after="40"/>
            </w:pPr>
            <w:r/>
            <w:r>
              <w:rPr>
                <w:rFonts w:ascii="Calibri" w:hAnsi="Calibri"/>
                <w:sz w:val="21"/>
              </w:rPr>
              <w:t>Each of the four defined user roles (Super Admin, Dealer Manager, Sales Executive, Senior Official) can log in successfully and access only the modules and data permitted by their role; cross-role access attempts are rejected.</w:t>
            </w:r>
          </w:p>
        </w:tc>
      </w:tr>
      <w:tr>
        <w:tc>
          <w:tcPr>
            <w:tcW w:type="dxa" w:w="864"/>
            <w:shd w:val="clear" w:color="auto" w:fill="F9FBFF"/>
          </w:tcPr>
          <w:p>
            <w:pPr>
              <w:spacing w:before="40" w:after="40"/>
            </w:pPr>
            <w:r/>
            <w:r>
              <w:rPr>
                <w:rFonts w:ascii="Calibri" w:hAnsi="Calibri"/>
                <w:sz w:val="21"/>
              </w:rPr>
              <w:t>SC-03</w:t>
            </w:r>
          </w:p>
        </w:tc>
        <w:tc>
          <w:tcPr>
            <w:tcW w:type="dxa" w:w="2592"/>
            <w:shd w:val="clear" w:color="auto" w:fill="F9FBFF"/>
          </w:tcPr>
          <w:p>
            <w:pPr>
              <w:spacing w:before="40" w:after="40"/>
            </w:pPr>
            <w:r/>
            <w:r>
              <w:rPr>
                <w:rFonts w:ascii="Calibri" w:hAnsi="Calibri"/>
                <w:sz w:val="21"/>
              </w:rPr>
              <w:t>Data Integrity</w:t>
            </w:r>
          </w:p>
        </w:tc>
        <w:tc>
          <w:tcPr>
            <w:tcW w:type="dxa" w:w="6120"/>
            <w:shd w:val="clear" w:color="auto" w:fill="F9FBFF"/>
          </w:tcPr>
          <w:p>
            <w:pPr>
              <w:spacing w:before="40" w:after="40"/>
            </w:pPr>
            <w:r/>
            <w:r>
              <w:rPr>
                <w:rFonts w:ascii="Calibri" w:hAnsi="Calibri"/>
                <w:sz w:val="21"/>
              </w:rPr>
              <w:t>All relational constraints (foreign keys, unique constraints on VIN/booking number/invoice number) are enforced at the database level; no duplicate or orphaned records exist.</w:t>
            </w:r>
          </w:p>
        </w:tc>
      </w:tr>
      <w:tr>
        <w:tc>
          <w:tcPr>
            <w:tcW w:type="dxa" w:w="864"/>
            <w:shd w:val="clear" w:color="auto" w:fill="FFFFFF"/>
          </w:tcPr>
          <w:p>
            <w:pPr>
              <w:spacing w:before="40" w:after="40"/>
            </w:pPr>
            <w:r/>
            <w:r>
              <w:rPr>
                <w:rFonts w:ascii="Calibri" w:hAnsi="Calibri"/>
                <w:sz w:val="21"/>
              </w:rPr>
              <w:t>SC-04</w:t>
            </w:r>
          </w:p>
        </w:tc>
        <w:tc>
          <w:tcPr>
            <w:tcW w:type="dxa" w:w="2592"/>
            <w:shd w:val="clear" w:color="auto" w:fill="FFFFFF"/>
          </w:tcPr>
          <w:p>
            <w:pPr>
              <w:spacing w:before="40" w:after="40"/>
            </w:pPr>
            <w:r/>
            <w:r>
              <w:rPr>
                <w:rFonts w:ascii="Calibri" w:hAnsi="Calibri"/>
                <w:sz w:val="21"/>
              </w:rPr>
              <w:t>End-to-End Booking Flow</w:t>
            </w:r>
          </w:p>
        </w:tc>
        <w:tc>
          <w:tcPr>
            <w:tcW w:type="dxa" w:w="6120"/>
            <w:shd w:val="clear" w:color="auto" w:fill="FFFFFF"/>
          </w:tcPr>
          <w:p>
            <w:pPr>
              <w:spacing w:before="40" w:after="40"/>
            </w:pPr>
            <w:r/>
            <w:r>
              <w:rPr>
                <w:rFonts w:ascii="Calibri" w:hAnsi="Calibri"/>
                <w:sz w:val="21"/>
              </w:rPr>
              <w:t>A complete booking lifecycle — customer creation → booking → vehicle assignment → dispatch → sales transaction — can be executed without error from start to finish.</w:t>
            </w:r>
          </w:p>
        </w:tc>
      </w:tr>
      <w:tr>
        <w:tc>
          <w:tcPr>
            <w:tcW w:type="dxa" w:w="864"/>
            <w:shd w:val="clear" w:color="auto" w:fill="F9FBFF"/>
          </w:tcPr>
          <w:p>
            <w:pPr>
              <w:spacing w:before="40" w:after="40"/>
            </w:pPr>
            <w:r/>
            <w:r>
              <w:rPr>
                <w:rFonts w:ascii="Calibri" w:hAnsi="Calibri"/>
                <w:sz w:val="21"/>
              </w:rPr>
              <w:t>SC-05</w:t>
            </w:r>
          </w:p>
        </w:tc>
        <w:tc>
          <w:tcPr>
            <w:tcW w:type="dxa" w:w="2592"/>
            <w:shd w:val="clear" w:color="auto" w:fill="F9FBFF"/>
          </w:tcPr>
          <w:p>
            <w:pPr>
              <w:spacing w:before="40" w:after="40"/>
            </w:pPr>
            <w:r/>
            <w:r>
              <w:rPr>
                <w:rFonts w:ascii="Calibri" w:hAnsi="Calibri"/>
                <w:sz w:val="21"/>
              </w:rPr>
              <w:t>Report Generation</w:t>
            </w:r>
          </w:p>
        </w:tc>
        <w:tc>
          <w:tcPr>
            <w:tcW w:type="dxa" w:w="6120"/>
            <w:shd w:val="clear" w:color="auto" w:fill="F9FBFF"/>
          </w:tcPr>
          <w:p>
            <w:pPr>
              <w:spacing w:before="40" w:after="40"/>
            </w:pPr>
            <w:r/>
            <w:r>
              <w:rPr>
                <w:rFonts w:ascii="Calibri" w:hAnsi="Calibri"/>
                <w:sz w:val="21"/>
              </w:rPr>
              <w:t>All seven defined report types can be generated for custom date ranges and successfully exported to both PDF and Excel formats.</w:t>
            </w:r>
          </w:p>
        </w:tc>
      </w:tr>
      <w:tr>
        <w:tc>
          <w:tcPr>
            <w:tcW w:type="dxa" w:w="864"/>
            <w:shd w:val="clear" w:color="auto" w:fill="FFFFFF"/>
          </w:tcPr>
          <w:p>
            <w:pPr>
              <w:spacing w:before="40" w:after="40"/>
            </w:pPr>
            <w:r/>
            <w:r>
              <w:rPr>
                <w:rFonts w:ascii="Calibri" w:hAnsi="Calibri"/>
                <w:sz w:val="21"/>
              </w:rPr>
              <w:t>SC-06</w:t>
            </w:r>
          </w:p>
        </w:tc>
        <w:tc>
          <w:tcPr>
            <w:tcW w:type="dxa" w:w="2592"/>
            <w:shd w:val="clear" w:color="auto" w:fill="FFFFFF"/>
          </w:tcPr>
          <w:p>
            <w:pPr>
              <w:spacing w:before="40" w:after="40"/>
            </w:pPr>
            <w:r/>
            <w:r>
              <w:rPr>
                <w:rFonts w:ascii="Calibri" w:hAnsi="Calibri"/>
                <w:sz w:val="21"/>
              </w:rPr>
              <w:t>Audit Log Accuracy</w:t>
            </w:r>
          </w:p>
        </w:tc>
        <w:tc>
          <w:tcPr>
            <w:tcW w:type="dxa" w:w="6120"/>
            <w:shd w:val="clear" w:color="auto" w:fill="FFFFFF"/>
          </w:tcPr>
          <w:p>
            <w:pPr>
              <w:spacing w:before="40" w:after="40"/>
            </w:pPr>
            <w:r/>
            <w:r>
              <w:rPr>
                <w:rFonts w:ascii="Calibri" w:hAnsi="Calibri"/>
                <w:sz w:val="21"/>
              </w:rPr>
              <w:t>All significant system actions generate corresponding audit log entries with correct actor identity, action description, and timestamp.</w:t>
            </w:r>
          </w:p>
        </w:tc>
      </w:tr>
      <w:tr>
        <w:tc>
          <w:tcPr>
            <w:tcW w:type="dxa" w:w="864"/>
            <w:shd w:val="clear" w:color="auto" w:fill="F9FBFF"/>
          </w:tcPr>
          <w:p>
            <w:pPr>
              <w:spacing w:before="40" w:after="40"/>
            </w:pPr>
            <w:r/>
            <w:r>
              <w:rPr>
                <w:rFonts w:ascii="Calibri" w:hAnsi="Calibri"/>
                <w:sz w:val="21"/>
              </w:rPr>
              <w:t>SC-07</w:t>
            </w:r>
          </w:p>
        </w:tc>
        <w:tc>
          <w:tcPr>
            <w:tcW w:type="dxa" w:w="2592"/>
            <w:shd w:val="clear" w:color="auto" w:fill="F9FBFF"/>
          </w:tcPr>
          <w:p>
            <w:pPr>
              <w:spacing w:before="40" w:after="40"/>
            </w:pPr>
            <w:r/>
            <w:r>
              <w:rPr>
                <w:rFonts w:ascii="Calibri" w:hAnsi="Calibri"/>
                <w:sz w:val="21"/>
              </w:rPr>
              <w:t>API Security</w:t>
            </w:r>
          </w:p>
        </w:tc>
        <w:tc>
          <w:tcPr>
            <w:tcW w:type="dxa" w:w="6120"/>
            <w:shd w:val="clear" w:color="auto" w:fill="F9FBFF"/>
          </w:tcPr>
          <w:p>
            <w:pPr>
              <w:spacing w:before="40" w:after="40"/>
            </w:pPr>
            <w:r/>
            <w:r>
              <w:rPr>
                <w:rFonts w:ascii="Calibri" w:hAnsi="Calibri"/>
                <w:sz w:val="21"/>
              </w:rPr>
              <w:t>All protected API endpoints reject requests with missing, expired, or invalid JWT tokens with a structured HTTP 401/403 response.</w:t>
            </w:r>
          </w:p>
        </w:tc>
      </w:tr>
      <w:tr>
        <w:tc>
          <w:tcPr>
            <w:tcW w:type="dxa" w:w="864"/>
            <w:shd w:val="clear" w:color="auto" w:fill="FFFFFF"/>
          </w:tcPr>
          <w:p>
            <w:pPr>
              <w:spacing w:before="40" w:after="40"/>
            </w:pPr>
            <w:r/>
            <w:r>
              <w:rPr>
                <w:rFonts w:ascii="Calibri" w:hAnsi="Calibri"/>
                <w:sz w:val="21"/>
              </w:rPr>
              <w:t>SC-08</w:t>
            </w:r>
          </w:p>
        </w:tc>
        <w:tc>
          <w:tcPr>
            <w:tcW w:type="dxa" w:w="2592"/>
            <w:shd w:val="clear" w:color="auto" w:fill="FFFFFF"/>
          </w:tcPr>
          <w:p>
            <w:pPr>
              <w:spacing w:before="40" w:after="40"/>
            </w:pPr>
            <w:r/>
            <w:r>
              <w:rPr>
                <w:rFonts w:ascii="Calibri" w:hAnsi="Calibri"/>
                <w:sz w:val="21"/>
              </w:rPr>
              <w:t>UI Responsiveness</w:t>
            </w:r>
          </w:p>
        </w:tc>
        <w:tc>
          <w:tcPr>
            <w:tcW w:type="dxa" w:w="6120"/>
            <w:shd w:val="clear" w:color="auto" w:fill="FFFFFF"/>
          </w:tcPr>
          <w:p>
            <w:pPr>
              <w:spacing w:before="40" w:after="40"/>
            </w:pPr>
            <w:r/>
            <w:r>
              <w:rPr>
                <w:rFonts w:ascii="Calibri" w:hAnsi="Calibri"/>
                <w:sz w:val="21"/>
              </w:rPr>
              <w:t>All primary screens render without layout defects on 1366×768 (laptop) and 1920×1080 (desktop) viewports.</w:t>
            </w:r>
          </w:p>
        </w:tc>
      </w:tr>
      <w:tr>
        <w:tc>
          <w:tcPr>
            <w:tcW w:type="dxa" w:w="864"/>
            <w:shd w:val="clear" w:color="auto" w:fill="F9FBFF"/>
          </w:tcPr>
          <w:p>
            <w:pPr>
              <w:spacing w:before="40" w:after="40"/>
            </w:pPr>
            <w:r/>
            <w:r>
              <w:rPr>
                <w:rFonts w:ascii="Calibri" w:hAnsi="Calibri"/>
                <w:sz w:val="21"/>
              </w:rPr>
              <w:t>SC-09</w:t>
            </w:r>
          </w:p>
        </w:tc>
        <w:tc>
          <w:tcPr>
            <w:tcW w:type="dxa" w:w="2592"/>
            <w:shd w:val="clear" w:color="auto" w:fill="F9FBFF"/>
          </w:tcPr>
          <w:p>
            <w:pPr>
              <w:spacing w:before="40" w:after="40"/>
            </w:pPr>
            <w:r/>
            <w:r>
              <w:rPr>
                <w:rFonts w:ascii="Calibri" w:hAnsi="Calibri"/>
                <w:sz w:val="21"/>
              </w:rPr>
              <w:t>Bulk Import Functionality</w:t>
            </w:r>
          </w:p>
        </w:tc>
        <w:tc>
          <w:tcPr>
            <w:tcW w:type="dxa" w:w="6120"/>
            <w:shd w:val="clear" w:color="auto" w:fill="F9FBFF"/>
          </w:tcPr>
          <w:p>
            <w:pPr>
              <w:spacing w:before="40" w:after="40"/>
            </w:pPr>
            <w:r/>
            <w:r>
              <w:rPr>
                <w:rFonts w:ascii="Calibri" w:hAnsi="Calibri"/>
                <w:sz w:val="21"/>
              </w:rPr>
              <w:t>CSV import of both customer records and vehicle inventory records completes successfully with appropriate validation feedback for invalid rows.</w:t>
            </w:r>
          </w:p>
        </w:tc>
      </w:tr>
      <w:tr>
        <w:tc>
          <w:tcPr>
            <w:tcW w:type="dxa" w:w="864"/>
            <w:shd w:val="clear" w:color="auto" w:fill="FFFFFF"/>
          </w:tcPr>
          <w:p>
            <w:pPr>
              <w:spacing w:before="40" w:after="40"/>
            </w:pPr>
            <w:r/>
            <w:r>
              <w:rPr>
                <w:rFonts w:ascii="Calibri" w:hAnsi="Calibri"/>
                <w:sz w:val="21"/>
              </w:rPr>
              <w:t>SC-10</w:t>
            </w:r>
          </w:p>
        </w:tc>
        <w:tc>
          <w:tcPr>
            <w:tcW w:type="dxa" w:w="2592"/>
            <w:shd w:val="clear" w:color="auto" w:fill="FFFFFF"/>
          </w:tcPr>
          <w:p>
            <w:pPr>
              <w:spacing w:before="40" w:after="40"/>
            </w:pPr>
            <w:r/>
            <w:r>
              <w:rPr>
                <w:rFonts w:ascii="Calibri" w:hAnsi="Calibri"/>
                <w:sz w:val="21"/>
              </w:rPr>
              <w:t>System Stability</w:t>
            </w:r>
          </w:p>
        </w:tc>
        <w:tc>
          <w:tcPr>
            <w:tcW w:type="dxa" w:w="6120"/>
            <w:shd w:val="clear" w:color="auto" w:fill="FFFFFF"/>
          </w:tcPr>
          <w:p>
            <w:pPr>
              <w:spacing w:before="40" w:after="40"/>
            </w:pPr>
            <w:r/>
            <w:r>
              <w:rPr>
                <w:rFonts w:ascii="Calibri" w:hAnsi="Calibri"/>
                <w:sz w:val="21"/>
              </w:rPr>
              <w:t>The application starts without errors, all Hibernate entity schemas validate successfully, and seed data populates correctly on a clean database installation.</w:t>
            </w:r>
          </w:p>
        </w:tc>
      </w:tr>
      <w:tr>
        <w:tc>
          <w:tcPr>
            <w:tcW w:type="dxa" w:w="864"/>
            <w:shd w:val="clear" w:color="auto" w:fill="F9FBFF"/>
          </w:tcPr>
          <w:p>
            <w:pPr>
              <w:spacing w:before="40" w:after="40"/>
            </w:pPr>
            <w:r/>
            <w:r>
              <w:rPr>
                <w:rFonts w:ascii="Calibri" w:hAnsi="Calibri"/>
                <w:sz w:val="21"/>
              </w:rPr>
              <w:t>SC-11</w:t>
            </w:r>
          </w:p>
        </w:tc>
        <w:tc>
          <w:tcPr>
            <w:tcW w:type="dxa" w:w="2592"/>
            <w:shd w:val="clear" w:color="auto" w:fill="F9FBFF"/>
          </w:tcPr>
          <w:p>
            <w:pPr>
              <w:spacing w:before="40" w:after="40"/>
            </w:pPr>
            <w:r/>
            <w:r>
              <w:rPr>
                <w:rFonts w:ascii="Calibri" w:hAnsi="Calibri"/>
                <w:sz w:val="21"/>
              </w:rPr>
              <w:t>Swagger Documentation</w:t>
            </w:r>
          </w:p>
        </w:tc>
        <w:tc>
          <w:tcPr>
            <w:tcW w:type="dxa" w:w="6120"/>
            <w:shd w:val="clear" w:color="auto" w:fill="F9FBFF"/>
          </w:tcPr>
          <w:p>
            <w:pPr>
              <w:spacing w:before="40" w:after="40"/>
            </w:pPr>
            <w:r/>
            <w:r>
              <w:rPr>
                <w:rFonts w:ascii="Calibri" w:hAnsi="Calibri"/>
                <w:sz w:val="21"/>
              </w:rPr>
              <w:t>Complete API documentation is accessible and accurate at the /swagger-ui.html endpoint for all implemented controllers.</w:t>
            </w:r>
          </w:p>
        </w:tc>
      </w:tr>
      <w:tr>
        <w:tc>
          <w:tcPr>
            <w:tcW w:type="dxa" w:w="864"/>
            <w:shd w:val="clear" w:color="auto" w:fill="FFFFFF"/>
          </w:tcPr>
          <w:p>
            <w:pPr>
              <w:spacing w:before="40" w:after="40"/>
            </w:pPr>
            <w:r/>
            <w:r>
              <w:rPr>
                <w:rFonts w:ascii="Calibri" w:hAnsi="Calibri"/>
                <w:sz w:val="21"/>
              </w:rPr>
              <w:t>SC-12</w:t>
            </w:r>
          </w:p>
        </w:tc>
        <w:tc>
          <w:tcPr>
            <w:tcW w:type="dxa" w:w="2592"/>
            <w:shd w:val="clear" w:color="auto" w:fill="FFFFFF"/>
          </w:tcPr>
          <w:p>
            <w:pPr>
              <w:spacing w:before="40" w:after="40"/>
            </w:pPr>
            <w:r/>
            <w:r>
              <w:rPr>
                <w:rFonts w:ascii="Calibri" w:hAnsi="Calibri"/>
                <w:sz w:val="21"/>
              </w:rPr>
              <w:t>Academic Presentation</w:t>
            </w:r>
          </w:p>
        </w:tc>
        <w:tc>
          <w:tcPr>
            <w:tcW w:type="dxa" w:w="6120"/>
            <w:shd w:val="clear" w:color="auto" w:fill="FFFFFF"/>
          </w:tcPr>
          <w:p>
            <w:pPr>
              <w:spacing w:before="40" w:after="40"/>
            </w:pPr>
            <w:r/>
            <w:r>
              <w:rPr>
                <w:rFonts w:ascii="Calibri" w:hAnsi="Calibri"/>
                <w:sz w:val="21"/>
              </w:rPr>
              <w:t>The system can be demonstrated live in a classroom presentation covering all major modules with sample data, supporting a clear walkthrough of the business workflow.</w:t>
            </w:r>
          </w:p>
        </w:tc>
      </w:tr>
    </w:tbl>
    <w:p/>
    <w:p>
      <w:r>
        <w:br w:type="page"/>
      </w:r>
    </w:p>
    <w:p>
      <w:pPr>
        <w:pStyle w:val="Heading1"/>
        <w:spacing w:before="280" w:after="120"/>
      </w:pPr>
      <w:r>
        <w:t>11. Glossary of Terms</w:t>
      </w:r>
    </w:p>
    <w:p>
      <w:pPr>
        <w:spacing w:before="40" w:after="100" w:line="280" w:lineRule="exact"/>
      </w:pPr>
      <w:r>
        <w:t>The following terms and acronyms are used throughout this Business Requirement Document. Definitions are provided to ensure clarity for all readers, including those without a technical background.</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002C5F"/>
          </w:tcPr>
          <w:p>
            <w:pPr>
              <w:spacing w:before="60" w:after="60"/>
              <w:jc w:val="center"/>
            </w:pPr>
            <w:r/>
            <w:r>
              <w:rPr>
                <w:rFonts w:ascii="Calibri" w:hAnsi="Calibri"/>
                <w:b/>
                <w:color w:val="FFFFFF"/>
                <w:sz w:val="21"/>
              </w:rPr>
              <w:t>Term</w:t>
            </w:r>
          </w:p>
        </w:tc>
        <w:tc>
          <w:tcPr>
            <w:tcW w:type="dxa" w:w="2592"/>
            <w:shd w:val="clear" w:color="auto" w:fill="002C5F"/>
          </w:tcPr>
          <w:p>
            <w:pPr>
              <w:spacing w:before="60" w:after="60"/>
              <w:jc w:val="center"/>
            </w:pPr>
            <w:r/>
            <w:r>
              <w:rPr>
                <w:rFonts w:ascii="Calibri" w:hAnsi="Calibri"/>
                <w:b/>
                <w:color w:val="FFFFFF"/>
                <w:sz w:val="21"/>
              </w:rPr>
              <w:t>Full Form</w:t>
            </w:r>
          </w:p>
        </w:tc>
        <w:tc>
          <w:tcPr>
            <w:tcW w:type="dxa" w:w="5256"/>
            <w:shd w:val="clear" w:color="auto" w:fill="002C5F"/>
          </w:tcPr>
          <w:p>
            <w:pPr>
              <w:spacing w:before="60" w:after="60"/>
              <w:jc w:val="center"/>
            </w:pPr>
            <w:r/>
            <w:r>
              <w:rPr>
                <w:rFonts w:ascii="Calibri" w:hAnsi="Calibri"/>
                <w:b/>
                <w:color w:val="FFFFFF"/>
                <w:sz w:val="21"/>
              </w:rPr>
              <w:t>Definition</w:t>
            </w:r>
          </w:p>
        </w:tc>
      </w:tr>
      <w:tr>
        <w:tc>
          <w:tcPr>
            <w:tcW w:type="dxa" w:w="1728"/>
            <w:shd w:val="clear" w:color="auto" w:fill="F9FBFF"/>
          </w:tcPr>
          <w:p>
            <w:pPr>
              <w:spacing w:before="40" w:after="40"/>
            </w:pPr>
            <w:r/>
            <w:r>
              <w:rPr>
                <w:rFonts w:ascii="Calibri" w:hAnsi="Calibri"/>
                <w:sz w:val="21"/>
              </w:rPr>
              <w:t>API</w:t>
            </w:r>
          </w:p>
        </w:tc>
        <w:tc>
          <w:tcPr>
            <w:tcW w:type="dxa" w:w="2592"/>
            <w:shd w:val="clear" w:color="auto" w:fill="F9FBFF"/>
          </w:tcPr>
          <w:p>
            <w:pPr>
              <w:spacing w:before="40" w:after="40"/>
            </w:pPr>
            <w:r/>
            <w:r>
              <w:rPr>
                <w:rFonts w:ascii="Calibri" w:hAnsi="Calibri"/>
                <w:sz w:val="21"/>
              </w:rPr>
              <w:t>Application Programming Interface</w:t>
            </w:r>
          </w:p>
        </w:tc>
        <w:tc>
          <w:tcPr>
            <w:tcW w:type="dxa" w:w="5256"/>
            <w:shd w:val="clear" w:color="auto" w:fill="F9FBFF"/>
          </w:tcPr>
          <w:p>
            <w:pPr>
              <w:spacing w:before="40" w:after="40"/>
            </w:pPr>
            <w:r/>
            <w:r>
              <w:rPr>
                <w:rFonts w:ascii="Calibri" w:hAnsi="Calibri"/>
                <w:sz w:val="21"/>
              </w:rPr>
              <w:t>A defined set of rules and protocols that allows the frontend application to communicate with the backend server.</w:t>
            </w:r>
          </w:p>
        </w:tc>
      </w:tr>
      <w:tr>
        <w:tc>
          <w:tcPr>
            <w:tcW w:type="dxa" w:w="1728"/>
            <w:shd w:val="clear" w:color="auto" w:fill="FFFFFF"/>
          </w:tcPr>
          <w:p>
            <w:pPr>
              <w:spacing w:before="40" w:after="40"/>
            </w:pPr>
            <w:r/>
            <w:r>
              <w:rPr>
                <w:rFonts w:ascii="Calibri" w:hAnsi="Calibri"/>
                <w:sz w:val="21"/>
              </w:rPr>
              <w:t>BCrypt</w:t>
            </w:r>
          </w:p>
        </w:tc>
        <w:tc>
          <w:tcPr>
            <w:tcW w:type="dxa" w:w="2592"/>
            <w:shd w:val="clear" w:color="auto" w:fill="FFFFFF"/>
          </w:tcPr>
          <w:p>
            <w:pPr>
              <w:spacing w:before="40" w:after="40"/>
            </w:pPr>
            <w:r/>
            <w:r>
              <w:rPr>
                <w:rFonts w:ascii="Calibri" w:hAnsi="Calibri"/>
                <w:sz w:val="21"/>
              </w:rPr>
              <w:t>Blowfish Crypt</w:t>
            </w:r>
          </w:p>
        </w:tc>
        <w:tc>
          <w:tcPr>
            <w:tcW w:type="dxa" w:w="5256"/>
            <w:shd w:val="clear" w:color="auto" w:fill="FFFFFF"/>
          </w:tcPr>
          <w:p>
            <w:pPr>
              <w:spacing w:before="40" w:after="40"/>
            </w:pPr>
            <w:r/>
            <w:r>
              <w:rPr>
                <w:rFonts w:ascii="Calibri" w:hAnsi="Calibri"/>
                <w:sz w:val="21"/>
              </w:rPr>
              <w:t>A password-hashing algorithm that applies a cost factor to make brute-force attacks computationally expensive.</w:t>
            </w:r>
          </w:p>
        </w:tc>
      </w:tr>
      <w:tr>
        <w:tc>
          <w:tcPr>
            <w:tcW w:type="dxa" w:w="1728"/>
            <w:shd w:val="clear" w:color="auto" w:fill="F9FBFF"/>
          </w:tcPr>
          <w:p>
            <w:pPr>
              <w:spacing w:before="40" w:after="40"/>
            </w:pPr>
            <w:r/>
            <w:r>
              <w:rPr>
                <w:rFonts w:ascii="Calibri" w:hAnsi="Calibri"/>
                <w:sz w:val="21"/>
              </w:rPr>
              <w:t>Booking</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 reservation made by a customer for a specific vehicle variant, confirmed by a dealership sales executive. Serves as the primary commercial transaction initiating the sales cycle.</w:t>
            </w:r>
          </w:p>
        </w:tc>
      </w:tr>
      <w:tr>
        <w:tc>
          <w:tcPr>
            <w:tcW w:type="dxa" w:w="1728"/>
            <w:shd w:val="clear" w:color="auto" w:fill="FFFFFF"/>
          </w:tcPr>
          <w:p>
            <w:pPr>
              <w:spacing w:before="40" w:after="40"/>
            </w:pPr>
            <w:r/>
            <w:r>
              <w:rPr>
                <w:rFonts w:ascii="Calibri" w:hAnsi="Calibri"/>
                <w:sz w:val="21"/>
              </w:rPr>
              <w:t>CORS</w:t>
            </w:r>
          </w:p>
        </w:tc>
        <w:tc>
          <w:tcPr>
            <w:tcW w:type="dxa" w:w="2592"/>
            <w:shd w:val="clear" w:color="auto" w:fill="FFFFFF"/>
          </w:tcPr>
          <w:p>
            <w:pPr>
              <w:spacing w:before="40" w:after="40"/>
            </w:pPr>
            <w:r/>
            <w:r>
              <w:rPr>
                <w:rFonts w:ascii="Calibri" w:hAnsi="Calibri"/>
                <w:sz w:val="21"/>
              </w:rPr>
              <w:t>Cross-Origin Resource Sharing</w:t>
            </w:r>
          </w:p>
        </w:tc>
        <w:tc>
          <w:tcPr>
            <w:tcW w:type="dxa" w:w="5256"/>
            <w:shd w:val="clear" w:color="auto" w:fill="FFFFFF"/>
          </w:tcPr>
          <w:p>
            <w:pPr>
              <w:spacing w:before="40" w:after="40"/>
            </w:pPr>
            <w:r/>
            <w:r>
              <w:rPr>
                <w:rFonts w:ascii="Calibri" w:hAnsi="Calibri"/>
                <w:sz w:val="21"/>
              </w:rPr>
              <w:t>A browser security mechanism that controls which external domains are permitted to make API requests to the backend server.</w:t>
            </w:r>
          </w:p>
        </w:tc>
      </w:tr>
      <w:tr>
        <w:tc>
          <w:tcPr>
            <w:tcW w:type="dxa" w:w="1728"/>
            <w:shd w:val="clear" w:color="auto" w:fill="F9FBFF"/>
          </w:tcPr>
          <w:p>
            <w:pPr>
              <w:spacing w:before="40" w:after="40"/>
            </w:pPr>
            <w:r/>
            <w:r>
              <w:rPr>
                <w:rFonts w:ascii="Calibri" w:hAnsi="Calibri"/>
                <w:sz w:val="21"/>
              </w:rPr>
              <w:t>CRM</w:t>
            </w:r>
          </w:p>
        </w:tc>
        <w:tc>
          <w:tcPr>
            <w:tcW w:type="dxa" w:w="2592"/>
            <w:shd w:val="clear" w:color="auto" w:fill="F9FBFF"/>
          </w:tcPr>
          <w:p>
            <w:pPr>
              <w:spacing w:before="40" w:after="40"/>
            </w:pPr>
            <w:r/>
            <w:r>
              <w:rPr>
                <w:rFonts w:ascii="Calibri" w:hAnsi="Calibri"/>
                <w:sz w:val="21"/>
              </w:rPr>
              <w:t>Customer Relationship Management</w:t>
            </w:r>
          </w:p>
        </w:tc>
        <w:tc>
          <w:tcPr>
            <w:tcW w:type="dxa" w:w="5256"/>
            <w:shd w:val="clear" w:color="auto" w:fill="F9FBFF"/>
          </w:tcPr>
          <w:p>
            <w:pPr>
              <w:spacing w:before="40" w:after="40"/>
            </w:pPr>
            <w:r/>
            <w:r>
              <w:rPr>
                <w:rFonts w:ascii="Calibri" w:hAnsi="Calibri"/>
                <w:sz w:val="21"/>
              </w:rPr>
              <w:t>A system or approach for managing and analysing customer interactions and data throughout the customer lifecycle.</w:t>
            </w:r>
          </w:p>
        </w:tc>
      </w:tr>
      <w:tr>
        <w:tc>
          <w:tcPr>
            <w:tcW w:type="dxa" w:w="1728"/>
            <w:shd w:val="clear" w:color="auto" w:fill="FFFFFF"/>
          </w:tcPr>
          <w:p>
            <w:pPr>
              <w:spacing w:before="40" w:after="40"/>
            </w:pPr>
            <w:r/>
            <w:r>
              <w:rPr>
                <w:rFonts w:ascii="Calibri" w:hAnsi="Calibri"/>
                <w:sz w:val="21"/>
              </w:rPr>
              <w:t>CSV</w:t>
            </w:r>
          </w:p>
        </w:tc>
        <w:tc>
          <w:tcPr>
            <w:tcW w:type="dxa" w:w="2592"/>
            <w:shd w:val="clear" w:color="auto" w:fill="FFFFFF"/>
          </w:tcPr>
          <w:p>
            <w:pPr>
              <w:spacing w:before="40" w:after="40"/>
            </w:pPr>
            <w:r/>
            <w:r>
              <w:rPr>
                <w:rFonts w:ascii="Calibri" w:hAnsi="Calibri"/>
                <w:sz w:val="21"/>
              </w:rPr>
              <w:t>Comma-Separated Values</w:t>
            </w:r>
          </w:p>
        </w:tc>
        <w:tc>
          <w:tcPr>
            <w:tcW w:type="dxa" w:w="5256"/>
            <w:shd w:val="clear" w:color="auto" w:fill="FFFFFF"/>
          </w:tcPr>
          <w:p>
            <w:pPr>
              <w:spacing w:before="40" w:after="40"/>
            </w:pPr>
            <w:r/>
            <w:r>
              <w:rPr>
                <w:rFonts w:ascii="Calibri" w:hAnsi="Calibri"/>
                <w:sz w:val="21"/>
              </w:rPr>
              <w:t>A plain-text file format used for bulk data import of customer and vehicle records into the DMS.</w:t>
            </w:r>
          </w:p>
        </w:tc>
      </w:tr>
      <w:tr>
        <w:tc>
          <w:tcPr>
            <w:tcW w:type="dxa" w:w="1728"/>
            <w:shd w:val="clear" w:color="auto" w:fill="F9FBFF"/>
          </w:tcPr>
          <w:p>
            <w:pPr>
              <w:spacing w:before="40" w:after="40"/>
            </w:pPr>
            <w:r/>
            <w:r>
              <w:rPr>
                <w:rFonts w:ascii="Calibri" w:hAnsi="Calibri"/>
                <w:sz w:val="21"/>
              </w:rPr>
              <w:t>DAO / Repository</w:t>
            </w:r>
          </w:p>
        </w:tc>
        <w:tc>
          <w:tcPr>
            <w:tcW w:type="dxa" w:w="2592"/>
            <w:shd w:val="clear" w:color="auto" w:fill="F9FBFF"/>
          </w:tcPr>
          <w:p>
            <w:pPr>
              <w:spacing w:before="40" w:after="40"/>
            </w:pPr>
            <w:r/>
            <w:r>
              <w:rPr>
                <w:rFonts w:ascii="Calibri" w:hAnsi="Calibri"/>
                <w:sz w:val="21"/>
              </w:rPr>
              <w:t>Data Access Object</w:t>
            </w:r>
          </w:p>
        </w:tc>
        <w:tc>
          <w:tcPr>
            <w:tcW w:type="dxa" w:w="5256"/>
            <w:shd w:val="clear" w:color="auto" w:fill="F9FBFF"/>
          </w:tcPr>
          <w:p>
            <w:pPr>
              <w:spacing w:before="40" w:after="40"/>
            </w:pPr>
            <w:r/>
            <w:r>
              <w:rPr>
                <w:rFonts w:ascii="Calibri" w:hAnsi="Calibri"/>
                <w:sz w:val="21"/>
              </w:rPr>
              <w:t>The layer in the Spring Boot application responsible for direct interaction with the MySQL database via JPA.</w:t>
            </w:r>
          </w:p>
        </w:tc>
      </w:tr>
      <w:tr>
        <w:tc>
          <w:tcPr>
            <w:tcW w:type="dxa" w:w="1728"/>
            <w:shd w:val="clear" w:color="auto" w:fill="FFFFFF"/>
          </w:tcPr>
          <w:p>
            <w:pPr>
              <w:spacing w:before="40" w:after="40"/>
            </w:pPr>
            <w:r/>
            <w:r>
              <w:rPr>
                <w:rFonts w:ascii="Calibri" w:hAnsi="Calibri"/>
                <w:sz w:val="21"/>
              </w:rPr>
              <w:t>DMS</w:t>
            </w:r>
          </w:p>
        </w:tc>
        <w:tc>
          <w:tcPr>
            <w:tcW w:type="dxa" w:w="2592"/>
            <w:shd w:val="clear" w:color="auto" w:fill="FFFFFF"/>
          </w:tcPr>
          <w:p>
            <w:pPr>
              <w:spacing w:before="40" w:after="40"/>
            </w:pPr>
            <w:r/>
            <w:r>
              <w:rPr>
                <w:rFonts w:ascii="Calibri" w:hAnsi="Calibri"/>
                <w:sz w:val="21"/>
              </w:rPr>
              <w:t>Dealer Management System</w:t>
            </w:r>
          </w:p>
        </w:tc>
        <w:tc>
          <w:tcPr>
            <w:tcW w:type="dxa" w:w="5256"/>
            <w:shd w:val="clear" w:color="auto" w:fill="FFFFFF"/>
          </w:tcPr>
          <w:p>
            <w:pPr>
              <w:spacing w:before="40" w:after="40"/>
            </w:pPr>
            <w:r/>
            <w:r>
              <w:rPr>
                <w:rFonts w:ascii="Calibri" w:hAnsi="Calibri"/>
                <w:sz w:val="21"/>
              </w:rPr>
              <w:t>The integrated software platform described in this document, designed to manage all operational aspects of a Hyundai vehicle dealership.</w:t>
            </w:r>
          </w:p>
        </w:tc>
      </w:tr>
      <w:tr>
        <w:tc>
          <w:tcPr>
            <w:tcW w:type="dxa" w:w="1728"/>
            <w:shd w:val="clear" w:color="auto" w:fill="F9FBFF"/>
          </w:tcPr>
          <w:p>
            <w:pPr>
              <w:spacing w:before="40" w:after="40"/>
            </w:pPr>
            <w:r/>
            <w:r>
              <w:rPr>
                <w:rFonts w:ascii="Calibri" w:hAnsi="Calibri"/>
                <w:sz w:val="21"/>
              </w:rPr>
              <w:t>DTO</w:t>
            </w:r>
          </w:p>
        </w:tc>
        <w:tc>
          <w:tcPr>
            <w:tcW w:type="dxa" w:w="2592"/>
            <w:shd w:val="clear" w:color="auto" w:fill="F9FBFF"/>
          </w:tcPr>
          <w:p>
            <w:pPr>
              <w:spacing w:before="40" w:after="40"/>
            </w:pPr>
            <w:r/>
            <w:r>
              <w:rPr>
                <w:rFonts w:ascii="Calibri" w:hAnsi="Calibri"/>
                <w:sz w:val="21"/>
              </w:rPr>
              <w:t>Data Transfer Object</w:t>
            </w:r>
          </w:p>
        </w:tc>
        <w:tc>
          <w:tcPr>
            <w:tcW w:type="dxa" w:w="5256"/>
            <w:shd w:val="clear" w:color="auto" w:fill="F9FBFF"/>
          </w:tcPr>
          <w:p>
            <w:pPr>
              <w:spacing w:before="40" w:after="40"/>
            </w:pPr>
            <w:r/>
            <w:r>
              <w:rPr>
                <w:rFonts w:ascii="Calibri" w:hAnsi="Calibri"/>
                <w:sz w:val="21"/>
              </w:rPr>
              <w:t>A lightweight object used to transfer data between the frontend and backend API layer, decoupled from the database entity model.</w:t>
            </w:r>
          </w:p>
        </w:tc>
      </w:tr>
      <w:tr>
        <w:tc>
          <w:tcPr>
            <w:tcW w:type="dxa" w:w="1728"/>
            <w:shd w:val="clear" w:color="auto" w:fill="FFFFFF"/>
          </w:tcPr>
          <w:p>
            <w:pPr>
              <w:spacing w:before="40" w:after="40"/>
            </w:pPr>
            <w:r/>
            <w:r>
              <w:rPr>
                <w:rFonts w:ascii="Calibri" w:hAnsi="Calibri"/>
                <w:sz w:val="21"/>
              </w:rPr>
              <w:t>Entity</w:t>
            </w:r>
          </w:p>
        </w:tc>
        <w:tc>
          <w:tcPr>
            <w:tcW w:type="dxa" w:w="2592"/>
            <w:shd w:val="clear" w:color="auto" w:fill="FFFFFF"/>
          </w:tcPr>
          <w:p>
            <w:pPr>
              <w:spacing w:before="40" w:after="40"/>
            </w:pPr>
            <w:r/>
            <w:r>
              <w:rPr>
                <w:rFonts w:ascii="Calibri" w:hAnsi="Calibri"/>
                <w:sz w:val="21"/>
              </w:rPr>
              <w:t>—</w:t>
            </w:r>
          </w:p>
        </w:tc>
        <w:tc>
          <w:tcPr>
            <w:tcW w:type="dxa" w:w="5256"/>
            <w:shd w:val="clear" w:color="auto" w:fill="FFFFFF"/>
          </w:tcPr>
          <w:p>
            <w:pPr>
              <w:spacing w:before="40" w:after="40"/>
            </w:pPr>
            <w:r/>
            <w:r>
              <w:rPr>
                <w:rFonts w:ascii="Calibri" w:hAnsi="Calibri"/>
                <w:sz w:val="21"/>
              </w:rPr>
              <w:t>A Java class annotated with @Entity that maps directly to a database table via JPA/Hibernate ORM.</w:t>
            </w:r>
          </w:p>
        </w:tc>
      </w:tr>
      <w:tr>
        <w:tc>
          <w:tcPr>
            <w:tcW w:type="dxa" w:w="1728"/>
            <w:shd w:val="clear" w:color="auto" w:fill="F9FBFF"/>
          </w:tcPr>
          <w:p>
            <w:pPr>
              <w:spacing w:before="40" w:after="40"/>
            </w:pPr>
            <w:r/>
            <w:r>
              <w:rPr>
                <w:rFonts w:ascii="Calibri" w:hAnsi="Calibri"/>
                <w:sz w:val="21"/>
              </w:rPr>
              <w:t>Exchange</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The trade-in of a customer's existing vehicle against the purchase price of a new Hyundai vehicle. The old vehicle is evaluated and a credit amount is offered.</w:t>
            </w:r>
          </w:p>
        </w:tc>
      </w:tr>
      <w:tr>
        <w:tc>
          <w:tcPr>
            <w:tcW w:type="dxa" w:w="1728"/>
            <w:shd w:val="clear" w:color="auto" w:fill="FFFFFF"/>
          </w:tcPr>
          <w:p>
            <w:pPr>
              <w:spacing w:before="40" w:after="40"/>
            </w:pPr>
            <w:r/>
            <w:r>
              <w:rPr>
                <w:rFonts w:ascii="Calibri" w:hAnsi="Calibri"/>
                <w:sz w:val="21"/>
              </w:rPr>
              <w:t>Ex-Showroom Price</w:t>
            </w:r>
          </w:p>
        </w:tc>
        <w:tc>
          <w:tcPr>
            <w:tcW w:type="dxa" w:w="2592"/>
            <w:shd w:val="clear" w:color="auto" w:fill="FFFFFF"/>
          </w:tcPr>
          <w:p>
            <w:pPr>
              <w:spacing w:before="40" w:after="40"/>
            </w:pPr>
            <w:r/>
            <w:r>
              <w:rPr>
                <w:rFonts w:ascii="Calibri" w:hAnsi="Calibri"/>
                <w:sz w:val="21"/>
              </w:rPr>
              <w:t>—</w:t>
            </w:r>
          </w:p>
        </w:tc>
        <w:tc>
          <w:tcPr>
            <w:tcW w:type="dxa" w:w="5256"/>
            <w:shd w:val="clear" w:color="auto" w:fill="FFFFFF"/>
          </w:tcPr>
          <w:p>
            <w:pPr>
              <w:spacing w:before="40" w:after="40"/>
            </w:pPr>
            <w:r/>
            <w:r>
              <w:rPr>
                <w:rFonts w:ascii="Calibri" w:hAnsi="Calibri"/>
                <w:sz w:val="21"/>
              </w:rPr>
              <w:t>The manufacturer's listed price of a vehicle at the dealership showroom, before taxes, insurance, and registration charges.</w:t>
            </w:r>
          </w:p>
        </w:tc>
      </w:tr>
      <w:tr>
        <w:tc>
          <w:tcPr>
            <w:tcW w:type="dxa" w:w="1728"/>
            <w:shd w:val="clear" w:color="auto" w:fill="F9FBFF"/>
          </w:tcPr>
          <w:p>
            <w:pPr>
              <w:spacing w:before="40" w:after="40"/>
            </w:pPr>
            <w:r/>
            <w:r>
              <w:rPr>
                <w:rFonts w:ascii="Calibri" w:hAnsi="Calibri"/>
                <w:sz w:val="21"/>
              </w:rPr>
              <w:t>HTTP</w:t>
            </w:r>
          </w:p>
        </w:tc>
        <w:tc>
          <w:tcPr>
            <w:tcW w:type="dxa" w:w="2592"/>
            <w:shd w:val="clear" w:color="auto" w:fill="F9FBFF"/>
          </w:tcPr>
          <w:p>
            <w:pPr>
              <w:spacing w:before="40" w:after="40"/>
            </w:pPr>
            <w:r/>
            <w:r>
              <w:rPr>
                <w:rFonts w:ascii="Calibri" w:hAnsi="Calibri"/>
                <w:sz w:val="21"/>
              </w:rPr>
              <w:t>HyperText Transfer Protocol</w:t>
            </w:r>
          </w:p>
        </w:tc>
        <w:tc>
          <w:tcPr>
            <w:tcW w:type="dxa" w:w="5256"/>
            <w:shd w:val="clear" w:color="auto" w:fill="F9FBFF"/>
          </w:tcPr>
          <w:p>
            <w:pPr>
              <w:spacing w:before="40" w:after="40"/>
            </w:pPr>
            <w:r/>
            <w:r>
              <w:rPr>
                <w:rFonts w:ascii="Calibri" w:hAnsi="Calibri"/>
                <w:sz w:val="21"/>
              </w:rPr>
              <w:t>The communication protocol used for data transfer between the React frontend (browser) and the Spring Boot REST API.</w:t>
            </w:r>
          </w:p>
        </w:tc>
      </w:tr>
      <w:tr>
        <w:tc>
          <w:tcPr>
            <w:tcW w:type="dxa" w:w="1728"/>
            <w:shd w:val="clear" w:color="auto" w:fill="FFFFFF"/>
          </w:tcPr>
          <w:p>
            <w:pPr>
              <w:spacing w:before="40" w:after="40"/>
            </w:pPr>
            <w:r/>
            <w:r>
              <w:rPr>
                <w:rFonts w:ascii="Calibri" w:hAnsi="Calibri"/>
                <w:sz w:val="21"/>
              </w:rPr>
              <w:t>Inventory</w:t>
            </w:r>
          </w:p>
        </w:tc>
        <w:tc>
          <w:tcPr>
            <w:tcW w:type="dxa" w:w="2592"/>
            <w:shd w:val="clear" w:color="auto" w:fill="FFFFFF"/>
          </w:tcPr>
          <w:p>
            <w:pPr>
              <w:spacing w:before="40" w:after="40"/>
            </w:pPr>
            <w:r/>
            <w:r>
              <w:rPr>
                <w:rFonts w:ascii="Calibri" w:hAnsi="Calibri"/>
                <w:sz w:val="21"/>
              </w:rPr>
              <w:t>—</w:t>
            </w:r>
          </w:p>
        </w:tc>
        <w:tc>
          <w:tcPr>
            <w:tcW w:type="dxa" w:w="5256"/>
            <w:shd w:val="clear" w:color="auto" w:fill="FFFFFF"/>
          </w:tcPr>
          <w:p>
            <w:pPr>
              <w:spacing w:before="40" w:after="40"/>
            </w:pPr>
            <w:r/>
            <w:r>
              <w:rPr>
                <w:rFonts w:ascii="Calibri" w:hAnsi="Calibri"/>
                <w:sz w:val="21"/>
              </w:rPr>
              <w:t>The collection of all vehicles physically held or in transit to the dealership, tracked by status and location.</w:t>
            </w:r>
          </w:p>
        </w:tc>
      </w:tr>
      <w:tr>
        <w:tc>
          <w:tcPr>
            <w:tcW w:type="dxa" w:w="1728"/>
            <w:shd w:val="clear" w:color="auto" w:fill="F9FBFF"/>
          </w:tcPr>
          <w:p>
            <w:pPr>
              <w:spacing w:before="40" w:after="40"/>
            </w:pPr>
            <w:r/>
            <w:r>
              <w:rPr>
                <w:rFonts w:ascii="Calibri" w:hAnsi="Calibri"/>
                <w:sz w:val="21"/>
              </w:rPr>
              <w:t>Invoice</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 formal financial document generated upon vehicle delivery, summarising the complete transaction including vehicle price, accessories, taxes, and deductions.</w:t>
            </w:r>
          </w:p>
        </w:tc>
      </w:tr>
      <w:tr>
        <w:tc>
          <w:tcPr>
            <w:tcW w:type="dxa" w:w="1728"/>
            <w:shd w:val="clear" w:color="auto" w:fill="FFFFFF"/>
          </w:tcPr>
          <w:p>
            <w:pPr>
              <w:spacing w:before="40" w:after="40"/>
            </w:pPr>
            <w:r/>
            <w:r>
              <w:rPr>
                <w:rFonts w:ascii="Calibri" w:hAnsi="Calibri"/>
                <w:sz w:val="21"/>
              </w:rPr>
              <w:t>JPA</w:t>
            </w:r>
          </w:p>
        </w:tc>
        <w:tc>
          <w:tcPr>
            <w:tcW w:type="dxa" w:w="2592"/>
            <w:shd w:val="clear" w:color="auto" w:fill="FFFFFF"/>
          </w:tcPr>
          <w:p>
            <w:pPr>
              <w:spacing w:before="40" w:after="40"/>
            </w:pPr>
            <w:r/>
            <w:r>
              <w:rPr>
                <w:rFonts w:ascii="Calibri" w:hAnsi="Calibri"/>
                <w:sz w:val="21"/>
              </w:rPr>
              <w:t>Java Persistence API</w:t>
            </w:r>
          </w:p>
        </w:tc>
        <w:tc>
          <w:tcPr>
            <w:tcW w:type="dxa" w:w="5256"/>
            <w:shd w:val="clear" w:color="auto" w:fill="FFFFFF"/>
          </w:tcPr>
          <w:p>
            <w:pPr>
              <w:spacing w:before="40" w:after="40"/>
            </w:pPr>
            <w:r/>
            <w:r>
              <w:rPr>
                <w:rFonts w:ascii="Calibri" w:hAnsi="Calibri"/>
                <w:sz w:val="21"/>
              </w:rPr>
              <w:t>A Java specification for ORM (Object-Relational Mapping) that maps Java entity classes to relational database tables.</w:t>
            </w:r>
          </w:p>
        </w:tc>
      </w:tr>
      <w:tr>
        <w:tc>
          <w:tcPr>
            <w:tcW w:type="dxa" w:w="1728"/>
            <w:shd w:val="clear" w:color="auto" w:fill="F9FBFF"/>
          </w:tcPr>
          <w:p>
            <w:pPr>
              <w:spacing w:before="40" w:after="40"/>
            </w:pPr>
            <w:r/>
            <w:r>
              <w:rPr>
                <w:rFonts w:ascii="Calibri" w:hAnsi="Calibri"/>
                <w:sz w:val="21"/>
              </w:rPr>
              <w:t>JWT</w:t>
            </w:r>
          </w:p>
        </w:tc>
        <w:tc>
          <w:tcPr>
            <w:tcW w:type="dxa" w:w="2592"/>
            <w:shd w:val="clear" w:color="auto" w:fill="F9FBFF"/>
          </w:tcPr>
          <w:p>
            <w:pPr>
              <w:spacing w:before="40" w:after="40"/>
            </w:pPr>
            <w:r/>
            <w:r>
              <w:rPr>
                <w:rFonts w:ascii="Calibri" w:hAnsi="Calibri"/>
                <w:sz w:val="21"/>
              </w:rPr>
              <w:t>JSON Web Token</w:t>
            </w:r>
          </w:p>
        </w:tc>
        <w:tc>
          <w:tcPr>
            <w:tcW w:type="dxa" w:w="5256"/>
            <w:shd w:val="clear" w:color="auto" w:fill="F9FBFF"/>
          </w:tcPr>
          <w:p>
            <w:pPr>
              <w:spacing w:before="40" w:after="40"/>
            </w:pPr>
            <w:r/>
            <w:r>
              <w:rPr>
                <w:rFonts w:ascii="Calibri" w:hAnsi="Calibri"/>
                <w:sz w:val="21"/>
              </w:rPr>
              <w:t>A compact, cryptographically signed token issued upon login and included in every subsequent API request to authenticate and authorise the user.</w:t>
            </w:r>
          </w:p>
        </w:tc>
      </w:tr>
      <w:tr>
        <w:tc>
          <w:tcPr>
            <w:tcW w:type="dxa" w:w="1728"/>
            <w:shd w:val="clear" w:color="auto" w:fill="FFFFFF"/>
          </w:tcPr>
          <w:p>
            <w:pPr>
              <w:spacing w:before="40" w:after="40"/>
            </w:pPr>
            <w:r/>
            <w:r>
              <w:rPr>
                <w:rFonts w:ascii="Calibri" w:hAnsi="Calibri"/>
                <w:sz w:val="21"/>
              </w:rPr>
              <w:t>KPI</w:t>
            </w:r>
          </w:p>
        </w:tc>
        <w:tc>
          <w:tcPr>
            <w:tcW w:type="dxa" w:w="2592"/>
            <w:shd w:val="clear" w:color="auto" w:fill="FFFFFF"/>
          </w:tcPr>
          <w:p>
            <w:pPr>
              <w:spacing w:before="40" w:after="40"/>
            </w:pPr>
            <w:r/>
            <w:r>
              <w:rPr>
                <w:rFonts w:ascii="Calibri" w:hAnsi="Calibri"/>
                <w:sz w:val="21"/>
              </w:rPr>
              <w:t>Key Performance Indicator</w:t>
            </w:r>
          </w:p>
        </w:tc>
        <w:tc>
          <w:tcPr>
            <w:tcW w:type="dxa" w:w="5256"/>
            <w:shd w:val="clear" w:color="auto" w:fill="FFFFFF"/>
          </w:tcPr>
          <w:p>
            <w:pPr>
              <w:spacing w:before="40" w:after="40"/>
            </w:pPr>
            <w:r/>
            <w:r>
              <w:rPr>
                <w:rFonts w:ascii="Calibri" w:hAnsi="Calibri"/>
                <w:sz w:val="21"/>
              </w:rPr>
              <w:t>A measurable value displayed on the dashboard that reflects the dealership's performance against defined operational targets.</w:t>
            </w:r>
          </w:p>
        </w:tc>
      </w:tr>
      <w:tr>
        <w:tc>
          <w:tcPr>
            <w:tcW w:type="dxa" w:w="1728"/>
            <w:shd w:val="clear" w:color="auto" w:fill="F9FBFF"/>
          </w:tcPr>
          <w:p>
            <w:pPr>
              <w:spacing w:before="40" w:after="40"/>
            </w:pPr>
            <w:r/>
            <w:r>
              <w:rPr>
                <w:rFonts w:ascii="Calibri" w:hAnsi="Calibri"/>
                <w:sz w:val="21"/>
              </w:rPr>
              <w:t>KYC</w:t>
            </w:r>
          </w:p>
        </w:tc>
        <w:tc>
          <w:tcPr>
            <w:tcW w:type="dxa" w:w="2592"/>
            <w:shd w:val="clear" w:color="auto" w:fill="F9FBFF"/>
          </w:tcPr>
          <w:p>
            <w:pPr>
              <w:spacing w:before="40" w:after="40"/>
            </w:pPr>
            <w:r/>
            <w:r>
              <w:rPr>
                <w:rFonts w:ascii="Calibri" w:hAnsi="Calibri"/>
                <w:sz w:val="21"/>
              </w:rPr>
              <w:t>Know Your Customer</w:t>
            </w:r>
          </w:p>
        </w:tc>
        <w:tc>
          <w:tcPr>
            <w:tcW w:type="dxa" w:w="5256"/>
            <w:shd w:val="clear" w:color="auto" w:fill="F9FBFF"/>
          </w:tcPr>
          <w:p>
            <w:pPr>
              <w:spacing w:before="40" w:after="40"/>
            </w:pPr>
            <w:r/>
            <w:r>
              <w:rPr>
                <w:rFonts w:ascii="Calibri" w:hAnsi="Calibri"/>
                <w:sz w:val="21"/>
              </w:rPr>
              <w:t>The process of verifying a customer's identity and address using government-issued documents such as PAN, Aadhaar, and Driving Licence.</w:t>
            </w:r>
          </w:p>
        </w:tc>
      </w:tr>
      <w:tr>
        <w:tc>
          <w:tcPr>
            <w:tcW w:type="dxa" w:w="1728"/>
            <w:shd w:val="clear" w:color="auto" w:fill="FFFFFF"/>
          </w:tcPr>
          <w:p>
            <w:pPr>
              <w:spacing w:before="40" w:after="40"/>
            </w:pPr>
            <w:r/>
            <w:r>
              <w:rPr>
                <w:rFonts w:ascii="Calibri" w:hAnsi="Calibri"/>
                <w:sz w:val="21"/>
              </w:rPr>
              <w:t>Lombok</w:t>
            </w:r>
          </w:p>
        </w:tc>
        <w:tc>
          <w:tcPr>
            <w:tcW w:type="dxa" w:w="2592"/>
            <w:shd w:val="clear" w:color="auto" w:fill="FFFFFF"/>
          </w:tcPr>
          <w:p>
            <w:pPr>
              <w:spacing w:before="40" w:after="40"/>
            </w:pPr>
            <w:r/>
            <w:r>
              <w:rPr>
                <w:rFonts w:ascii="Calibri" w:hAnsi="Calibri"/>
                <w:sz w:val="21"/>
              </w:rPr>
              <w:t>—</w:t>
            </w:r>
          </w:p>
        </w:tc>
        <w:tc>
          <w:tcPr>
            <w:tcW w:type="dxa" w:w="5256"/>
            <w:shd w:val="clear" w:color="auto" w:fill="FFFFFF"/>
          </w:tcPr>
          <w:p>
            <w:pPr>
              <w:spacing w:before="40" w:after="40"/>
            </w:pPr>
            <w:r/>
            <w:r>
              <w:rPr>
                <w:rFonts w:ascii="Calibri" w:hAnsi="Calibri"/>
                <w:sz w:val="21"/>
              </w:rPr>
              <w:t>A Java library that reduces boilerplate code (e.g., getters, setters, constructors) through compile-time annotations.</w:t>
            </w:r>
          </w:p>
        </w:tc>
      </w:tr>
      <w:tr>
        <w:tc>
          <w:tcPr>
            <w:tcW w:type="dxa" w:w="1728"/>
            <w:shd w:val="clear" w:color="auto" w:fill="F9FBFF"/>
          </w:tcPr>
          <w:p>
            <w:pPr>
              <w:spacing w:before="40" w:after="40"/>
            </w:pPr>
            <w:r/>
            <w:r>
              <w:rPr>
                <w:rFonts w:ascii="Calibri" w:hAnsi="Calibri"/>
                <w:sz w:val="21"/>
              </w:rPr>
              <w:t>Maven</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An open-source build automation and dependency management tool used for the Spring Boot backend project.</w:t>
            </w:r>
          </w:p>
        </w:tc>
      </w:tr>
      <w:tr>
        <w:tc>
          <w:tcPr>
            <w:tcW w:type="dxa" w:w="1728"/>
            <w:shd w:val="clear" w:color="auto" w:fill="FFFFFF"/>
          </w:tcPr>
          <w:p>
            <w:pPr>
              <w:spacing w:before="40" w:after="40"/>
            </w:pPr>
            <w:r/>
            <w:r>
              <w:rPr>
                <w:rFonts w:ascii="Calibri" w:hAnsi="Calibri"/>
                <w:sz w:val="21"/>
              </w:rPr>
              <w:t>MySQL</w:t>
            </w:r>
          </w:p>
        </w:tc>
        <w:tc>
          <w:tcPr>
            <w:tcW w:type="dxa" w:w="2592"/>
            <w:shd w:val="clear" w:color="auto" w:fill="FFFFFF"/>
          </w:tcPr>
          <w:p>
            <w:pPr>
              <w:spacing w:before="40" w:after="40"/>
            </w:pPr>
            <w:r/>
            <w:r>
              <w:rPr>
                <w:rFonts w:ascii="Calibri" w:hAnsi="Calibri"/>
                <w:sz w:val="21"/>
              </w:rPr>
              <w:t>My Structured Query Language</w:t>
            </w:r>
          </w:p>
        </w:tc>
        <w:tc>
          <w:tcPr>
            <w:tcW w:type="dxa" w:w="5256"/>
            <w:shd w:val="clear" w:color="auto" w:fill="FFFFFF"/>
          </w:tcPr>
          <w:p>
            <w:pPr>
              <w:spacing w:before="40" w:after="40"/>
            </w:pPr>
            <w:r/>
            <w:r>
              <w:rPr>
                <w:rFonts w:ascii="Calibri" w:hAnsi="Calibri"/>
                <w:sz w:val="21"/>
              </w:rPr>
              <w:t>The relational database management system used to persistently store all DMS data.</w:t>
            </w:r>
          </w:p>
        </w:tc>
      </w:tr>
      <w:tr>
        <w:tc>
          <w:tcPr>
            <w:tcW w:type="dxa" w:w="1728"/>
            <w:shd w:val="clear" w:color="auto" w:fill="F9FBFF"/>
          </w:tcPr>
          <w:p>
            <w:pPr>
              <w:spacing w:before="40" w:after="40"/>
            </w:pPr>
            <w:r/>
            <w:r>
              <w:rPr>
                <w:rFonts w:ascii="Calibri" w:hAnsi="Calibri"/>
                <w:sz w:val="21"/>
              </w:rPr>
              <w:t>OEM</w:t>
            </w:r>
          </w:p>
        </w:tc>
        <w:tc>
          <w:tcPr>
            <w:tcW w:type="dxa" w:w="2592"/>
            <w:shd w:val="clear" w:color="auto" w:fill="F9FBFF"/>
          </w:tcPr>
          <w:p>
            <w:pPr>
              <w:spacing w:before="40" w:after="40"/>
            </w:pPr>
            <w:r/>
            <w:r>
              <w:rPr>
                <w:rFonts w:ascii="Calibri" w:hAnsi="Calibri"/>
                <w:sz w:val="21"/>
              </w:rPr>
              <w:t>Original Equipment Manufacturer</w:t>
            </w:r>
          </w:p>
        </w:tc>
        <w:tc>
          <w:tcPr>
            <w:tcW w:type="dxa" w:w="5256"/>
            <w:shd w:val="clear" w:color="auto" w:fill="F9FBFF"/>
          </w:tcPr>
          <w:p>
            <w:pPr>
              <w:spacing w:before="40" w:after="40"/>
            </w:pPr>
            <w:r/>
            <w:r>
              <w:rPr>
                <w:rFonts w:ascii="Calibri" w:hAnsi="Calibri"/>
                <w:sz w:val="21"/>
              </w:rPr>
              <w:t>In the context of this document, refers to Hyundai Motor India as the vehicle manufacturer supplying vehicles to dealerships.</w:t>
            </w:r>
          </w:p>
        </w:tc>
      </w:tr>
      <w:tr>
        <w:tc>
          <w:tcPr>
            <w:tcW w:type="dxa" w:w="1728"/>
            <w:shd w:val="clear" w:color="auto" w:fill="FFFFFF"/>
          </w:tcPr>
          <w:p>
            <w:pPr>
              <w:spacing w:before="40" w:after="40"/>
            </w:pPr>
            <w:r/>
            <w:r>
              <w:rPr>
                <w:rFonts w:ascii="Calibri" w:hAnsi="Calibri"/>
                <w:sz w:val="21"/>
              </w:rPr>
              <w:t>ORM</w:t>
            </w:r>
          </w:p>
        </w:tc>
        <w:tc>
          <w:tcPr>
            <w:tcW w:type="dxa" w:w="2592"/>
            <w:shd w:val="clear" w:color="auto" w:fill="FFFFFF"/>
          </w:tcPr>
          <w:p>
            <w:pPr>
              <w:spacing w:before="40" w:after="40"/>
            </w:pPr>
            <w:r/>
            <w:r>
              <w:rPr>
                <w:rFonts w:ascii="Calibri" w:hAnsi="Calibri"/>
                <w:sz w:val="21"/>
              </w:rPr>
              <w:t>Object-Relational Mapping</w:t>
            </w:r>
          </w:p>
        </w:tc>
        <w:tc>
          <w:tcPr>
            <w:tcW w:type="dxa" w:w="5256"/>
            <w:shd w:val="clear" w:color="auto" w:fill="FFFFFF"/>
          </w:tcPr>
          <w:p>
            <w:pPr>
              <w:spacing w:before="40" w:after="40"/>
            </w:pPr>
            <w:r/>
            <w:r>
              <w:rPr>
                <w:rFonts w:ascii="Calibri" w:hAnsi="Calibri"/>
                <w:sz w:val="21"/>
              </w:rPr>
              <w:t>A programming technique that converts data between incompatible type systems — Java objects and relational database rows — using Hibernate.</w:t>
            </w:r>
          </w:p>
        </w:tc>
      </w:tr>
      <w:tr>
        <w:tc>
          <w:tcPr>
            <w:tcW w:type="dxa" w:w="1728"/>
            <w:shd w:val="clear" w:color="auto" w:fill="F9FBFF"/>
          </w:tcPr>
          <w:p>
            <w:pPr>
              <w:spacing w:before="40" w:after="40"/>
            </w:pPr>
            <w:r/>
            <w:r>
              <w:rPr>
                <w:rFonts w:ascii="Calibri" w:hAnsi="Calibri"/>
                <w:sz w:val="21"/>
              </w:rPr>
              <w:t>RACI</w:t>
            </w:r>
          </w:p>
        </w:tc>
        <w:tc>
          <w:tcPr>
            <w:tcW w:type="dxa" w:w="2592"/>
            <w:shd w:val="clear" w:color="auto" w:fill="F9FBFF"/>
          </w:tcPr>
          <w:p>
            <w:pPr>
              <w:spacing w:before="40" w:after="40"/>
            </w:pPr>
            <w:r/>
            <w:r>
              <w:rPr>
                <w:rFonts w:ascii="Calibri" w:hAnsi="Calibri"/>
                <w:sz w:val="21"/>
              </w:rPr>
              <w:t>Responsible, Accountable, Consulted, Informed</w:t>
            </w:r>
          </w:p>
        </w:tc>
        <w:tc>
          <w:tcPr>
            <w:tcW w:type="dxa" w:w="5256"/>
            <w:shd w:val="clear" w:color="auto" w:fill="F9FBFF"/>
          </w:tcPr>
          <w:p>
            <w:pPr>
              <w:spacing w:before="40" w:after="40"/>
            </w:pPr>
            <w:r/>
            <w:r>
              <w:rPr>
                <w:rFonts w:ascii="Calibri" w:hAnsi="Calibri"/>
                <w:sz w:val="21"/>
              </w:rPr>
              <w:t>A stakeholder responsibility assignment matrix used to define roles in project decision-making.</w:t>
            </w:r>
          </w:p>
        </w:tc>
      </w:tr>
      <w:tr>
        <w:tc>
          <w:tcPr>
            <w:tcW w:type="dxa" w:w="1728"/>
            <w:shd w:val="clear" w:color="auto" w:fill="FFFFFF"/>
          </w:tcPr>
          <w:p>
            <w:pPr>
              <w:spacing w:before="40" w:after="40"/>
            </w:pPr>
            <w:r/>
            <w:r>
              <w:rPr>
                <w:rFonts w:ascii="Calibri" w:hAnsi="Calibri"/>
                <w:sz w:val="21"/>
              </w:rPr>
              <w:t>RBAC</w:t>
            </w:r>
          </w:p>
        </w:tc>
        <w:tc>
          <w:tcPr>
            <w:tcW w:type="dxa" w:w="2592"/>
            <w:shd w:val="clear" w:color="auto" w:fill="FFFFFF"/>
          </w:tcPr>
          <w:p>
            <w:pPr>
              <w:spacing w:before="40" w:after="40"/>
            </w:pPr>
            <w:r/>
            <w:r>
              <w:rPr>
                <w:rFonts w:ascii="Calibri" w:hAnsi="Calibri"/>
                <w:sz w:val="21"/>
              </w:rPr>
              <w:t>Role-Based Access Control</w:t>
            </w:r>
          </w:p>
        </w:tc>
        <w:tc>
          <w:tcPr>
            <w:tcW w:type="dxa" w:w="5256"/>
            <w:shd w:val="clear" w:color="auto" w:fill="FFFFFF"/>
          </w:tcPr>
          <w:p>
            <w:pPr>
              <w:spacing w:before="40" w:after="40"/>
            </w:pPr>
            <w:r/>
            <w:r>
              <w:rPr>
                <w:rFonts w:ascii="Calibri" w:hAnsi="Calibri"/>
                <w:sz w:val="21"/>
              </w:rPr>
              <w:t>A security model where system access rights are defined by the user's assigned role rather than individual user identity.</w:t>
            </w:r>
          </w:p>
        </w:tc>
      </w:tr>
      <w:tr>
        <w:tc>
          <w:tcPr>
            <w:tcW w:type="dxa" w:w="1728"/>
            <w:shd w:val="clear" w:color="auto" w:fill="F9FBFF"/>
          </w:tcPr>
          <w:p>
            <w:pPr>
              <w:spacing w:before="40" w:after="40"/>
            </w:pPr>
            <w:r/>
            <w:r>
              <w:rPr>
                <w:rFonts w:ascii="Calibri" w:hAnsi="Calibri"/>
                <w:sz w:val="21"/>
              </w:rPr>
              <w:t>React</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An open-source JavaScript library developed by Meta for building interactive user interfaces using a component-based architecture.</w:t>
            </w:r>
          </w:p>
        </w:tc>
      </w:tr>
      <w:tr>
        <w:tc>
          <w:tcPr>
            <w:tcW w:type="dxa" w:w="1728"/>
            <w:shd w:val="clear" w:color="auto" w:fill="FFFFFF"/>
          </w:tcPr>
          <w:p>
            <w:pPr>
              <w:spacing w:before="40" w:after="40"/>
            </w:pPr>
            <w:r/>
            <w:r>
              <w:rPr>
                <w:rFonts w:ascii="Calibri" w:hAnsi="Calibri"/>
                <w:sz w:val="21"/>
              </w:rPr>
              <w:t>REST</w:t>
            </w:r>
          </w:p>
        </w:tc>
        <w:tc>
          <w:tcPr>
            <w:tcW w:type="dxa" w:w="2592"/>
            <w:shd w:val="clear" w:color="auto" w:fill="FFFFFF"/>
          </w:tcPr>
          <w:p>
            <w:pPr>
              <w:spacing w:before="40" w:after="40"/>
            </w:pPr>
            <w:r/>
            <w:r>
              <w:rPr>
                <w:rFonts w:ascii="Calibri" w:hAnsi="Calibri"/>
                <w:sz w:val="21"/>
              </w:rPr>
              <w:t>Representational State Transfer</w:t>
            </w:r>
          </w:p>
        </w:tc>
        <w:tc>
          <w:tcPr>
            <w:tcW w:type="dxa" w:w="5256"/>
            <w:shd w:val="clear" w:color="auto" w:fill="FFFFFF"/>
          </w:tcPr>
          <w:p>
            <w:pPr>
              <w:spacing w:before="40" w:after="40"/>
            </w:pPr>
            <w:r/>
            <w:r>
              <w:rPr>
                <w:rFonts w:ascii="Calibri" w:hAnsi="Calibri"/>
                <w:sz w:val="21"/>
              </w:rPr>
              <w:t>An architectural style for building web APIs using standard HTTP methods (GET, POST, PUT, DELETE).</w:t>
            </w:r>
          </w:p>
        </w:tc>
      </w:tr>
      <w:tr>
        <w:tc>
          <w:tcPr>
            <w:tcW w:type="dxa" w:w="1728"/>
            <w:shd w:val="clear" w:color="auto" w:fill="F9FBFF"/>
          </w:tcPr>
          <w:p>
            <w:pPr>
              <w:spacing w:before="40" w:after="40"/>
            </w:pPr>
            <w:r/>
            <w:r>
              <w:rPr>
                <w:rFonts w:ascii="Calibri" w:hAnsi="Calibri"/>
                <w:sz w:val="21"/>
              </w:rPr>
              <w:t>SPA</w:t>
            </w:r>
          </w:p>
        </w:tc>
        <w:tc>
          <w:tcPr>
            <w:tcW w:type="dxa" w:w="2592"/>
            <w:shd w:val="clear" w:color="auto" w:fill="F9FBFF"/>
          </w:tcPr>
          <w:p>
            <w:pPr>
              <w:spacing w:before="40" w:after="40"/>
            </w:pPr>
            <w:r/>
            <w:r>
              <w:rPr>
                <w:rFonts w:ascii="Calibri" w:hAnsi="Calibri"/>
                <w:sz w:val="21"/>
              </w:rPr>
              <w:t>Single Page Application</w:t>
            </w:r>
          </w:p>
        </w:tc>
        <w:tc>
          <w:tcPr>
            <w:tcW w:type="dxa" w:w="5256"/>
            <w:shd w:val="clear" w:color="auto" w:fill="F9FBFF"/>
          </w:tcPr>
          <w:p>
            <w:pPr>
              <w:spacing w:before="40" w:after="40"/>
            </w:pPr>
            <w:r/>
            <w:r>
              <w:rPr>
                <w:rFonts w:ascii="Calibri" w:hAnsi="Calibri"/>
                <w:sz w:val="21"/>
              </w:rPr>
              <w:t>A web application that loads a single HTML page and dynamically updates content via JavaScript without full page reloads.</w:t>
            </w:r>
          </w:p>
        </w:tc>
      </w:tr>
      <w:tr>
        <w:tc>
          <w:tcPr>
            <w:tcW w:type="dxa" w:w="1728"/>
            <w:shd w:val="clear" w:color="auto" w:fill="FFFFFF"/>
          </w:tcPr>
          <w:p>
            <w:pPr>
              <w:spacing w:before="40" w:after="40"/>
            </w:pPr>
            <w:r/>
            <w:r>
              <w:rPr>
                <w:rFonts w:ascii="Calibri" w:hAnsi="Calibri"/>
                <w:sz w:val="21"/>
              </w:rPr>
              <w:t>Spring Boot</w:t>
            </w:r>
          </w:p>
        </w:tc>
        <w:tc>
          <w:tcPr>
            <w:tcW w:type="dxa" w:w="2592"/>
            <w:shd w:val="clear" w:color="auto" w:fill="FFFFFF"/>
          </w:tcPr>
          <w:p>
            <w:pPr>
              <w:spacing w:before="40" w:after="40"/>
            </w:pPr>
            <w:r/>
            <w:r>
              <w:rPr>
                <w:rFonts w:ascii="Calibri" w:hAnsi="Calibri"/>
                <w:sz w:val="21"/>
              </w:rPr>
              <w:t>—</w:t>
            </w:r>
          </w:p>
        </w:tc>
        <w:tc>
          <w:tcPr>
            <w:tcW w:type="dxa" w:w="5256"/>
            <w:shd w:val="clear" w:color="auto" w:fill="FFFFFF"/>
          </w:tcPr>
          <w:p>
            <w:pPr>
              <w:spacing w:before="40" w:after="40"/>
            </w:pPr>
            <w:r/>
            <w:r>
              <w:rPr>
                <w:rFonts w:ascii="Calibri" w:hAnsi="Calibri"/>
                <w:sz w:val="21"/>
              </w:rPr>
              <w:t>An open-source Java framework built on Spring that simplifies the creation of production-ready web applications and REST APIs.</w:t>
            </w:r>
          </w:p>
        </w:tc>
      </w:tr>
      <w:tr>
        <w:tc>
          <w:tcPr>
            <w:tcW w:type="dxa" w:w="1728"/>
            <w:shd w:val="clear" w:color="auto" w:fill="F9FBFF"/>
          </w:tcPr>
          <w:p>
            <w:pPr>
              <w:spacing w:before="40" w:after="40"/>
            </w:pPr>
            <w:r/>
            <w:r>
              <w:rPr>
                <w:rFonts w:ascii="Calibri" w:hAnsi="Calibri"/>
                <w:sz w:val="21"/>
              </w:rPr>
              <w:t>Spring Security</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 powerful authentication and access control framework for Java applications, used in this project to enforce JWT-based security.</w:t>
            </w:r>
          </w:p>
        </w:tc>
      </w:tr>
      <w:tr>
        <w:tc>
          <w:tcPr>
            <w:tcW w:type="dxa" w:w="1728"/>
            <w:shd w:val="clear" w:color="auto" w:fill="FFFFFF"/>
          </w:tcPr>
          <w:p>
            <w:pPr>
              <w:spacing w:before="40" w:after="40"/>
            </w:pPr>
            <w:r/>
            <w:r>
              <w:rPr>
                <w:rFonts w:ascii="Calibri" w:hAnsi="Calibri"/>
                <w:sz w:val="21"/>
              </w:rPr>
              <w:t>Stockyard</w:t>
            </w:r>
          </w:p>
        </w:tc>
        <w:tc>
          <w:tcPr>
            <w:tcW w:type="dxa" w:w="2592"/>
            <w:shd w:val="clear" w:color="auto" w:fill="FFFFFF"/>
          </w:tcPr>
          <w:p>
            <w:pPr>
              <w:spacing w:before="40" w:after="40"/>
            </w:pPr>
            <w:r/>
            <w:r>
              <w:rPr>
                <w:rFonts w:ascii="Calibri" w:hAnsi="Calibri"/>
                <w:sz w:val="21"/>
              </w:rPr>
              <w:t>—</w:t>
            </w:r>
          </w:p>
        </w:tc>
        <w:tc>
          <w:tcPr>
            <w:tcW w:type="dxa" w:w="5256"/>
            <w:shd w:val="clear" w:color="auto" w:fill="FFFFFF"/>
          </w:tcPr>
          <w:p>
            <w:pPr>
              <w:spacing w:before="40" w:after="40"/>
            </w:pPr>
            <w:r/>
            <w:r>
              <w:rPr>
                <w:rFonts w:ascii="Calibri" w:hAnsi="Calibri"/>
                <w:sz w:val="21"/>
              </w:rPr>
              <w:t>The physical holding area at the dealership premises where vehicles are stored after arrival from the OEM before being moved to the showroom.</w:t>
            </w:r>
          </w:p>
        </w:tc>
      </w:tr>
      <w:tr>
        <w:tc>
          <w:tcPr>
            <w:tcW w:type="dxa" w:w="1728"/>
            <w:shd w:val="clear" w:color="auto" w:fill="F9FBFF"/>
          </w:tcPr>
          <w:p>
            <w:pPr>
              <w:spacing w:before="40" w:after="40"/>
            </w:pPr>
            <w:r/>
            <w:r>
              <w:rPr>
                <w:rFonts w:ascii="Calibri" w:hAnsi="Calibri"/>
                <w:sz w:val="21"/>
              </w:rPr>
              <w:t>Test Drive</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 scheduled, supervised driving experience offered to a prospective customer to evaluate a vehicle before purchase.</w:t>
            </w:r>
          </w:p>
        </w:tc>
      </w:tr>
      <w:tr>
        <w:tc>
          <w:tcPr>
            <w:tcW w:type="dxa" w:w="1728"/>
            <w:shd w:val="clear" w:color="auto" w:fill="FFFFFF"/>
          </w:tcPr>
          <w:p>
            <w:pPr>
              <w:spacing w:before="40" w:after="40"/>
            </w:pPr>
            <w:r/>
            <w:r>
              <w:rPr>
                <w:rFonts w:ascii="Calibri" w:hAnsi="Calibri"/>
                <w:sz w:val="21"/>
              </w:rPr>
              <w:t>VIN</w:t>
            </w:r>
          </w:p>
        </w:tc>
        <w:tc>
          <w:tcPr>
            <w:tcW w:type="dxa" w:w="2592"/>
            <w:shd w:val="clear" w:color="auto" w:fill="FFFFFF"/>
          </w:tcPr>
          <w:p>
            <w:pPr>
              <w:spacing w:before="40" w:after="40"/>
            </w:pPr>
            <w:r/>
            <w:r>
              <w:rPr>
                <w:rFonts w:ascii="Calibri" w:hAnsi="Calibri"/>
                <w:sz w:val="21"/>
              </w:rPr>
              <w:t>Vehicle Identification Number</w:t>
            </w:r>
          </w:p>
        </w:tc>
        <w:tc>
          <w:tcPr>
            <w:tcW w:type="dxa" w:w="5256"/>
            <w:shd w:val="clear" w:color="auto" w:fill="FFFFFF"/>
          </w:tcPr>
          <w:p>
            <w:pPr>
              <w:spacing w:before="40" w:after="40"/>
            </w:pPr>
            <w:r/>
            <w:r>
              <w:rPr>
                <w:rFonts w:ascii="Calibri" w:hAnsi="Calibri"/>
                <w:sz w:val="21"/>
              </w:rPr>
              <w:t>A unique 17-character alphanumeric code assigned to every motor vehicle, used as the primary vehicle identifier in the DMS.</w:t>
            </w:r>
          </w:p>
        </w:tc>
      </w:tr>
      <w:tr>
        <w:tc>
          <w:tcPr>
            <w:tcW w:type="dxa" w:w="1728"/>
            <w:shd w:val="clear" w:color="auto" w:fill="F9FBFF"/>
          </w:tcPr>
          <w:p>
            <w:pPr>
              <w:spacing w:before="40" w:after="40"/>
            </w:pPr>
            <w:r/>
            <w:r>
              <w:rPr>
                <w:rFonts w:ascii="Calibri" w:hAnsi="Calibri"/>
                <w:sz w:val="21"/>
              </w:rPr>
              <w:t>Vite</w:t>
            </w:r>
          </w:p>
        </w:tc>
        <w:tc>
          <w:tcPr>
            <w:tcW w:type="dxa" w:w="2592"/>
            <w:shd w:val="clear" w:color="auto" w:fill="F9FBFF"/>
          </w:tcPr>
          <w:p>
            <w:pPr>
              <w:spacing w:before="40" w:after="40"/>
            </w:pPr>
            <w:r/>
            <w:r>
              <w:rPr>
                <w:rFonts w:ascii="Calibri" w:hAnsi="Calibri"/>
                <w:sz w:val="21"/>
              </w:rPr>
              <w:t>—</w:t>
            </w:r>
          </w:p>
        </w:tc>
        <w:tc>
          <w:tcPr>
            <w:tcW w:type="dxa" w:w="5256"/>
            <w:shd w:val="clear" w:color="auto" w:fill="F9FBFF"/>
          </w:tcPr>
          <w:p>
            <w:pPr>
              <w:spacing w:before="40" w:after="40"/>
            </w:pPr>
            <w:r/>
            <w:r>
              <w:rPr>
                <w:rFonts w:ascii="Calibri" w:hAnsi="Calibri"/>
                <w:sz w:val="21"/>
              </w:rPr>
              <w:t>A modern, fast frontend build tool and development server used for the React application.</w:t>
            </w:r>
          </w:p>
        </w:tc>
      </w:tr>
    </w:tbl>
    <w:p/>
    <w:p>
      <w:r>
        <w:br w:type="page"/>
      </w:r>
    </w:p>
    <w:p>
      <w:pPr>
        <w:spacing w:before="1200" w:after="80"/>
        <w:jc w:val="center"/>
      </w:pPr>
      <w:r>
        <w:rPr>
          <w:b/>
          <w:i/>
          <w:color w:val="004A97"/>
          <w:sz w:val="22"/>
        </w:rPr>
        <w:t>— End of Document —</w:t>
      </w:r>
    </w:p>
    <w:p>
      <w:pPr>
        <w:jc w:val="center"/>
      </w:pPr>
      <w:r>
        <w:rPr>
          <w:color w:val="888888"/>
          <w:sz w:val="18"/>
        </w:rPr>
        <w:t>Hyundai Dealer Management System  |  Business Requirement Document v1.0  |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aps/>
      <w:color w:val="002C5F"/>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aps w:val="0"/>
      <w:color w:val="004A97"/>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0072C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