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b/>
          <w:bCs/>
          <w:color w:val="1A1A2E"/>
          <w:sz w:val="40"/>
          <w:szCs w:val="40"/>
        </w:rPr>
        <w:t xml:space="preserve">OrganoidEnv Paper</w:t>
      </w:r>
    </w:p>
    <w:p>
      <w:pPr>
        <w:spacing w:before="0" w:after="80"/>
        <w:jc w:val="center"/>
      </w:pPr>
      <w:r>
        <w:rPr>
          <w:color w:val="7F8C8D"/>
          <w:sz w:val="28"/>
          <w:szCs w:val="28"/>
        </w:rPr>
        <w:t xml:space="preserve">Complete Revision Checklist &amp; Execution Guide</w:t>
      </w:r>
    </w:p>
    <w:p>
      <w:pPr>
        <w:spacing w:before="0" w:after="300"/>
        <w:jc w:val="center"/>
      </w:pPr>
      <w:r>
        <w:rPr>
          <w:i/>
          <w:iCs/>
          <w:color w:val="E74C3C"/>
          <w:sz w:val="24"/>
          <w:szCs w:val="24"/>
        </w:rPr>
        <w:t xml:space="preserve">Frontiers in Neuroscience Submission</w:t>
      </w:r>
    </w:p>
    <w:p>
      <w:pPr>
        <w:pBdr>
          <w:bottom w:val="single" w:color="1A1A2E" w:sz="4"/>
        </w:pBdr>
        <w:spacing w:before="200" w:after="200"/>
      </w:pPr>
    </w:p>
    <w:p>
      <w:pPr>
        <w:spacing w:before="200" w:after="0"/>
      </w:pPr>
      <w:r>
        <w:t xml:space="preserve"/>
      </w:r>
    </w:p>
    <w:p>
      <w:pPr>
        <w:pStyle w:val="Heading1"/>
        <w:spacing w:before="400" w:after="200"/>
      </w:pPr>
      <w:r>
        <w:rPr>
          <w:b/>
          <w:bCs/>
          <w:color w:val="1A1A2E"/>
          <w:sz w:val="28"/>
          <w:szCs w:val="28"/>
        </w:rPr>
        <w:t xml:space="preserve">Overview: What Needs to Change</w:t>
      </w:r>
    </w:p>
    <w:p>
      <w:pPr>
        <w:spacing w:before="80" w:after="80"/>
      </w:pPr>
      <w:r>
        <w:rPr>
          <w:sz w:val="22"/>
          <w:szCs w:val="22"/>
        </w:rPr>
        <w:t xml:space="preserve">There are three tiers of fixes. Tier 1 must be done before anything else — they are desk-reject triggers. Tier 2 are the substantive scientific fixes that will determine whether reviewers accept or reject. Tier 3 are polish items that separate a good paper from a great one.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b/>
                <w:bCs/>
                <w:color w:val="FFFFFF"/>
                <w:sz w:val="22"/>
                <w:szCs w:val="22"/>
              </w:rPr>
              <w:t xml:space="preserve">Tier</w:t>
            </w:r>
          </w:p>
        </w:tc>
        <w:tc>
          <w:tcPr>
            <w:tcW w:type="dxa" w:w="57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b/>
                <w:bCs/>
                <w:color w:val="FFFFFF"/>
                <w:sz w:val="22"/>
                <w:szCs w:val="22"/>
              </w:rPr>
              <w:t xml:space="preserve">Category</w:t>
            </w:r>
          </w:p>
        </w:tc>
        <w:tc>
          <w:tcPr>
            <w:tcW w:type="dxa" w:w="21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b/>
                <w:bCs/>
                <w:color w:val="FFFFFF"/>
                <w:sz w:val="22"/>
                <w:szCs w:val="22"/>
              </w:rPr>
              <w:t xml:space="preserve">Estimated Time</w:t>
            </w:r>
          </w:p>
        </w:tc>
      </w:tr>
      <w:tr>
        <w:tc>
          <w:tcPr>
            <w:tcW w:type="dxa" w:w="144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sz w:val="22"/>
                <w:szCs w:val="22"/>
              </w:rPr>
              <w:t xml:space="preserve">TIER 1</w:t>
            </w:r>
          </w:p>
        </w:tc>
        <w:tc>
          <w:tcPr>
            <w:tcW w:type="dxa" w:w="57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sz w:val="22"/>
                <w:szCs w:val="22"/>
              </w:rPr>
              <w:t xml:space="preserve">Manuscript Completeness (Desk-Reject Fixes)</w:t>
            </w:r>
          </w:p>
        </w:tc>
        <w:tc>
          <w:tcPr>
            <w:tcW w:type="dxa" w:w="21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sz w:val="22"/>
                <w:szCs w:val="22"/>
              </w:rPr>
              <w:t xml:space="preserve">1 hour</w:t>
            </w:r>
          </w:p>
        </w:tc>
      </w:tr>
      <w:tr>
        <w:tc>
          <w:tcPr>
            <w:tcW w:type="dxa" w:w="144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r>
              <w:rPr>
                <w:sz w:val="22"/>
                <w:szCs w:val="22"/>
              </w:rPr>
              <w:t xml:space="preserve">TIER 2</w:t>
            </w:r>
          </w:p>
        </w:tc>
        <w:tc>
          <w:tcPr>
            <w:tcW w:type="dxa" w:w="57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r>
              <w:rPr>
                <w:sz w:val="22"/>
                <w:szCs w:val="22"/>
              </w:rPr>
              <w:t xml:space="preserve">Statistical &amp; Scientific Validity</w:t>
            </w:r>
          </w:p>
        </w:tc>
        <w:tc>
          <w:tcPr>
            <w:tcW w:type="dxa" w:w="21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r>
              <w:rPr>
                <w:sz w:val="22"/>
                <w:szCs w:val="22"/>
              </w:rPr>
              <w:t xml:space="preserve">1-2 weeks</w:t>
            </w:r>
          </w:p>
        </w:tc>
      </w:tr>
      <w:tr>
        <w:tc>
          <w:tcPr>
            <w:tcW w:type="dxa" w:w="144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sz w:val="22"/>
                <w:szCs w:val="22"/>
              </w:rPr>
              <w:t xml:space="preserve">TIER 3</w:t>
            </w:r>
          </w:p>
        </w:tc>
        <w:tc>
          <w:tcPr>
            <w:tcW w:type="dxa" w:w="576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sz w:val="22"/>
                <w:szCs w:val="22"/>
              </w:rPr>
              <w:t xml:space="preserve">Writing, Framing &amp; Polish</w:t>
            </w:r>
          </w:p>
        </w:tc>
        <w:tc>
          <w:tcPr>
            <w:tcW w:type="dxa" w:w="2160"/>
            <w:tcBorders>
              <w:top w:val="single" w:color="CCCCCC" w:sz="1"/>
              <w:left w:val="single" w:color="CCCCCC" w:sz="1"/>
              <w:bottom w:val="single" w:color="CCCCCC" w:sz="1"/>
              <w:right w:val="single" w:color="CCCCCC" w:sz="1"/>
            </w:tcBorders>
            <w:shd w:fill="EAF4FB" w:val="clear"/>
            <w:tcMar>
              <w:top w:type="dxa" w:w="80"/>
              <w:left w:type="dxa" w:w="160"/>
              <w:bottom w:type="dxa" w:w="80"/>
              <w:right w:type="dxa" w:w="160"/>
            </w:tcMar>
          </w:tcPr>
          <w:p>
            <w:r>
              <w:rPr>
                <w:sz w:val="22"/>
                <w:szCs w:val="22"/>
              </w:rPr>
              <w:t xml:space="preserve">2-3 days</w:t>
            </w:r>
          </w:p>
        </w:tc>
      </w:tr>
    </w:tbl>
    <w:p>
      <w:pPr>
        <w:spacing w:before="200" w:after="0"/>
      </w:pPr>
      <w:r>
        <w:t xml:space="preserve"/>
      </w:r>
    </w:p>
    <w:p>
      <w:pPr>
        <w:pBdr>
          <w:bottom w:val="single" w:color="E74C3C" w:sz="4"/>
        </w:pBdr>
        <w:spacing w:before="200" w:after="200"/>
      </w:pPr>
    </w:p>
    <w:p>
      <w:pPr>
        <w:pStyle w:val="Heading1"/>
        <w:spacing w:before="400" w:after="200"/>
      </w:pPr>
      <w:r>
        <w:rPr>
          <w:b/>
          <w:bCs/>
          <w:color w:val="1A1A2E"/>
          <w:sz w:val="28"/>
          <w:szCs w:val="28"/>
        </w:rPr>
        <w:t xml:space="preserve">TIER 1 — Desk-Reject Fixes (Do First, Takes ~1 Hour)</w:t>
      </w:r>
    </w:p>
    <w:p>
      <w:pPr>
        <w:spacing w:before="80" w:after="80"/>
      </w:pPr>
      <w:r>
        <w:rPr>
          <w:b/>
          <w:bCs/>
          <w:color w:val="E74C3C"/>
          <w:sz w:val="22"/>
          <w:szCs w:val="22"/>
        </w:rPr>
        <w:t xml:space="preserve">These are non-negotiable. An editor will reject without review if any of these remain.</w:t>
      </w:r>
    </w:p>
    <w:p>
      <w:pPr>
        <w:spacing w:before="100" w:after="0"/>
      </w:pPr>
      <w:r>
        <w:t xml:space="preserve"/>
      </w:r>
    </w:p>
    <w:p>
      <w:pPr>
        <w:pStyle w:val="Heading2"/>
        <w:spacing w:before="300" w:after="150"/>
      </w:pPr>
      <w:r>
        <w:rPr>
          <w:b/>
          <w:bCs/>
          <w:color w:val="E74C3C"/>
          <w:sz w:val="24"/>
          <w:szCs w:val="24"/>
        </w:rPr>
        <w:t xml:space="preserve">1.1  Fix All Broken Cross-References</w:t>
      </w:r>
    </w:p>
    <w:p>
      <w:pPr>
        <w:spacing w:before="80" w:after="80"/>
      </w:pPr>
      <w:r>
        <w:rPr>
          <w:sz w:val="22"/>
          <w:szCs w:val="22"/>
        </w:rPr>
        <w:t xml:space="preserve">Every instance of "Table ??" in the manuscript must be replaced with a proper numbered reference. Scan the full document for ?? and resolve each one.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b/>
                <w:bCs/>
                <w:color w:val="FFFFFF"/>
                <w:sz w:val="22"/>
                <w:szCs w:val="22"/>
              </w:rPr>
              <w:t xml:space="preserve">Location in Paper</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b/>
                <w:bCs/>
                <w:color w:val="FFFFFF"/>
                <w:sz w:val="22"/>
                <w:szCs w:val="22"/>
              </w:rPr>
              <w:t xml:space="preserve">Fix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Section III-B, SNN hyperparameters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Replace 'Table ??' with 'Table 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Section III-E, RL hyperparameters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Replace 'Table ??' with 'Table II'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Section IV-B, ablation summary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Replace 'Table ??' with 'Table III'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Any other ?? instances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Search entire .tex source and resolve all</w:t>
            </w:r>
          </w:p>
        </w:tc>
      </w:tr>
    </w:tbl>
    <w:p>
      <w:pPr>
        <w:spacing w:before="100" w:after="0"/>
      </w:pPr>
      <w:r>
        <w:t xml:space="preserve"/>
      </w:r>
    </w:p>
    <w:p>
      <w:pPr>
        <w:pStyle w:val="Heading2"/>
        <w:spacing w:before="300" w:after="150"/>
      </w:pPr>
      <w:r>
        <w:rPr>
          <w:b/>
          <w:bCs/>
          <w:color w:val="E74C3C"/>
          <w:sz w:val="24"/>
          <w:szCs w:val="24"/>
        </w:rPr>
        <w:t xml:space="preserve">1.2  Replace All Placeholder Figure Captions</w:t>
      </w:r>
    </w:p>
    <w:p>
      <w:pPr>
        <w:spacing w:before="80" w:after="80"/>
      </w:pPr>
      <w:r>
        <w:rPr>
          <w:sz w:val="22"/>
          <w:szCs w:val="22"/>
        </w:rPr>
        <w:t xml:space="preserve">"Enter Caption" must be replaced with real, descriptive captions for every figure. Each caption must be self-contained so a reader can understand the figure without reading the text.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b/>
                <w:bCs/>
                <w:color w:val="FFFFFF"/>
                <w:sz w:val="22"/>
                <w:szCs w:val="22"/>
              </w:rPr>
              <w:t xml:space="preserve">Figure</w:t>
            </w:r>
          </w:p>
        </w:tc>
        <w:tc>
          <w:tcPr>
            <w:tcW w:type="dxa" w:w="792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b/>
                <w:bCs/>
                <w:color w:val="FFFFFF"/>
                <w:sz w:val="22"/>
                <w:szCs w:val="22"/>
              </w:rPr>
              <w:t xml:space="preserve">Suggested Caption (Customize to Match Your Actual Figures)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Fig. 1</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System architecture of OrganoidEnv. The outer Duelling Double DQN agent (top) interacts with the biologically constrained SNN (bottom) via current-based stimulation of sensory and motor pathways. The Global Activity Regulator, homeostatic inhibition, and structural plasticity jointly maintain network stability.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Fig. 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Ablation study results at Month 4 curriculum stage. (A) Goal completion rates and (B) mean episode rewards for the full OrganoidEnv architecture versus configurations with SDM/morphology or homeostasis removed. Error bars represent standard deviation across N seeds.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Fig. 3</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Grand unification results across the six-stage curriculum. (A) Training reward curve with 20-episode moving average. (B) Per-stage success rates. (C) Goal completion by target context (Target A vs Target B). Dashed vertical lines mark curriculum stage transitions.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Fig. 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Baseline comparison with statistical validation. OrganoidEnv (solid line, mean +/- std) against ANN, RL-only, and SimpleSNN baselines across training episodes.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Fig. 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Neural activity during the final curriculum stage. (A) Spike raster plot showing sparse, distributed firing across 100 sampled neurons over 1000 ms. (B) Motor neuron activation patterns for the Up (blue) and Down (red) quadrants, demonstrating directional selectivity.</w:t>
            </w:r>
          </w:p>
        </w:tc>
      </w:tr>
    </w:tbl>
    <w:p>
      <w:pPr>
        <w:spacing w:before="100" w:after="0"/>
      </w:pPr>
      <w:r>
        <w:t xml:space="preserve"/>
      </w:r>
    </w:p>
    <w:p>
      <w:pPr>
        <w:pStyle w:val="Heading2"/>
        <w:spacing w:before="300" w:after="150"/>
      </w:pPr>
      <w:r>
        <w:rPr>
          <w:b/>
          <w:bCs/>
          <w:color w:val="E74C3C"/>
          <w:sz w:val="24"/>
          <w:szCs w:val="24"/>
        </w:rPr>
        <w:t xml:space="preserve">1.3  Fix Author Affiliation and Email</w:t>
      </w:r>
    </w:p>
    <w:p>
      <w:pPr>
        <w:spacing w:before="80" w:after="80"/>
      </w:pPr>
      <w:r>
        <w:rPr>
          <w:sz w:val="22"/>
          <w:szCs w:val="22"/>
        </w:rPr>
        <w:t xml:space="preserve">The submission contains placeholder text in the affiliation field. Replace the following before submission: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none" w:color="FFFFFF" w:sz="0"/>
            </w:tcBorders>
            <w:shd w:fill="FDECEA" w:val="clear"/>
            <w:tcMar>
              <w:top w:type="dxa" w:w="100"/>
              <w:left w:type="dxa" w:w="160"/>
              <w:bottom w:type="dxa" w:w="100"/>
              <w:right w:type="dxa" w:w="160"/>
            </w:tcMar>
            <w:vAlign w:val="center"/>
          </w:tcPr>
          <w:p>
            <w:pPr>
              <w:jc w:val="center"/>
            </w:pPr>
            <w:r>
              <w:rPr>
                <w:b/>
                <w:bCs/>
                <w:color w:val="E74C3C"/>
                <w:sz w:val="22"/>
                <w:szCs w:val="22"/>
              </w:rPr>
              <w:t xml:space="preserve">REMOVE</w:t>
            </w:r>
          </w:p>
        </w:tc>
        <w:tc>
          <w:tcPr>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sz w:val="22"/>
                <w:szCs w:val="22"/>
              </w:rPr>
              <w:t xml:space="preserve">[IIOT] — replace with your actual department name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none" w:color="FFFFFF" w:sz="0"/>
            </w:tcBorders>
            <w:shd w:fill="FDECEA" w:val="clear"/>
            <w:tcMar>
              <w:top w:type="dxa" w:w="100"/>
              <w:left w:type="dxa" w:w="160"/>
              <w:bottom w:type="dxa" w:w="100"/>
              <w:right w:type="dxa" w:w="160"/>
            </w:tcMar>
            <w:vAlign w:val="center"/>
          </w:tcPr>
          <w:p>
            <w:pPr>
              <w:jc w:val="center"/>
            </w:pPr>
            <w:r>
              <w:rPr>
                <w:b/>
                <w:bCs/>
                <w:color w:val="E74C3C"/>
                <w:sz w:val="22"/>
                <w:szCs w:val="22"/>
              </w:rPr>
              <w:t xml:space="preserve">REMOVE</w:t>
            </w:r>
          </w:p>
        </w:tc>
        <w:tc>
          <w:tcPr>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sz w:val="22"/>
                <w:szCs w:val="22"/>
              </w:rPr>
              <w:t xml:space="preserve">email@domain.com — replace with your institutional email address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none" w:color="FFFFFF" w:sz="0"/>
            </w:tcBorders>
            <w:shd w:fill="EAF4FB" w:val="clear"/>
            <w:tcMar>
              <w:top w:type="dxa" w:w="100"/>
              <w:left w:type="dxa" w:w="160"/>
              <w:bottom w:type="dxa" w:w="100"/>
              <w:right w:type="dxa" w:w="160"/>
            </w:tcMar>
            <w:vAlign w:val="center"/>
          </w:tcPr>
          <w:p>
            <w:pPr>
              <w:jc w:val="center"/>
            </w:pPr>
            <w:r>
              <w:rPr>
                <w:b/>
                <w:bCs/>
                <w:color w:val="1A5276"/>
                <w:sz w:val="22"/>
                <w:szCs w:val="22"/>
              </w:rPr>
              <w:t xml:space="preserve">FORMAT</w:t>
            </w:r>
          </w:p>
        </w:tc>
        <w:tc>
          <w:tcPr>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sz w:val="22"/>
                <w:szCs w:val="22"/>
              </w:rPr>
              <w:t xml:space="preserve">Frontiers requires: Department, Institution, City, Country. Example: Department of Electronics and Communication Engineering, Vivekananda Institute of Professional Studies, New Delhi, India</w:t>
            </w:r>
          </w:p>
        </w:tc>
      </w:tr>
    </w:tbl>
    <w:p>
      <w:pPr>
        <w:spacing w:before="200" w:after="0"/>
      </w:pPr>
      <w:r>
        <w:t xml:space="preserve"/>
      </w:r>
    </w:p>
    <w:p>
      <w:pPr>
        <w:pBdr>
          <w:bottom w:val="single" w:color="E67E22" w:sz="4"/>
        </w:pBdr>
        <w:spacing w:before="200" w:after="200"/>
      </w:pPr>
    </w:p>
    <w:p>
      <w:pPr>
        <w:pStyle w:val="Heading1"/>
        <w:spacing w:before="400" w:after="200"/>
      </w:pPr>
      <w:r>
        <w:rPr>
          <w:b/>
          <w:bCs/>
          <w:color w:val="1A1A2E"/>
          <w:sz w:val="28"/>
          <w:szCs w:val="28"/>
        </w:rPr>
        <w:t xml:space="preserve">TIER 2 — Scientific &amp; Statistical Fixes (Critical for Acceptance)</w:t>
      </w:r>
    </w:p>
    <w:p>
      <w:pPr>
        <w:spacing w:before="80" w:after="80"/>
      </w:pPr>
      <w:r>
        <w:rPr>
          <w:b/>
          <w:bCs/>
          <w:sz w:val="22"/>
          <w:szCs w:val="22"/>
        </w:rPr>
        <w:t xml:space="preserve">These are the fixes that will determine whether reviewers accept or reject. They require actual experimental work, not just text editing.</w:t>
      </w:r>
    </w:p>
    <w:p>
      <w:pPr>
        <w:spacing w:before="100" w:after="0"/>
      </w:pPr>
      <w:r>
        <w:t xml:space="preserve"/>
      </w:r>
    </w:p>
    <w:p>
      <w:pPr>
        <w:pStyle w:val="Heading2"/>
        <w:spacing w:before="300" w:after="150"/>
      </w:pPr>
      <w:r>
        <w:rPr>
          <w:b/>
          <w:bCs/>
          <w:color w:val="E67E22"/>
          <w:sz w:val="24"/>
          <w:szCs w:val="24"/>
        </w:rPr>
        <w:t xml:space="preserve">2.1  Multi-Seed Evaluation (Highest Priority)</w:t>
      </w:r>
    </w:p>
    <w:p>
      <w:pPr>
        <w:spacing w:before="80" w:after="80"/>
      </w:pPr>
      <w:r>
        <w:rPr>
          <w:sz w:val="22"/>
          <w:szCs w:val="22"/>
        </w:rPr>
        <w:t xml:space="preserve">The entire results section currently appears to report a single run. This is the most common reason for rejection in computational neuroscience. You must run the experiment across multiple random seeds and report mean and standard deviation.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none" w:color="FFFFFF" w:sz="0"/>
            </w:tcBorders>
            <w:shd w:fill="FEF9E7" w:val="clear"/>
            <w:tcMar>
              <w:top w:type="dxa" w:w="100"/>
              <w:left w:type="dxa" w:w="160"/>
              <w:bottom w:type="dxa" w:w="100"/>
              <w:right w:type="dxa" w:w="160"/>
            </w:tcMar>
            <w:vAlign w:val="center"/>
          </w:tcPr>
          <w:p>
            <w:pPr>
              <w:jc w:val="center"/>
            </w:pPr>
            <w:r>
              <w:rPr>
                <w:b/>
                <w:bCs/>
                <w:color w:val="E67E22"/>
                <w:sz w:val="22"/>
                <w:szCs w:val="22"/>
              </w:rPr>
              <w:t xml:space="preserve">MINIMUM</w:t>
            </w:r>
          </w:p>
        </w:tc>
        <w:tc>
          <w:tcPr>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sz w:val="22"/>
                <w:szCs w:val="22"/>
              </w:rPr>
              <w:t xml:space="preserve">Run 5 seeds. Report as mean +/- std for all main 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none" w:color="FFFFFF" w:sz="0"/>
            </w:tcBorders>
            <w:shd w:fill="EBF5FB" w:val="clear"/>
            <w:tcMar>
              <w:top w:type="dxa" w:w="100"/>
              <w:left w:type="dxa" w:w="160"/>
              <w:bottom w:type="dxa" w:w="100"/>
              <w:right w:type="dxa" w:w="160"/>
            </w:tcMar>
            <w:vAlign w:val="center"/>
          </w:tcPr>
          <w:p>
            <w:pPr>
              <w:jc w:val="center"/>
            </w:pPr>
            <w:r>
              <w:rPr>
                <w:b/>
                <w:bCs/>
                <w:color w:val="1A5276"/>
                <w:sz w:val="22"/>
                <w:szCs w:val="22"/>
              </w:rPr>
              <w:t xml:space="preserve">BETTER</w:t>
            </w:r>
          </w:p>
        </w:tc>
        <w:tc>
          <w:tcPr>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sz w:val="22"/>
                <w:szCs w:val="22"/>
              </w:rPr>
              <w:t xml:space="preserve">Run 10 seeds. Enables proper statistical testing.</w:t>
            </w:r>
          </w:p>
        </w:tc>
      </w:tr>
    </w:tbl>
    <w:p>
      <w:pPr>
        <w:spacing w:before="100" w:after="0"/>
      </w:pPr>
      <w:r>
        <w:t xml:space="preserve"/>
      </w:r>
    </w:p>
    <w:p>
      <w:pPr>
        <w:spacing w:before="80" w:after="80"/>
      </w:pPr>
      <w:r>
        <w:rPr>
          <w:b/>
          <w:bCs/>
          <w:sz w:val="22"/>
          <w:szCs w:val="22"/>
        </w:rPr>
        <w:t xml:space="preserve">Specific numbers that must become mean +/- std:</w:t>
      </w:r>
    </w:p>
    <w:p>
      <w:pPr>
        <w:pStyle w:val="ListParagraph"/>
        <w:numPr>
          <w:ilvl w:val="0"/>
          <w:numId w:val="2"/>
        </w:numPr>
        <w:spacing w:before="60" w:after="60"/>
      </w:pPr>
      <w:r>
        <w:rPr>
          <w:b w:val="false"/>
          <w:bCs w:val="false"/>
          <w:color w:val="1A1A2E"/>
          <w:sz w:val="22"/>
          <w:szCs w:val="22"/>
        </w:rPr>
        <w:t xml:space="preserve">Overall success rate: currently '70.8%' → must become e.g. '70.8 +/- 4.2%'</w:t>
      </w:r>
    </w:p>
    <w:p>
      <w:pPr>
        <w:pStyle w:val="ListParagraph"/>
        <w:numPr>
          <w:ilvl w:val="0"/>
          <w:numId w:val="2"/>
        </w:numPr>
        <w:spacing w:before="60" w:after="60"/>
      </w:pPr>
      <w:r>
        <w:rPr>
          <w:b w:val="false"/>
          <w:bCs w:val="false"/>
          <w:color w:val="1A1A2E"/>
          <w:sz w:val="22"/>
          <w:szCs w:val="22"/>
        </w:rPr>
        <w:t xml:space="preserve">Stage 1 success: 79.0% → needs seeds</w:t>
      </w:r>
    </w:p>
    <w:p>
      <w:pPr>
        <w:pStyle w:val="ListParagraph"/>
        <w:numPr>
          <w:ilvl w:val="0"/>
          <w:numId w:val="2"/>
        </w:numPr>
        <w:spacing w:before="60" w:after="60"/>
      </w:pPr>
      <w:r>
        <w:rPr>
          <w:b w:val="false"/>
          <w:bCs w:val="false"/>
          <w:color w:val="1A1A2E"/>
          <w:sz w:val="22"/>
          <w:szCs w:val="22"/>
        </w:rPr>
        <w:t xml:space="preserve">Stage 2 success: 97.0% → needs seeds</w:t>
      </w:r>
    </w:p>
    <w:p>
      <w:pPr>
        <w:pStyle w:val="ListParagraph"/>
        <w:numPr>
          <w:ilvl w:val="0"/>
          <w:numId w:val="2"/>
        </w:numPr>
        <w:spacing w:before="60" w:after="60"/>
      </w:pPr>
      <w:r>
        <w:rPr>
          <w:b w:val="false"/>
          <w:bCs w:val="false"/>
          <w:color w:val="1A1A2E"/>
          <w:sz w:val="22"/>
          <w:szCs w:val="22"/>
        </w:rPr>
        <w:t xml:space="preserve">Stage 3 success: 58.0% → needs seeds</w:t>
      </w:r>
    </w:p>
    <w:p>
      <w:pPr>
        <w:pStyle w:val="ListParagraph"/>
        <w:numPr>
          <w:ilvl w:val="0"/>
          <w:numId w:val="2"/>
        </w:numPr>
        <w:spacing w:before="60" w:after="60"/>
      </w:pPr>
      <w:r>
        <w:rPr>
          <w:b w:val="false"/>
          <w:bCs w:val="false"/>
          <w:color w:val="1A1A2E"/>
          <w:sz w:val="22"/>
          <w:szCs w:val="22"/>
        </w:rPr>
        <w:t xml:space="preserve">Stage 4 success: 60.7% → needs seeds</w:t>
      </w:r>
    </w:p>
    <w:p>
      <w:pPr>
        <w:pStyle w:val="ListParagraph"/>
        <w:numPr>
          <w:ilvl w:val="0"/>
          <w:numId w:val="2"/>
        </w:numPr>
        <w:spacing w:before="60" w:after="60"/>
      </w:pPr>
      <w:r>
        <w:rPr>
          <w:b w:val="false"/>
          <w:bCs w:val="false"/>
          <w:color w:val="1A1A2E"/>
          <w:sz w:val="22"/>
          <w:szCs w:val="22"/>
        </w:rPr>
        <w:t xml:space="preserve">Average firing rate: 8.5 Hz → needs seeds and time-window specification</w:t>
      </w:r>
    </w:p>
    <w:p>
      <w:pPr>
        <w:pStyle w:val="ListParagraph"/>
        <w:numPr>
          <w:ilvl w:val="0"/>
          <w:numId w:val="2"/>
        </w:numPr>
        <w:spacing w:before="60" w:after="60"/>
      </w:pPr>
      <w:r>
        <w:rPr>
          <w:b w:val="false"/>
          <w:bCs w:val="false"/>
          <w:color w:val="1A1A2E"/>
          <w:sz w:val="22"/>
          <w:szCs w:val="22"/>
        </w:rPr>
        <w:t xml:space="preserve">All ablation rows in Table III → each configuration needs multiple seeds</w:t>
      </w:r>
    </w:p>
    <w:p>
      <w:pPr>
        <w:spacing w:before="100" w:after="0"/>
      </w:pPr>
      <w:r>
        <w:t xml:space="preserve"/>
      </w:r>
    </w:p>
    <w:p>
      <w:pPr>
        <w:spacing w:before="80" w:after="80"/>
      </w:pPr>
      <w:r>
        <w:rPr>
          <w:b/>
          <w:bCs/>
          <w:sz w:val="22"/>
          <w:szCs w:val="22"/>
        </w:rPr>
        <w:t xml:space="preserve">Code change required (Python example):</w:t>
      </w:r>
    </w:p>
    <w:p>
      <w:pPr>
        <w:spacing w:before="80" w:after="80"/>
      </w:pPr>
      <w:r>
        <w:rPr>
          <w:rFonts w:ascii="Courier New" w:cs="Courier New" w:eastAsia="Courier New" w:hAnsi="Courier New"/>
          <w:color w:val="1A1A2E"/>
          <w:sz w:val="20"/>
          <w:szCs w:val="20"/>
        </w:rPr>
        <w:t xml:space="preserve">seeds = [42, 123, 456, 789, 1011]</w:t>
      </w:r>
    </w:p>
    <w:p>
      <w:pPr>
        <w:spacing w:before="0" w:after="80"/>
      </w:pPr>
      <w:r>
        <w:rPr>
          <w:rFonts w:ascii="Courier New" w:cs="Courier New" w:eastAsia="Courier New" w:hAnsi="Courier New"/>
          <w:color w:val="1A1A2E"/>
          <w:sz w:val="20"/>
          <w:szCs w:val="20"/>
        </w:rPr>
        <w:t xml:space="preserve">results = [run_experiment(seed=s) for s in seeds]</w:t>
      </w:r>
    </w:p>
    <w:p>
      <w:pPr>
        <w:spacing w:before="0" w:after="80"/>
      </w:pPr>
      <w:r>
        <w:rPr>
          <w:rFonts w:ascii="Courier New" w:cs="Courier New" w:eastAsia="Courier New" w:hAnsi="Courier New"/>
          <w:color w:val="1A1A2E"/>
          <w:sz w:val="20"/>
          <w:szCs w:val="20"/>
        </w:rPr>
        <w:t xml:space="preserve">report_mean_std(results)  # Do this for every metric</w:t>
      </w:r>
    </w:p>
    <w:p>
      <w:pPr>
        <w:spacing w:before="100" w:after="0"/>
      </w:pPr>
      <w:r>
        <w:t xml:space="preserve"/>
      </w:r>
    </w:p>
    <w:p>
      <w:pPr>
        <w:pStyle w:val="Heading2"/>
        <w:spacing w:before="300" w:after="150"/>
      </w:pPr>
      <w:r>
        <w:rPr>
          <w:b/>
          <w:bCs/>
          <w:color w:val="E67E22"/>
          <w:sz w:val="24"/>
          <w:szCs w:val="24"/>
        </w:rPr>
        <w:t xml:space="preserve">2.2  Resolve Figure vs. Text Inconsistency</w:t>
      </w:r>
    </w:p>
    <w:p>
      <w:pPr>
        <w:spacing w:before="80" w:after="80"/>
      </w:pPr>
      <w:r>
        <w:rPr>
          <w:sz w:val="22"/>
          <w:szCs w:val="22"/>
        </w:rPr>
        <w:t xml:space="preserve">This is a trust-breaking issue. Figure 2 appears to show success rates of 5/100, 7/100, and 14/100 for configurations — but the text reports 70.8% overall success. This discrepancy must be explained or corrected. Reviewers will catch this immediately.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none" w:color="FFFFFF" w:sz="0"/>
            </w:tcBorders>
            <w:shd w:fill="FEF9E7" w:val="clear"/>
            <w:tcMar>
              <w:top w:type="dxa" w:w="100"/>
              <w:left w:type="dxa" w:w="160"/>
              <w:bottom w:type="dxa" w:w="100"/>
              <w:right w:type="dxa" w:w="160"/>
            </w:tcMar>
            <w:vAlign w:val="center"/>
          </w:tcPr>
          <w:p>
            <w:pPr>
              <w:jc w:val="center"/>
            </w:pPr>
            <w:r>
              <w:rPr>
                <w:b/>
                <w:bCs/>
                <w:color w:val="E67E22"/>
                <w:sz w:val="22"/>
                <w:szCs w:val="22"/>
              </w:rPr>
              <w:t xml:space="preserve">ACTION</w:t>
            </w:r>
          </w:p>
        </w:tc>
        <w:tc>
          <w:tcPr>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sz w:val="22"/>
                <w:szCs w:val="22"/>
              </w:rPr>
              <w:t xml:space="preserve">Determine whether Fig. 2 shows results from a different evaluation window (e.g., Month 4 only vs. full 500 episodes). If so, label it explicitly: 'Results shown for Stage 2 evaluation window only.' If it is an error, correct the figure.</w:t>
            </w:r>
          </w:p>
        </w:tc>
      </w:tr>
    </w:tbl>
    <w:p>
      <w:pPr>
        <w:spacing w:before="100" w:after="0"/>
      </w:pPr>
      <w:r>
        <w:t xml:space="preserve"/>
      </w:r>
    </w:p>
    <w:p>
      <w:pPr>
        <w:spacing w:before="80" w:after="80"/>
      </w:pPr>
      <w:r>
        <w:rPr>
          <w:b/>
          <w:bCs/>
          <w:sz w:val="22"/>
          <w:szCs w:val="22"/>
        </w:rPr>
        <w:t xml:space="preserve">Add this line to the Figure 2 caption:</w:t>
      </w:r>
    </w:p>
    <w:p>
      <w:pPr>
        <w:spacing w:before="80" w:after="80"/>
      </w:pPr>
      <w:r>
        <w:rPr>
          <w:sz w:val="22"/>
          <w:szCs w:val="22"/>
        </w:rPr>
        <w:t xml:space="preserve">'Note: goal completion counts shown are for the 100-episode Stage 2 window, not cumulative across all 500 episodes.'</w:t>
      </w:r>
    </w:p>
    <w:p>
      <w:pPr>
        <w:spacing w:before="100" w:after="0"/>
      </w:pPr>
      <w:r>
        <w:t xml:space="preserve"/>
      </w:r>
    </w:p>
    <w:p>
      <w:pPr>
        <w:pStyle w:val="Heading2"/>
        <w:spacing w:before="300" w:after="150"/>
      </w:pPr>
      <w:r>
        <w:rPr>
          <w:b/>
          <w:bCs/>
          <w:color w:val="E67E22"/>
          <w:sz w:val="24"/>
          <w:szCs w:val="24"/>
        </w:rPr>
        <w:t xml:space="preserve">2.3  Strengthen or Remove the Energy Efficiency Claim</w:t>
      </w:r>
    </w:p>
    <w:p>
      <w:pPr>
        <w:spacing w:before="80" w:after="80"/>
      </w:pPr>
      <w:r>
        <w:rPr>
          <w:sz w:val="22"/>
          <w:szCs w:val="22"/>
        </w:rPr>
        <w:t xml:space="preserve">The paper currently states energy consumption is 'substantially lower' based on a 1 nJ/spike estimate, then immediately qualifies it as 'indicative rather than definitive.' Reviewers will treat this as an unsubstantiated claim. Choose one of the following paths: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none" w:color="FFFFFF" w:sz="0"/>
            </w:tcBorders>
            <w:shd w:fill="E9F7EF" w:val="clear"/>
            <w:tcMar>
              <w:top w:type="dxa" w:w="100"/>
              <w:left w:type="dxa" w:w="160"/>
              <w:bottom w:type="dxa" w:w="100"/>
              <w:right w:type="dxa" w:w="160"/>
            </w:tcMar>
            <w:vAlign w:val="center"/>
          </w:tcPr>
          <w:p>
            <w:pPr>
              <w:jc w:val="center"/>
            </w:pPr>
            <w:r>
              <w:rPr>
                <w:b/>
                <w:bCs/>
                <w:color w:val="27AE60"/>
                <w:sz w:val="22"/>
                <w:szCs w:val="22"/>
              </w:rPr>
              <w:t xml:space="preserve">OPTION A (Recommended)</w:t>
            </w:r>
          </w:p>
        </w:tc>
        <w:tc>
          <w:tcPr>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sz w:val="22"/>
                <w:szCs w:val="22"/>
              </w:rPr>
              <w:t xml:space="preserve">Measure it properly: count total spikes across all neurons for the final 100 episodes. Multiply by your hardware energy-per-spike estimate. Report as: 'OrganoidEnv generated X total spikes, corresponding to approximately Y microjoules at 1 nJ/spike [ref], compared to Z GFLOPS for the equivalent MLP baseline.'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single" w:color="CCCCCC" w:sz="1"/>
              <w:left w:val="single" w:color="CCCCCC" w:sz="1"/>
              <w:bottom w:val="single" w:color="CCCCCC" w:sz="1"/>
              <w:right w:val="none" w:color="FFFFFF" w:sz="0"/>
            </w:tcBorders>
            <w:shd w:fill="EAF4FB" w:val="clear"/>
            <w:tcMar>
              <w:top w:type="dxa" w:w="100"/>
              <w:left w:type="dxa" w:w="160"/>
              <w:bottom w:type="dxa" w:w="100"/>
              <w:right w:type="dxa" w:w="160"/>
            </w:tcMar>
            <w:vAlign w:val="center"/>
          </w:tcPr>
          <w:p>
            <w:pPr>
              <w:jc w:val="center"/>
            </w:pPr>
            <w:r>
              <w:rPr>
                <w:b/>
                <w:bCs/>
                <w:color w:val="1A5276"/>
                <w:sz w:val="22"/>
                <w:szCs w:val="22"/>
              </w:rPr>
              <w:t xml:space="preserve">OPTION B (Safe)</w:t>
            </w:r>
          </w:p>
        </w:tc>
        <w:tc>
          <w:tcPr>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sz w:val="22"/>
                <w:szCs w:val="22"/>
              </w:rPr>
              <w:t xml:space="preserve">Remove the energy claim entirely from Results. Move a brief qualitative statement to the Discussion: 'The sparse firing regime (8.5 Hz average) suggests potential energy benefits on neuromorphic hardware, though formal benchmarking is left for future work.'</w:t>
            </w:r>
          </w:p>
        </w:tc>
      </w:tr>
    </w:tbl>
    <w:p>
      <w:pPr>
        <w:spacing w:before="100" w:after="0"/>
      </w:pPr>
      <w:r>
        <w:t xml:space="preserve"/>
      </w:r>
    </w:p>
    <w:p>
      <w:pPr>
        <w:pStyle w:val="Heading2"/>
        <w:spacing w:before="300" w:after="150"/>
      </w:pPr>
      <w:r>
        <w:rPr>
          <w:b/>
          <w:bCs/>
          <w:color w:val="E67E22"/>
          <w:sz w:val="24"/>
          <w:szCs w:val="24"/>
        </w:rPr>
        <w:t xml:space="preserve">2.4  Add a Statistical Comparison Table</w:t>
      </w:r>
    </w:p>
    <w:p>
      <w:pPr>
        <w:spacing w:before="80" w:after="80"/>
      </w:pPr>
      <w:r>
        <w:rPr>
          <w:sz w:val="22"/>
          <w:szCs w:val="22"/>
        </w:rPr>
        <w:t xml:space="preserve">The baseline comparison (Table III) currently shows point estimates with no statistical test. Add a significance column. With 5+ seeds you can run a simple t-test or Mann-Whitney U test.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b/>
                <w:bCs/>
                <w:color w:val="FFFFFF"/>
                <w:sz w:val="22"/>
                <w:szCs w:val="22"/>
              </w:rPr>
              <w:t xml:space="preserve">Comparison</w:t>
            </w:r>
          </w:p>
        </w:tc>
        <w:tc>
          <w:tcPr>
            <w:tcW w:type="dxa" w:w="51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b/>
                <w:bCs/>
                <w:color w:val="FFFFFF"/>
                <w:sz w:val="22"/>
                <w:szCs w:val="22"/>
              </w:rPr>
              <w:t xml:space="preserve">Recommended Test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OrganoidEnv vs ANN (MLP)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Welch's t-test on final 100-episode success rate across seeds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OrganoidEnv vs RL-only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Welch's t-test on final 100-episode success rate across seeds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Full vs No dual-trace (ablation)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Mann-Whitney U (non-parametric, safer for small 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Full vs No GAR (ablation)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Mann-Whitney U</w:t>
            </w:r>
          </w:p>
        </w:tc>
      </w:tr>
    </w:tbl>
    <w:p>
      <w:pPr>
        <w:spacing w:before="100" w:after="0"/>
      </w:pPr>
      <w:r>
        <w:t xml:space="preserve"/>
      </w:r>
    </w:p>
    <w:p>
      <w:pPr>
        <w:spacing w:before="80" w:after="80"/>
      </w:pPr>
      <w:r>
        <w:rPr>
          <w:sz w:val="22"/>
          <w:szCs w:val="22"/>
        </w:rPr>
        <w:t xml:space="preserve">Add a p-value column to Table III. Even p &lt; 0.05 with 5 seeds is more credible than no test at all.</w:t>
      </w:r>
    </w:p>
    <w:p>
      <w:pPr>
        <w:spacing w:before="200" w:after="0"/>
      </w:pPr>
      <w:r>
        <w:t xml:space="preserve"/>
      </w:r>
    </w:p>
    <w:p>
      <w:pPr>
        <w:pBdr>
          <w:bottom w:val="single" w:color="2980B9" w:sz="4"/>
        </w:pBdr>
        <w:spacing w:before="200" w:after="200"/>
      </w:pPr>
    </w:p>
    <w:p>
      <w:pPr>
        <w:pStyle w:val="Heading1"/>
        <w:spacing w:before="400" w:after="200"/>
      </w:pPr>
      <w:r>
        <w:rPr>
          <w:b/>
          <w:bCs/>
          <w:color w:val="1A1A2E"/>
          <w:sz w:val="28"/>
          <w:szCs w:val="28"/>
        </w:rPr>
        <w:t xml:space="preserve">TIER 3 — Writing, Framing &amp; Polish</w:t>
      </w:r>
    </w:p>
    <w:p>
      <w:pPr>
        <w:spacing w:before="100" w:after="0"/>
      </w:pPr>
      <w:r>
        <w:t xml:space="preserve"/>
      </w:r>
    </w:p>
    <w:p>
      <w:pPr>
        <w:pStyle w:val="Heading2"/>
        <w:spacing w:before="300" w:after="150"/>
      </w:pPr>
      <w:r>
        <w:rPr>
          <w:b/>
          <w:bCs/>
          <w:color w:val="2C3E50"/>
          <w:sz w:val="24"/>
          <w:szCs w:val="24"/>
        </w:rPr>
        <w:t xml:space="preserve">3.1  Reframe the Contribution Correctly</w:t>
      </w:r>
    </w:p>
    <w:p>
      <w:pPr>
        <w:spacing w:before="80" w:after="80"/>
      </w:pPr>
      <w:r>
        <w:rPr>
          <w:sz w:val="22"/>
          <w:szCs w:val="22"/>
        </w:rPr>
        <w:t xml:space="preserve">The paper's framing invites an unfair comparison. Never frame OrganoidEnv as competing with ANNs on performance — frame it as a testbed/framework with different goals. Suggested changes: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b/>
                <w:bCs/>
                <w:color w:val="FFFFFF"/>
                <w:sz w:val="22"/>
                <w:szCs w:val="22"/>
              </w:rPr>
              <w:t xml:space="preserve">Current Phrasing (Change This)</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b/>
                <w:bCs/>
                <w:color w:val="FFFFFF"/>
                <w:sz w:val="22"/>
                <w:szCs w:val="22"/>
              </w:rPr>
              <w:t xml:space="preserve">Revised Phrasing (Use This)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'while ANNs converge faster and achieve higher asymptotic performance'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'ANNs optimized purely for performance naturally outperform biologically constrained systems; however, OrganoidEnv's goal is not performance parity but biological fidelity and interpretability as a neuromorphic testbed.'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'not directly comparable to models of biological tissues'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'These baselines serve as performance upper bounds for the navigation task, not as the primary point of comparison for a framework designed around biological constraints.'</w:t>
            </w:r>
          </w:p>
        </w:tc>
      </w:tr>
    </w:tbl>
    <w:p>
      <w:pPr>
        <w:spacing w:before="100" w:after="0"/>
      </w:pPr>
      <w:r>
        <w:t xml:space="preserve"/>
      </w:r>
    </w:p>
    <w:p>
      <w:pPr>
        <w:pStyle w:val="Heading2"/>
        <w:spacing w:before="300" w:after="150"/>
      </w:pPr>
      <w:r>
        <w:rPr>
          <w:b/>
          <w:bCs/>
          <w:color w:val="2C3E50"/>
          <w:sz w:val="24"/>
          <w:szCs w:val="24"/>
        </w:rPr>
        <w:t xml:space="preserve">3.2  Update Related Work to Cover 2023-2025</w:t>
      </w:r>
    </w:p>
    <w:p>
      <w:pPr>
        <w:spacing w:before="80" w:after="80"/>
      </w:pPr>
      <w:r>
        <w:rPr>
          <w:sz w:val="22"/>
          <w:szCs w:val="22"/>
        </w:rPr>
        <w:t xml:space="preserve">Frontiers reviewers will check whether you cite recent literature. Add at minimum 3-5 papers from 2023-2025 in the following areas:</w:t>
      </w:r>
    </w:p>
    <w:p>
      <w:pPr>
        <w:pStyle w:val="ListParagraph"/>
        <w:numPr>
          <w:ilvl w:val="0"/>
          <w:numId w:val="2"/>
        </w:numPr>
        <w:spacing w:before="60" w:after="60"/>
      </w:pPr>
      <w:r>
        <w:rPr>
          <w:b w:val="false"/>
          <w:bCs w:val="false"/>
          <w:color w:val="1A1A2E"/>
          <w:sz w:val="22"/>
          <w:szCs w:val="22"/>
        </w:rPr>
        <w:t xml:space="preserve">Recent SNN-RL hybrid approaches (search: 'spiking neural network reinforcement learning 2024')</w:t>
      </w:r>
    </w:p>
    <w:p>
      <w:pPr>
        <w:pStyle w:val="ListParagraph"/>
        <w:numPr>
          <w:ilvl w:val="0"/>
          <w:numId w:val="2"/>
        </w:numPr>
        <w:spacing w:before="60" w:after="60"/>
      </w:pPr>
      <w:r>
        <w:rPr>
          <w:b w:val="false"/>
          <w:bCs w:val="false"/>
          <w:color w:val="1A1A2E"/>
          <w:sz w:val="22"/>
          <w:szCs w:val="22"/>
        </w:rPr>
        <w:t xml:space="preserve">Neuromorphic hardware benchmarks (Intel Loihi 2 papers, 2023-2024)</w:t>
      </w:r>
    </w:p>
    <w:p>
      <w:pPr>
        <w:pStyle w:val="ListParagraph"/>
        <w:numPr>
          <w:ilvl w:val="0"/>
          <w:numId w:val="2"/>
        </w:numPr>
        <w:spacing w:before="60" w:after="60"/>
      </w:pPr>
      <w:r>
        <w:rPr>
          <w:b w:val="false"/>
          <w:bCs w:val="false"/>
          <w:color w:val="1A1A2E"/>
          <w:sz w:val="22"/>
          <w:szCs w:val="22"/>
        </w:rPr>
        <w:t xml:space="preserve">Organoid intelligence updates — the field moved fast in 2023-2025</w:t>
      </w:r>
    </w:p>
    <w:p>
      <w:pPr>
        <w:pStyle w:val="ListParagraph"/>
        <w:numPr>
          <w:ilvl w:val="0"/>
          <w:numId w:val="2"/>
        </w:numPr>
        <w:spacing w:before="60" w:after="60"/>
      </w:pPr>
      <w:r>
        <w:rPr>
          <w:b w:val="false"/>
          <w:bCs w:val="false"/>
          <w:color w:val="1A1A2E"/>
          <w:sz w:val="22"/>
          <w:szCs w:val="22"/>
        </w:rPr>
        <w:t xml:space="preserve">E-prop and surrogate gradient improvements since your [5] citation</w:t>
      </w:r>
    </w:p>
    <w:p>
      <w:pPr>
        <w:spacing w:before="100" w:after="0"/>
      </w:pPr>
      <w:r>
        <w:t xml:space="preserve"/>
      </w:r>
    </w:p>
    <w:p>
      <w:pPr>
        <w:pStyle w:val="Heading2"/>
        <w:spacing w:before="300" w:after="150"/>
      </w:pPr>
      <w:r>
        <w:rPr>
          <w:b/>
          <w:bCs/>
          <w:color w:val="2C3E50"/>
          <w:sz w:val="24"/>
          <w:szCs w:val="24"/>
        </w:rPr>
        <w:t xml:space="preserve">3.3  Add a Limitations Subsection Sentence on Scale</w:t>
      </w:r>
    </w:p>
    <w:p>
      <w:pPr>
        <w:spacing w:before="80" w:after="80"/>
      </w:pPr>
      <w:r>
        <w:rPr>
          <w:sz w:val="22"/>
          <w:szCs w:val="22"/>
        </w:rPr>
        <w:t xml:space="preserve">Currently the limitations note that the network is '2D' and '500 neurons' but don't quantify the gap to real organoids. Add:</w:t>
      </w:r>
    </w:p>
    <w:p>
      <w:pPr>
        <w:spacing w:before="80" w:after="80"/>
      </w:pPr>
      <w:r>
        <w:rPr>
          <w:sz w:val="22"/>
          <w:szCs w:val="22"/>
        </w:rPr>
        <w:t xml:space="preserve">'Real brain organoids contain on the order of 10^5 to 10^6 neurons with 3D spatial organization and diffusion-mediated signaling. The 500-neuron, 2D OrganoidEnv is thus a highly abstracted analogue; scaling studies and 3D extensions are planned for future work.'</w:t>
      </w:r>
    </w:p>
    <w:p>
      <w:pPr>
        <w:spacing w:before="100" w:after="0"/>
      </w:pPr>
      <w:r>
        <w:t xml:space="preserve"/>
      </w:r>
    </w:p>
    <w:p>
      <w:pPr>
        <w:pStyle w:val="Heading2"/>
        <w:spacing w:before="300" w:after="150"/>
      </w:pPr>
      <w:r>
        <w:rPr>
          <w:b/>
          <w:bCs/>
          <w:color w:val="2C3E50"/>
          <w:sz w:val="24"/>
          <w:szCs w:val="24"/>
        </w:rPr>
        <w:t xml:space="preserve">3.4  Fix the Incomplete Sentence in Results</w:t>
      </w:r>
    </w:p>
    <w:p>
      <w:pPr>
        <w:spacing w:before="80" w:after="80"/>
      </w:pPr>
      <w:r>
        <w:rPr>
          <w:sz w:val="22"/>
          <w:szCs w:val="22"/>
        </w:rPr>
        <w:t xml:space="preserve">Section IV-A contains a truncated sentence beginning '60.7' with no predicate. Locate it and complete it. Suggested fix:</w:t>
      </w:r>
    </w:p>
    <w:p>
      <w:pPr>
        <w:spacing w:before="80" w:after="80"/>
      </w:pPr>
      <w:r>
        <w:rPr>
          <w:sz w:val="22"/>
          <w:szCs w:val="22"/>
        </w:rPr>
        <w:t xml:space="preserve">'The 60.7% success rate in Stage 4 (full task) reflects the representational bottleneck introduced by context-dependent routing with a static connectivity structure.'</w:t>
      </w:r>
    </w:p>
    <w:p>
      <w:pPr>
        <w:spacing w:before="100" w:after="0"/>
      </w:pPr>
      <w:r>
        <w:t xml:space="preserve"/>
      </w:r>
    </w:p>
    <w:p>
      <w:pPr>
        <w:pStyle w:val="Heading2"/>
        <w:spacing w:before="300" w:after="150"/>
      </w:pPr>
      <w:r>
        <w:rPr>
          <w:b/>
          <w:bCs/>
          <w:color w:val="2C3E50"/>
          <w:sz w:val="24"/>
          <w:szCs w:val="24"/>
        </w:rPr>
        <w:t xml:space="preserve">3.5  Curriculum Stage Count</w:t>
      </w:r>
    </w:p>
    <w:p>
      <w:pPr>
        <w:spacing w:before="80" w:after="80"/>
      </w:pPr>
      <w:r>
        <w:rPr>
          <w:sz w:val="22"/>
          <w:szCs w:val="22"/>
        </w:rPr>
        <w:t xml:space="preserve">The abstract says 'six-stage curriculum' but the paper describes only four stages (Stages 1-4). Either add the missing two stages to the Methods section or correct the abstract to say 'four-stage curriculum'. This inconsistency will be flagged.</w:t>
      </w:r>
    </w:p>
    <w:p>
      <w:pPr>
        <w:spacing w:before="200" w:after="0"/>
      </w:pPr>
      <w:r>
        <w:t xml:space="preserve"/>
      </w:r>
    </w:p>
    <w:p>
      <w:pPr>
        <w:pBdr>
          <w:bottom w:val="single" w:color="1A1A2E" w:sz="4"/>
        </w:pBdr>
        <w:spacing w:before="200" w:after="200"/>
      </w:pPr>
    </w:p>
    <w:p>
      <w:pPr>
        <w:pStyle w:val="Heading1"/>
        <w:spacing w:before="400" w:after="200"/>
      </w:pPr>
      <w:r>
        <w:rPr>
          <w:b/>
          <w:bCs/>
          <w:color w:val="1A1A2E"/>
          <w:sz w:val="28"/>
          <w:szCs w:val="28"/>
        </w:rPr>
        <w:t xml:space="preserve">Execution Order (Recommended Sequence)</w:t>
      </w:r>
    </w:p>
    <w:p>
      <w:pPr>
        <w:spacing w:before="80" w:after="80"/>
      </w:pPr>
      <w:r>
        <w:rPr>
          <w:sz w:val="22"/>
          <w:szCs w:val="22"/>
        </w:rPr>
        <w:t xml:space="preserve">Do not run experiments before fixing the manuscript skeleton — you want to write up clean results into a clean paper.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c>
          <w:tcPr>
            <w:tcW w:type="dxa" w:w="72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b/>
                <w:bCs/>
                <w:color w:val="FFFFFF"/>
                <w:sz w:val="22"/>
                <w:szCs w:val="22"/>
              </w:rPr>
              <w:t xml:space="preserve">Step</w:t>
            </w:r>
          </w:p>
        </w:tc>
        <w:tc>
          <w:tcPr>
            <w:tcW w:type="dxa" w:w="648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b/>
                <w:bCs/>
                <w:color w:val="FFFFFF"/>
                <w:sz w:val="22"/>
                <w:szCs w:val="22"/>
              </w:rPr>
              <w:t xml:space="preserve">Action</w:t>
            </w:r>
          </w:p>
        </w:tc>
        <w:tc>
          <w:tcPr>
            <w:tcW w:type="dxa" w:w="21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b/>
                <w:bCs/>
                <w:color w:val="FFFFFF"/>
                <w:sz w:val="22"/>
                <w:szCs w:val="22"/>
              </w:rPr>
              <w:t xml:space="preserve">Time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Fix affiliations, email, all '??' references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30 min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Write all 5 figure captions (use the drafts above as starting points)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45 min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Fix the truncated sentence and the six vs four stage inconsistency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15 min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Reframe contribution text and baseline comparison language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1 hour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Run 5-seed experiment (OrganoidEnv + all ablations)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3-7 days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Update all tables with mean +/- std and add p-values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1 day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7</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Either measure or remove the energy claim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2 hours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8</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Add Figure 2 caption clarification re: evaluation window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15 min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9</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Add 3-5 recent citations (2023-2025) to Related Work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2-3 hours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10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Final proofread: check every number in text matches every table/figure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2 hours</w:t>
            </w:r>
          </w:p>
        </w:tc>
      </w:tr>
    </w:tbl>
    <w:p>
      <w:pPr>
        <w:spacing w:before="200" w:after="0"/>
      </w:pPr>
      <w:r>
        <w:t xml:space="preserve"/>
      </w:r>
    </w:p>
    <w:p>
      <w:pPr>
        <w:pBdr>
          <w:bottom w:val="single" w:color="27AE60" w:sz="4"/>
        </w:pBdr>
        <w:spacing w:before="200" w:after="200"/>
      </w:pPr>
    </w:p>
    <w:p>
      <w:pPr>
        <w:pStyle w:val="Heading1"/>
        <w:spacing w:before="400" w:after="200"/>
      </w:pPr>
      <w:r>
        <w:rPr>
          <w:b/>
          <w:bCs/>
          <w:color w:val="1A1A2E"/>
          <w:sz w:val="28"/>
          <w:szCs w:val="28"/>
        </w:rPr>
        <w:t xml:space="preserve">Pre-Submission Checklist</w:t>
      </w:r>
    </w:p>
    <w:p>
      <w:pPr>
        <w:spacing w:before="80" w:after="80"/>
      </w:pPr>
      <w:r>
        <w:rPr>
          <w:b/>
          <w:bCs/>
          <w:sz w:val="22"/>
          <w:szCs w:val="22"/>
        </w:rPr>
        <w:t xml:space="preserve">Go through each item below before hitting submit. Every item must be checked.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b/>
                <w:bCs/>
                <w:color w:val="FFFFFF"/>
                <w:sz w:val="22"/>
                <w:szCs w:val="22"/>
              </w:rPr>
              <w:t xml:space="preserve">Item</w:t>
            </w:r>
          </w:p>
        </w:tc>
        <w:tc>
          <w:tcPr>
            <w:tcW w:type="dxa" w:w="21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b/>
                <w:bCs/>
                <w:color w:val="FFFFFF"/>
                <w:sz w:val="22"/>
                <w:szCs w:val="22"/>
              </w:rPr>
              <w:t xml:space="preserve">Status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No '??' or 'Enter Caption' or placeholder text anywhere in the document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 ] Done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Author affiliation and email are real, not placeholder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 ] Done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All figures have complete, self-contained captions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 ] Done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All success rates reported as mean +/- std (N seeds stated)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 ] Done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Ablation table has multi-seed numbers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 ] Done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Fig. 2 vs text inconsistency resolved and explained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 ] Done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Energy claim is either measured or moved to future work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 ] Done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Statistical tests added to baseline comparison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 ] Done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Abstract says '4-stage' (or stages 1-4 are correctly expanded to 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 ] Done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Truncated sentence in Results section fixed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 ] Done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Related work includes at least 2 papers from 2024 or 2025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 ] Done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All cross-references resolve to actual table/figure numbers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 ] Done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Every number in Results text matches the corresponding table/figure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 ] Done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b w:val="false"/>
                <w:bCs w:val="false"/>
                <w:sz w:val="22"/>
                <w:szCs w:val="22"/>
              </w:rPr>
              <w:t xml:space="preserve">Frontiers author guidelines formatting requirements met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sz w:val="22"/>
                <w:szCs w:val="22"/>
              </w:rPr>
              <w:t xml:space="preserve">[ ] Done</w:t>
            </w:r>
          </w:p>
        </w:tc>
      </w:tr>
    </w:tbl>
    <w:p>
      <w:pPr>
        <w:spacing w:before="200" w:after="0"/>
      </w:pPr>
      <w:r>
        <w:t xml:space="preserve"/>
      </w:r>
    </w:p>
    <w:p>
      <w:pPr>
        <w:pBdr>
          <w:bottom w:val="single" w:color="7F8C8D" w:sz="4"/>
        </w:pBdr>
        <w:spacing w:before="200" w:after="200"/>
      </w:pPr>
    </w:p>
    <w:p>
      <w:pPr>
        <w:pStyle w:val="Heading1"/>
        <w:spacing w:before="400" w:after="200"/>
      </w:pPr>
      <w:r>
        <w:rPr>
          <w:b/>
          <w:bCs/>
          <w:color w:val="1A1A2E"/>
          <w:sz w:val="28"/>
          <w:szCs w:val="28"/>
        </w:rPr>
        <w:t xml:space="preserve">Realistic Outcome After These Fixes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b/>
                <w:bCs/>
                <w:color w:val="FFFFFF"/>
                <w:sz w:val="22"/>
                <w:szCs w:val="22"/>
              </w:rPr>
              <w:t xml:space="preserve">Version</w:t>
            </w:r>
          </w:p>
        </w:tc>
        <w:tc>
          <w:tcPr>
            <w:tcW w:type="dxa" w:w="38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b/>
                <w:bCs/>
                <w:color w:val="FFFFFF"/>
                <w:sz w:val="22"/>
                <w:szCs w:val="22"/>
              </w:rPr>
              <w:t xml:space="preserve">Expected Reviewer Score</w:t>
            </w:r>
          </w:p>
        </w:tc>
        <w:tc>
          <w:tcPr>
            <w:tcW w:type="dxa" w:w="300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b/>
                <w:bCs/>
                <w:color w:val="FFFFFF"/>
                <w:sz w:val="22"/>
                <w:szCs w:val="22"/>
              </w:rPr>
              <w:t xml:space="preserve">Likely Outcome</w:t>
            </w:r>
          </w:p>
        </w:tc>
      </w:tr>
      <w:tr>
        <w:tc>
          <w:tcPr>
            <w:tcW w:type="dxa" w:w="250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sz w:val="22"/>
                <w:szCs w:val="22"/>
              </w:rPr>
              <w:t xml:space="preserve">Current (unmodified)</w:t>
            </w:r>
          </w:p>
        </w:tc>
        <w:tc>
          <w:tcPr>
            <w:tcW w:type="dxa" w:w="38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sz w:val="22"/>
                <w:szCs w:val="22"/>
              </w:rPr>
              <w:t xml:space="preserve">3-4 / 10</w:t>
            </w:r>
          </w:p>
        </w:tc>
        <w:tc>
          <w:tcPr>
            <w:tcW w:type="dxa" w:w="300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sz w:val="22"/>
                <w:szCs w:val="22"/>
              </w:rPr>
              <w:t xml:space="preserve">Desk rejection or immediate major revisions</w:t>
            </w:r>
          </w:p>
        </w:tc>
      </w:tr>
      <w:tr>
        <w:tc>
          <w:tcPr>
            <w:tcW w:type="dxa" w:w="25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r>
              <w:rPr>
                <w:sz w:val="22"/>
                <w:szCs w:val="22"/>
              </w:rPr>
              <w:t xml:space="preserve">After Tier 1 only</w:t>
            </w:r>
          </w:p>
        </w:tc>
        <w:tc>
          <w:tcPr>
            <w:tcW w:type="dxa" w:w="38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r>
              <w:rPr>
                <w:sz w:val="22"/>
                <w:szCs w:val="22"/>
              </w:rPr>
              <w:t xml:space="preserve">5-6 / 10</w:t>
            </w:r>
          </w:p>
        </w:tc>
        <w:tc>
          <w:tcPr>
            <w:tcW w:type="dxa" w:w="300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r>
              <w:rPr>
                <w:sz w:val="22"/>
                <w:szCs w:val="22"/>
              </w:rPr>
              <w:t xml:space="preserve">Major revisions — statistical issues flagged</w:t>
            </w:r>
          </w:p>
        </w:tc>
      </w:tr>
      <w:tr>
        <w:tc>
          <w:tcPr>
            <w:tcW w:type="dxa" w:w="2500"/>
            <w:tcBorders>
              <w:top w:val="single" w:color="CCCCCC" w:sz="1"/>
              <w:left w:val="single" w:color="CCCCCC" w:sz="1"/>
              <w:bottom w:val="single" w:color="CCCCCC" w:sz="1"/>
              <w:right w:val="single" w:color="CCCCCC" w:sz="1"/>
            </w:tcBorders>
            <w:shd w:fill="E9F7EF" w:val="clear"/>
            <w:tcMar>
              <w:top w:type="dxa" w:w="80"/>
              <w:left w:type="dxa" w:w="160"/>
              <w:bottom w:type="dxa" w:w="80"/>
              <w:right w:type="dxa" w:w="160"/>
            </w:tcMar>
          </w:tcPr>
          <w:p>
            <w:r>
              <w:rPr>
                <w:sz w:val="22"/>
                <w:szCs w:val="22"/>
              </w:rPr>
              <w:t xml:space="preserve">After Tier 1 + 2</w:t>
            </w:r>
          </w:p>
        </w:tc>
        <w:tc>
          <w:tcPr>
            <w:tcW w:type="dxa" w:w="3860"/>
            <w:tcBorders>
              <w:top w:val="single" w:color="CCCCCC" w:sz="1"/>
              <w:left w:val="single" w:color="CCCCCC" w:sz="1"/>
              <w:bottom w:val="single" w:color="CCCCCC" w:sz="1"/>
              <w:right w:val="single" w:color="CCCCCC" w:sz="1"/>
            </w:tcBorders>
            <w:shd w:fill="E9F7EF" w:val="clear"/>
            <w:tcMar>
              <w:top w:type="dxa" w:w="80"/>
              <w:left w:type="dxa" w:w="160"/>
              <w:bottom w:type="dxa" w:w="80"/>
              <w:right w:type="dxa" w:w="160"/>
            </w:tcMar>
          </w:tcPr>
          <w:p>
            <w:r>
              <w:rPr>
                <w:sz w:val="22"/>
                <w:szCs w:val="22"/>
              </w:rPr>
              <w:t xml:space="preserve">7-8 / 10</w:t>
            </w:r>
          </w:p>
        </w:tc>
        <w:tc>
          <w:tcPr>
            <w:tcW w:type="dxa" w:w="3000"/>
            <w:tcBorders>
              <w:top w:val="single" w:color="CCCCCC" w:sz="1"/>
              <w:left w:val="single" w:color="CCCCCC" w:sz="1"/>
              <w:bottom w:val="single" w:color="CCCCCC" w:sz="1"/>
              <w:right w:val="single" w:color="CCCCCC" w:sz="1"/>
            </w:tcBorders>
            <w:shd w:fill="E9F7EF" w:val="clear"/>
            <w:tcMar>
              <w:top w:type="dxa" w:w="80"/>
              <w:left w:type="dxa" w:w="160"/>
              <w:bottom w:type="dxa" w:w="80"/>
              <w:right w:type="dxa" w:w="160"/>
            </w:tcMar>
          </w:tcPr>
          <w:p>
            <w:r>
              <w:rPr>
                <w:sz w:val="22"/>
                <w:szCs w:val="22"/>
              </w:rPr>
              <w:t xml:space="preserve">Minor revisions — strong chance of acceptance</w:t>
            </w:r>
          </w:p>
        </w:tc>
      </w:tr>
      <w:tr>
        <w:tc>
          <w:tcPr>
            <w:tcW w:type="dxa" w:w="2500"/>
            <w:tcBorders>
              <w:top w:val="single" w:color="CCCCCC" w:sz="1"/>
              <w:left w:val="single" w:color="CCCCCC" w:sz="1"/>
              <w:bottom w:val="single" w:color="CCCCCC" w:sz="1"/>
              <w:right w:val="single" w:color="CCCCCC" w:sz="1"/>
            </w:tcBorders>
            <w:shd w:fill="E8F8F5" w:val="clear"/>
            <w:tcMar>
              <w:top w:type="dxa" w:w="80"/>
              <w:left w:type="dxa" w:w="160"/>
              <w:bottom w:type="dxa" w:w="80"/>
              <w:right w:type="dxa" w:w="160"/>
            </w:tcMar>
          </w:tcPr>
          <w:p>
            <w:r>
              <w:rPr>
                <w:sz w:val="22"/>
                <w:szCs w:val="22"/>
              </w:rPr>
              <w:t xml:space="preserve">After Tier 1 + 2 + 3</w:t>
            </w:r>
          </w:p>
        </w:tc>
        <w:tc>
          <w:tcPr>
            <w:tcW w:type="dxa" w:w="3860"/>
            <w:tcBorders>
              <w:top w:val="single" w:color="CCCCCC" w:sz="1"/>
              <w:left w:val="single" w:color="CCCCCC" w:sz="1"/>
              <w:bottom w:val="single" w:color="CCCCCC" w:sz="1"/>
              <w:right w:val="single" w:color="CCCCCC" w:sz="1"/>
            </w:tcBorders>
            <w:shd w:fill="E8F8F5" w:val="clear"/>
            <w:tcMar>
              <w:top w:type="dxa" w:w="80"/>
              <w:left w:type="dxa" w:w="160"/>
              <w:bottom w:type="dxa" w:w="80"/>
              <w:right w:type="dxa" w:w="160"/>
            </w:tcMar>
          </w:tcPr>
          <w:p>
            <w:r>
              <w:rPr>
                <w:sz w:val="22"/>
                <w:szCs w:val="22"/>
              </w:rPr>
              <w:t xml:space="preserve">8-9 / 10</w:t>
            </w:r>
          </w:p>
        </w:tc>
        <w:tc>
          <w:tcPr>
            <w:tcW w:type="dxa" w:w="3000"/>
            <w:tcBorders>
              <w:top w:val="single" w:color="CCCCCC" w:sz="1"/>
              <w:left w:val="single" w:color="CCCCCC" w:sz="1"/>
              <w:bottom w:val="single" w:color="CCCCCC" w:sz="1"/>
              <w:right w:val="single" w:color="CCCCCC" w:sz="1"/>
            </w:tcBorders>
            <w:shd w:fill="E8F8F5" w:val="clear"/>
            <w:tcMar>
              <w:top w:type="dxa" w:w="80"/>
              <w:left w:type="dxa" w:w="160"/>
              <w:bottom w:type="dxa" w:w="80"/>
              <w:right w:type="dxa" w:w="160"/>
            </w:tcMar>
          </w:tcPr>
          <w:p>
            <w:r>
              <w:rPr>
                <w:sz w:val="22"/>
                <w:szCs w:val="22"/>
              </w:rPr>
              <w:t xml:space="preserve">Likely acceptance, possibly with minor comments</w:t>
            </w:r>
          </w:p>
        </w:tc>
      </w:tr>
    </w:tbl>
    <w:p>
      <w:pPr>
        <w:spacing w:before="200" w:after="0"/>
      </w:pPr>
      <w:r>
        <w:t xml:space="preserve"/>
      </w:r>
    </w:p>
    <w:p>
      <w:pPr>
        <w:spacing w:before="300" w:after="100"/>
        <w:jc w:val="center"/>
      </w:pPr>
      <w:r>
        <w:rPr>
          <w:i/>
          <w:iCs/>
          <w:color w:val="2C3E50"/>
          <w:sz w:val="22"/>
          <w:szCs w:val="22"/>
        </w:rPr>
        <w:t xml:space="preserve">The core research is solid. The work needed is in presentation and validation — not in rebuilding the science.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2026-03-27T14:15:38.787Z</dcterms:created>
  <dcterms:modified xsi:type="dcterms:W3CDTF">2026-03-27T14:15:38.787Z</dcterms:modified>
</cp:coreProperties>
</file>

<file path=docProps/custom.xml><?xml version="1.0" encoding="utf-8"?>
<Properties xmlns="http://schemas.openxmlformats.org/officeDocument/2006/custom-properties" xmlns:vt="http://schemas.openxmlformats.org/officeDocument/2006/docPropsVTypes"/>
</file>