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3A6E"/>
          <w:sz w:val="42"/>
          <w:szCs w:val="42"/>
        </w:rPr>
        <w:t xml:space="preserve">Dynamics of Monetary Policy Transmission:</w:t>
      </w:r>
    </w:p>
    <w:p>
      <w:pPr>
        <w:spacing w:after="200" w:before="0"/>
        <w:jc w:val="center"/>
      </w:pPr>
      <w:r>
        <w:rPr>
          <w:rFonts w:ascii="Calibri" w:cs="Calibri" w:eastAsia="Calibri" w:hAnsi="Calibri"/>
          <w:b/>
          <w:bCs/>
          <w:color w:val="C0392B"/>
          <w:sz w:val="32"/>
          <w:szCs w:val="32"/>
        </w:rPr>
        <w:t xml:space="preserve">An Empirical Analysis of Indian Interest Rate Volatility</w:t>
      </w:r>
    </w:p>
    <w:p>
      <w:pPr>
        <w:pBdr>
          <w:top w:val="single" w:color="BDC8DC" w:sz="3" w:space="4"/>
          <w:bottom w:val="single" w:color="BDC8DC" w:sz="3" w:space="4"/>
        </w:pBdr>
        <w:spacing w:after="60" w:before="0"/>
        <w:jc w:val="center"/>
      </w:pPr>
      <w:r>
        <w:rPr>
          <w:rFonts w:ascii="Calibri" w:cs="Calibri" w:eastAsia="Calibri" w:hAnsi="Calibri"/>
          <w:b/>
          <w:bCs/>
          <w:color w:val="333333"/>
          <w:sz w:val="24"/>
          <w:szCs w:val="24"/>
        </w:rPr>
        <w:t xml:space="preserve">Vanshaj Shah</w:t>
      </w:r>
    </w:p>
    <w:p>
      <w:pPr>
        <w:spacing w:after="60" w:before="60"/>
        <w:jc w:val="center"/>
      </w:pPr>
      <w:r>
        <w:rPr>
          <w:rFonts w:ascii="Calibri" w:cs="Calibri" w:eastAsia="Calibri" w:hAnsi="Calibri"/>
          <w:color w:val="666666"/>
          <w:sz w:val="20"/>
          <w:szCs w:val="20"/>
        </w:rPr>
        <w:t xml:space="preserve">Department of Economics, VIT Vellore</w:t>
      </w:r>
    </w:p>
    <w:p>
      <w:pPr>
        <w:spacing w:after="240" w:before="0"/>
        <w:jc w:val="center"/>
      </w:pPr>
      <w:r>
        <w:rPr>
          <w:rFonts w:ascii="Calibri" w:cs="Calibri" w:eastAsia="Calibri" w:hAnsi="Calibri"/>
          <w:i/>
          <w:iCs/>
          <w:color w:val="C0392B"/>
          <w:sz w:val="20"/>
          <w:szCs w:val="20"/>
        </w:rPr>
        <w:t xml:space="preserve">vanshajshah00@gmail.com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6E" w:sz="6"/>
              <w:left w:val="single" w:color="1F3A6E" w:sz="6"/>
              <w:bottom w:val="single" w:color="1F3A6E" w:sz="6"/>
              <w:right w:val="single" w:color="1F3A6E" w:sz="6"/>
            </w:tcBorders>
            <w:shd w:fill="EEF2F8" w:val="clear"/>
            <w:tcMar>
              <w:top w:type="dxa" w:w="200"/>
              <w:left w:type="dxa" w:w="240"/>
              <w:bottom w:type="dxa" w:w="200"/>
              <w:right w:type="dxa" w:w="240"/>
            </w:tcMar>
          </w:tcPr>
          <w:p>
            <w:pPr>
              <w:spacing w:after="80"/>
              <w:jc w:val="both"/>
            </w:pPr>
            <w:r>
              <w:rPr>
                <w:rFonts w:ascii="Calibri" w:cs="Calibri" w:eastAsia="Calibri" w:hAnsi="Calibri"/>
                <w:b/>
                <w:bCs/>
                <w:caps/>
                <w:color w:val="1F3A6E"/>
                <w:spacing w:val="80"/>
                <w:sz w:val="20"/>
                <w:szCs w:val="20"/>
              </w:rPr>
              <w:t xml:space="preserve">ABSTRACT</w:t>
            </w:r>
          </w:p>
          <w:p>
            <w:pPr>
              <w:jc w:val="both"/>
            </w:pPr>
            <w:r>
              <w:rPr>
                <w:rFonts w:ascii="Calibri" w:cs="Calibri" w:eastAsia="Calibri" w:hAnsi="Calibri"/>
                <w:i/>
                <w:iCs/>
                <w:color w:val="333333"/>
                <w:sz w:val="20"/>
                <w:szCs w:val="20"/>
              </w:rPr>
              <w:t xml:space="preserve">This paper provides an extensive empirical investigation into the efficacy and velocity of monetary policy transmission within the Indian economy. By focusing on the relationship between the Reserve Bank of India’s (RBI) policy repo rate and market-determined interest rates—specifically the Weighted Average Call Rate (WACR), Treasury Bill yields, and Government Securities (G-Sec) yields—this study identifies “friction points” in the Indian financial system. Using high-frequency financial data and a Python-based econometric framework, we analyze the impact of the Flexible Inflation Targeting (FIT) regime on interest rate volatility. Our findings reveal that while the short-term money market exhibits near-perfect elasticity with respect to policy rate shifts, the long-term debt market remains influenced by structural liquidity constraints and fiscal deficit expectations. The paper concludes with strategic policy recommendations to streamline the transmission mechanism in the face of global macroeconomic headwinds.</w:t>
            </w:r>
          </w:p>
        </w:tc>
      </w:tr>
    </w:tbl>
    <w:p>
      <w:pPr>
        <w:spacing w:after="5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8DC" w:sz="1"/>
              <w:left w:val="single" w:color="BDC8DC" w:sz="1"/>
              <w:bottom w:val="single" w:color="BDC8DC" w:sz="1"/>
              <w:right w:val="single" w:color="BDC8DC" w:sz="1"/>
            </w:tcBorders>
            <w:shd w:fill="F5F7FA" w:val="clear"/>
            <w:tcMar>
              <w:top w:type="dxa" w:w="120"/>
              <w:left w:type="dxa" w:w="240"/>
              <w:bottom w:type="dxa" w:w="120"/>
              <w:right w:type="dxa" w:w="240"/>
            </w:tcMar>
          </w:tcPr>
          <w:p>
            <w:r>
              <w:rPr>
                <w:rFonts w:ascii="Calibri" w:cs="Calibri" w:eastAsia="Calibri" w:hAnsi="Calibri"/>
                <w:b/>
                <w:bCs/>
                <w:color w:val="1F3A6E"/>
                <w:sz w:val="20"/>
                <w:szCs w:val="20"/>
              </w:rPr>
              <w:t xml:space="preserve">Keywords: </w:t>
            </w:r>
            <w:r>
              <w:rPr>
                <w:rFonts w:ascii="Calibri" w:cs="Calibri" w:eastAsia="Calibri" w:hAnsi="Calibri"/>
                <w:color w:val="555555"/>
                <w:sz w:val="20"/>
                <w:szCs w:val="20"/>
              </w:rPr>
              <w:t xml:space="preserve">Monetary Policy, Reserve Bank of India (RBI), Transmission Mechanism, Repo Rate, Interest Rate Volatility, Econometric Analysis, G-Sec Yields, Flexible Inflation Targeting.</w:t>
            </w:r>
          </w:p>
        </w:tc>
      </w:tr>
    </w:tbl>
    <w:p>
      <w:pPr>
        <w:spacing w:after="100" w:before="0"/>
      </w:pPr>
      <w:r>
        <w:t xml:space="preserve"/>
      </w:r>
    </w:p>
    <w:p>
      <w:pPr>
        <w:pStyle w:val="Heading1"/>
        <w:pBdr>
          <w:bottom w:val="single" w:color="1F3A6E" w:sz="4" w:space="4"/>
        </w:pBdr>
        <w:spacing w:after="120" w:before="360"/>
      </w:pPr>
      <w:r>
        <w:rPr>
          <w:rFonts w:ascii="Calibri" w:cs="Calibri" w:eastAsia="Calibri" w:hAnsi="Calibri"/>
          <w:b/>
          <w:bCs/>
          <w:color w:val="1F3A6E"/>
          <w:sz w:val="30"/>
          <w:szCs w:val="30"/>
        </w:rPr>
        <w:t xml:space="preserve">1. Introduction</w:t>
      </w:r>
    </w:p>
    <w:p>
      <w:pPr>
        <w:spacing w:after="120" w:before="0"/>
        <w:jc w:val="both"/>
      </w:pPr>
      <w:r>
        <w:rPr>
          <w:rFonts w:ascii="Calibri" w:cs="Calibri" w:eastAsia="Calibri" w:hAnsi="Calibri"/>
          <w:b w:val="false"/>
          <w:bCs w:val="false"/>
          <w:color w:val="333333"/>
          <w:sz w:val="22"/>
          <w:szCs w:val="22"/>
        </w:rPr>
        <w:t xml:space="preserve">The potency of a central bank’s monetary policy is fundamentally predicated on the efficiency of its transmission mechanism. In the context of India, this presents a complex landscape characterized by a large informal sector, diverse financial intermediaries, and varying degrees of market development—making the “pass-through” of policy signals rarely instantaneous.</w:t>
      </w:r>
    </w:p>
    <w:p>
      <w:pPr>
        <w:spacing w:after="120" w:before="0"/>
        <w:jc w:val="both"/>
      </w:pPr>
      <w:r>
        <w:rPr>
          <w:rFonts w:ascii="Calibri" w:cs="Calibri" w:eastAsia="Calibri" w:hAnsi="Calibri"/>
          <w:b w:val="false"/>
          <w:bCs w:val="false"/>
          <w:color w:val="333333"/>
          <w:sz w:val="22"/>
          <w:szCs w:val="22"/>
        </w:rPr>
        <w:t xml:space="preserve">Since 2016, the Reserve Bank of India (RBI) has pivoted toward a Flexible Inflation Targeting (FIT) framework, utilizing the repo rate as its primary instrument to steer inflation expectations. However, the real-economy impact of rate changes is often mitigated by what practitioners refer to as the “transmission lag.”</w:t>
      </w:r>
    </w:p>
    <w:p>
      <w:pPr>
        <w:spacing w:after="120" w:before="0"/>
        <w:jc w:val="both"/>
      </w:pPr>
      <w:r>
        <w:rPr>
          <w:rFonts w:ascii="Calibri" w:cs="Calibri" w:eastAsia="Calibri" w:hAnsi="Calibri"/>
          <w:b w:val="false"/>
          <w:bCs w:val="false"/>
          <w:color w:val="333333"/>
          <w:sz w:val="22"/>
          <w:szCs w:val="22"/>
        </w:rPr>
        <w:t xml:space="preserve">This project addresses a critical question: To what extent do changes in the RBI’s policy rate actually permeate the broader interest rate architecture? By leveraging analytical tools and time-series data, we move beyond theoretical assumptions to provide empirical evidence of transmission sensitivities. We examine the LAF corridor and the subsequent yield curve, particularly during periods of exogenous shocks such as the COVID-19 pandemic and the 2021–2023 inflation cycle.</w:t>
      </w:r>
    </w:p>
    <w:p>
      <w:pPr>
        <w:pStyle w:val="Heading1"/>
        <w:pBdr>
          <w:bottom w:val="single" w:color="1F3A6E" w:sz="4" w:space="4"/>
        </w:pBdr>
        <w:spacing w:after="120" w:before="360"/>
      </w:pPr>
      <w:r>
        <w:rPr>
          <w:rFonts w:ascii="Calibri" w:cs="Calibri" w:eastAsia="Calibri" w:hAnsi="Calibri"/>
          <w:b/>
          <w:bCs/>
          <w:color w:val="1F3A6E"/>
          <w:sz w:val="30"/>
          <w:szCs w:val="30"/>
        </w:rPr>
        <w:t xml:space="preserve">2. Literature Review</w:t>
      </w:r>
    </w:p>
    <w:p>
      <w:pPr>
        <w:pStyle w:val="Heading2"/>
        <w:spacing w:after="80" w:before="240"/>
      </w:pPr>
      <w:r>
        <w:rPr>
          <w:rFonts w:ascii="Calibri" w:cs="Calibri" w:eastAsia="Calibri" w:hAnsi="Calibri"/>
          <w:b/>
          <w:bCs/>
          <w:color w:val="C0392B"/>
          <w:sz w:val="26"/>
          <w:szCs w:val="26"/>
        </w:rPr>
        <w:t xml:space="preserve">2.1 The Interest Rate Channel</w:t>
      </w:r>
    </w:p>
    <w:p>
      <w:pPr>
        <w:spacing w:after="120" w:before="0"/>
        <w:jc w:val="both"/>
      </w:pPr>
      <w:r>
        <w:rPr>
          <w:rFonts w:ascii="Calibri" w:cs="Calibri" w:eastAsia="Calibri" w:hAnsi="Calibri"/>
          <w:b w:val="false"/>
          <w:bCs w:val="false"/>
          <w:color w:val="333333"/>
          <w:sz w:val="22"/>
          <w:szCs w:val="22"/>
        </w:rPr>
        <w:t xml:space="preserve">The interest rate channel is the most prominent pillar of monetary policy transmission. According to Neo-Keynesian synthesis, a repo rate hike leads to a rise in real borrowing costs, which dampens consumption and investment via the intertemporal substitution hypothesis. Empirical evidence, however, reveals notable asymmetries—commercial bank lending rates adjust faster than deposit rates, creating an uneven pass-through effect.</w:t>
      </w:r>
    </w:p>
    <w:p>
      <w:pPr>
        <w:pStyle w:val="Heading2"/>
        <w:spacing w:after="80" w:before="240"/>
      </w:pPr>
      <w:r>
        <w:rPr>
          <w:rFonts w:ascii="Calibri" w:cs="Calibri" w:eastAsia="Calibri" w:hAnsi="Calibri"/>
          <w:b/>
          <w:bCs/>
          <w:color w:val="C0392B"/>
          <w:sz w:val="26"/>
          <w:szCs w:val="26"/>
        </w:rPr>
        <w:t xml:space="preserve">2.2 Evolution of the RBI’s Policy Framework</w:t>
      </w:r>
    </w:p>
    <w:p>
      <w:pPr>
        <w:spacing w:after="120" w:before="0"/>
        <w:jc w:val="both"/>
      </w:pPr>
      <w:r>
        <w:rPr>
          <w:rFonts w:ascii="Calibri" w:cs="Calibri" w:eastAsia="Calibri" w:hAnsi="Calibri"/>
          <w:b w:val="false"/>
          <w:bCs w:val="false"/>
          <w:color w:val="333333"/>
          <w:sz w:val="22"/>
          <w:szCs w:val="22"/>
        </w:rPr>
        <w:t xml:space="preserve">The RBI has employed multiple instruments historically, including the Cash Reserve Ratio (CRR) and Statutory Liquidity Ratio (SLR), to manage systemic liquidity. Post the Urjit Patel Committee reforms, focus shifted to the Liquidity Adjustment Facility (LAF) as the primary operating framework.</w:t>
      </w:r>
    </w:p>
    <w:p>
      <w:pPr>
        <w:spacing w:after="120" w:before="0"/>
        <w:jc w:val="both"/>
      </w:pPr>
      <w:r>
        <w:rPr>
          <w:rFonts w:ascii="Calibri" w:cs="Calibri" w:eastAsia="Calibri" w:hAnsi="Calibri"/>
          <w:b w:val="false"/>
          <w:bCs w:val="false"/>
          <w:color w:val="333333"/>
          <w:sz w:val="22"/>
          <w:szCs w:val="22"/>
        </w:rPr>
        <w:t xml:space="preserve">Landmark studies, including Janak Raj (2017), suggest that while overnight rates are well-tethered to the policy corridor, longer-tenor rates remain “sticky” due to high cash-to-deposit ratios and legacy small savings schemes.</w:t>
      </w:r>
    </w:p>
    <w:p>
      <w:pPr>
        <w:pStyle w:val="Heading2"/>
        <w:spacing w:after="80" w:before="240"/>
      </w:pPr>
      <w:r>
        <w:rPr>
          <w:rFonts w:ascii="Calibri" w:cs="Calibri" w:eastAsia="Calibri" w:hAnsi="Calibri"/>
          <w:b/>
          <w:bCs/>
          <w:color w:val="C0392B"/>
          <w:sz w:val="26"/>
          <w:szCs w:val="26"/>
        </w:rPr>
        <w:t xml:space="preserve">2.3 Global Spillovers and Decoupling Challenges</w:t>
      </w:r>
    </w:p>
    <w:p>
      <w:pPr>
        <w:spacing w:after="120" w:before="0"/>
        <w:jc w:val="both"/>
      </w:pPr>
      <w:r>
        <w:rPr>
          <w:rFonts w:ascii="Calibri" w:cs="Calibri" w:eastAsia="Calibri" w:hAnsi="Calibri"/>
          <w:b w:val="false"/>
          <w:bCs w:val="false"/>
          <w:color w:val="333333"/>
          <w:sz w:val="22"/>
          <w:szCs w:val="22"/>
        </w:rPr>
        <w:t xml:space="preserve">Emerging economies are not insulated from global rate cycles. Papers by Rey (2015) and others demonstrate that even with a flexible exchange rate, the US Federal Reserve’s policy stance exerts significant influence, complicating the RBI’s efforts to decouple domestic monetary conditions from global financial markets.</w:t>
      </w:r>
    </w:p>
    <w:p>
      <w:pPr>
        <w:pStyle w:val="Heading1"/>
        <w:pBdr>
          <w:bottom w:val="single" w:color="1F3A6E" w:sz="4" w:space="4"/>
        </w:pBdr>
        <w:spacing w:after="120" w:before="360"/>
      </w:pPr>
      <w:r>
        <w:rPr>
          <w:rFonts w:ascii="Calibri" w:cs="Calibri" w:eastAsia="Calibri" w:hAnsi="Calibri"/>
          <w:b/>
          <w:bCs/>
          <w:color w:val="1F3A6E"/>
          <w:sz w:val="30"/>
          <w:szCs w:val="30"/>
        </w:rPr>
        <w:t xml:space="preserve">3. Research Design &amp; Methodology</w:t>
      </w:r>
    </w:p>
    <w:p>
      <w:pPr>
        <w:pStyle w:val="Heading2"/>
        <w:spacing w:after="80" w:before="240"/>
      </w:pPr>
      <w:r>
        <w:rPr>
          <w:rFonts w:ascii="Calibri" w:cs="Calibri" w:eastAsia="Calibri" w:hAnsi="Calibri"/>
          <w:b/>
          <w:bCs/>
          <w:color w:val="C0392B"/>
          <w:sz w:val="26"/>
          <w:szCs w:val="26"/>
        </w:rPr>
        <w:t xml:space="preserve">3.1 Data Acquisition and Pre-Processing</w:t>
      </w:r>
    </w:p>
    <w:p>
      <w:pPr>
        <w:spacing w:after="120" w:before="0"/>
        <w:jc w:val="both"/>
      </w:pPr>
      <w:r>
        <w:rPr>
          <w:rFonts w:ascii="Calibri" w:cs="Calibri" w:eastAsia="Calibri" w:hAnsi="Calibri"/>
          <w:b w:val="false"/>
          <w:bCs w:val="false"/>
          <w:color w:val="333333"/>
          <w:sz w:val="22"/>
          <w:szCs w:val="22"/>
        </w:rPr>
        <w:t xml:space="preserve">Financial time-series data were sourced from the RBI’s official database, the Database of Indian Economy (DBIE), and the Federal Reserve Economic Data (FRED) repository. The dataset spans from 2013 to 2024, capturing multiple policy cycles.</w:t>
      </w:r>
    </w:p>
    <w:p>
      <w:pPr>
        <w:spacing w:after="3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A6E" w:sz="1"/>
              <w:left w:val="single" w:color="1F3A6E" w:sz="1"/>
              <w:bottom w:val="single" w:color="1F3A6E" w:sz="1"/>
              <w:right w:val="single" w:color="1F3A6E" w:sz="1"/>
            </w:tcBorders>
            <w:shd w:fill="1F3A6E"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Variable</w:t>
            </w:r>
          </w:p>
        </w:tc>
        <w:tc>
          <w:tcPr>
            <w:tcW w:type="dxa" w:w="3120"/>
            <w:tcBorders>
              <w:top w:val="single" w:color="1F3A6E" w:sz="1"/>
              <w:left w:val="single" w:color="1F3A6E" w:sz="1"/>
              <w:bottom w:val="single" w:color="1F3A6E" w:sz="1"/>
              <w:right w:val="single" w:color="1F3A6E" w:sz="1"/>
            </w:tcBorders>
            <w:shd w:fill="1F3A6E"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Frequency</w:t>
            </w:r>
          </w:p>
        </w:tc>
        <w:tc>
          <w:tcPr>
            <w:tcW w:type="dxa" w:w="3120"/>
            <w:tcBorders>
              <w:top w:val="single" w:color="1F3A6E" w:sz="1"/>
              <w:left w:val="single" w:color="1F3A6E" w:sz="1"/>
              <w:bottom w:val="single" w:color="1F3A6E" w:sz="1"/>
              <w:right w:val="single" w:color="1F3A6E" w:sz="1"/>
            </w:tcBorders>
            <w:shd w:fill="1F3A6E" w:val="clear"/>
            <w:tcMar>
              <w:top w:type="dxa" w:w="100"/>
              <w:left w:type="dxa" w:w="160"/>
              <w:bottom w:type="dxa" w:w="100"/>
              <w:right w:type="dxa" w:w="160"/>
            </w:tcMar>
            <w:vAlign w:val="center"/>
          </w:tcPr>
          <w:p>
            <w:pPr>
              <w:jc w:val="center"/>
            </w:pPr>
            <w:r>
              <w:rPr>
                <w:rFonts w:ascii="Calibri" w:cs="Calibri" w:eastAsia="Calibri" w:hAnsi="Calibri"/>
                <w:b/>
                <w:bCs/>
                <w:color w:val="FFFFFF"/>
                <w:sz w:val="20"/>
                <w:szCs w:val="20"/>
              </w:rPr>
              <w:t xml:space="preserve">Source</w:t>
            </w:r>
          </w:p>
        </w:tc>
      </w:tr>
      <w:tr>
        <w:tc>
          <w:tcPr>
            <w:tcW w:type="dxa" w:w="3120"/>
            <w:tcBorders>
              <w:top w:val="single" w:color="BDC8DC" w:sz="1"/>
              <w:left w:val="single" w:color="BDC8DC" w:sz="1"/>
              <w:bottom w:val="single" w:color="BDC8DC" w:sz="1"/>
              <w:right w:val="single" w:color="BDC8DC" w:sz="1"/>
            </w:tcBorders>
            <w:shd w:fill="FFFFFF" w:val="clear"/>
            <w:tcMar>
              <w:top w:type="dxa" w:w="80"/>
              <w:left w:type="dxa" w:w="160"/>
              <w:bottom w:type="dxa" w:w="80"/>
              <w:right w:type="dxa" w:w="160"/>
            </w:tcMar>
          </w:tcPr>
          <w:p>
            <w:r>
              <w:rPr>
                <w:rFonts w:ascii="Calibri" w:cs="Calibri" w:eastAsia="Calibri" w:hAnsi="Calibri"/>
                <w:color w:val="333333"/>
                <w:sz w:val="20"/>
                <w:szCs w:val="20"/>
              </w:rPr>
              <w:t xml:space="preserve">Repo Rate</w:t>
            </w:r>
          </w:p>
        </w:tc>
        <w:tc>
          <w:tcPr>
            <w:tcW w:type="dxa" w:w="3120"/>
            <w:tcBorders>
              <w:top w:val="single" w:color="BDC8DC" w:sz="1"/>
              <w:left w:val="single" w:color="BDC8DC" w:sz="1"/>
              <w:bottom w:val="single" w:color="BDC8DC" w:sz="1"/>
              <w:right w:val="single" w:color="BDC8DC" w:sz="1"/>
            </w:tcBorders>
            <w:shd w:fill="FFFFFF" w:val="clear"/>
            <w:tcMar>
              <w:top w:type="dxa" w:w="80"/>
              <w:left w:type="dxa" w:w="160"/>
              <w:bottom w:type="dxa" w:w="80"/>
              <w:right w:type="dxa" w:w="160"/>
            </w:tcMar>
          </w:tcPr>
          <w:p>
            <w:r>
              <w:rPr>
                <w:rFonts w:ascii="Calibri" w:cs="Calibri" w:eastAsia="Calibri" w:hAnsi="Calibri"/>
                <w:color w:val="333333"/>
                <w:sz w:val="20"/>
                <w:szCs w:val="20"/>
              </w:rPr>
              <w:t xml:space="preserve">Monthly Average</w:t>
            </w:r>
          </w:p>
        </w:tc>
        <w:tc>
          <w:tcPr>
            <w:tcW w:type="dxa" w:w="3120"/>
            <w:tcBorders>
              <w:top w:val="single" w:color="BDC8DC" w:sz="1"/>
              <w:left w:val="single" w:color="BDC8DC" w:sz="1"/>
              <w:bottom w:val="single" w:color="BDC8DC" w:sz="1"/>
              <w:right w:val="single" w:color="BDC8DC" w:sz="1"/>
            </w:tcBorders>
            <w:shd w:fill="FFFFFF" w:val="clear"/>
            <w:tcMar>
              <w:top w:type="dxa" w:w="80"/>
              <w:left w:type="dxa" w:w="160"/>
              <w:bottom w:type="dxa" w:w="80"/>
              <w:right w:type="dxa" w:w="160"/>
            </w:tcMar>
          </w:tcPr>
          <w:p>
            <w:r>
              <w:rPr>
                <w:rFonts w:ascii="Calibri" w:cs="Calibri" w:eastAsia="Calibri" w:hAnsi="Calibri"/>
                <w:color w:val="333333"/>
                <w:sz w:val="20"/>
                <w:szCs w:val="20"/>
              </w:rPr>
              <w:t xml:space="preserve">RBI / DBIE</w:t>
            </w:r>
          </w:p>
        </w:tc>
      </w:tr>
      <w:tr>
        <w:tc>
          <w:tcPr>
            <w:tcW w:type="dxa" w:w="3120"/>
            <w:tcBorders>
              <w:top w:val="single" w:color="BDC8DC" w:sz="1"/>
              <w:left w:val="single" w:color="BDC8DC" w:sz="1"/>
              <w:bottom w:val="single" w:color="BDC8DC" w:sz="1"/>
              <w:right w:val="single" w:color="BDC8DC" w:sz="1"/>
            </w:tcBorders>
            <w:shd w:fill="F0F4F8" w:val="clear"/>
            <w:tcMar>
              <w:top w:type="dxa" w:w="80"/>
              <w:left w:type="dxa" w:w="160"/>
              <w:bottom w:type="dxa" w:w="80"/>
              <w:right w:type="dxa" w:w="160"/>
            </w:tcMar>
          </w:tcPr>
          <w:p>
            <w:r>
              <w:rPr>
                <w:rFonts w:ascii="Calibri" w:cs="Calibri" w:eastAsia="Calibri" w:hAnsi="Calibri"/>
                <w:color w:val="333333"/>
                <w:sz w:val="20"/>
                <w:szCs w:val="20"/>
              </w:rPr>
              <w:t xml:space="preserve">WACR</w:t>
            </w:r>
          </w:p>
        </w:tc>
        <w:tc>
          <w:tcPr>
            <w:tcW w:type="dxa" w:w="3120"/>
            <w:tcBorders>
              <w:top w:val="single" w:color="BDC8DC" w:sz="1"/>
              <w:left w:val="single" w:color="BDC8DC" w:sz="1"/>
              <w:bottom w:val="single" w:color="BDC8DC" w:sz="1"/>
              <w:right w:val="single" w:color="BDC8DC" w:sz="1"/>
            </w:tcBorders>
            <w:shd w:fill="F0F4F8" w:val="clear"/>
            <w:tcMar>
              <w:top w:type="dxa" w:w="80"/>
              <w:left w:type="dxa" w:w="160"/>
              <w:bottom w:type="dxa" w:w="80"/>
              <w:right w:type="dxa" w:w="160"/>
            </w:tcMar>
          </w:tcPr>
          <w:p>
            <w:r>
              <w:rPr>
                <w:rFonts w:ascii="Calibri" w:cs="Calibri" w:eastAsia="Calibri" w:hAnsi="Calibri"/>
                <w:color w:val="333333"/>
                <w:sz w:val="20"/>
                <w:szCs w:val="20"/>
              </w:rPr>
              <w:t xml:space="preserve">Daily / Monthly</w:t>
            </w:r>
          </w:p>
        </w:tc>
        <w:tc>
          <w:tcPr>
            <w:tcW w:type="dxa" w:w="3120"/>
            <w:tcBorders>
              <w:top w:val="single" w:color="BDC8DC" w:sz="1"/>
              <w:left w:val="single" w:color="BDC8DC" w:sz="1"/>
              <w:bottom w:val="single" w:color="BDC8DC" w:sz="1"/>
              <w:right w:val="single" w:color="BDC8DC" w:sz="1"/>
            </w:tcBorders>
            <w:shd w:fill="F0F4F8" w:val="clear"/>
            <w:tcMar>
              <w:top w:type="dxa" w:w="80"/>
              <w:left w:type="dxa" w:w="160"/>
              <w:bottom w:type="dxa" w:w="80"/>
              <w:right w:type="dxa" w:w="160"/>
            </w:tcMar>
          </w:tcPr>
          <w:p>
            <w:r>
              <w:rPr>
                <w:rFonts w:ascii="Calibri" w:cs="Calibri" w:eastAsia="Calibri" w:hAnsi="Calibri"/>
                <w:color w:val="333333"/>
                <w:sz w:val="20"/>
                <w:szCs w:val="20"/>
              </w:rPr>
              <w:t xml:space="preserve">RBI</w:t>
            </w:r>
          </w:p>
        </w:tc>
      </w:tr>
      <w:tr>
        <w:tc>
          <w:tcPr>
            <w:tcW w:type="dxa" w:w="3120"/>
            <w:tcBorders>
              <w:top w:val="single" w:color="BDC8DC" w:sz="1"/>
              <w:left w:val="single" w:color="BDC8DC" w:sz="1"/>
              <w:bottom w:val="single" w:color="BDC8DC" w:sz="1"/>
              <w:right w:val="single" w:color="BDC8DC" w:sz="1"/>
            </w:tcBorders>
            <w:shd w:fill="FFFFFF" w:val="clear"/>
            <w:tcMar>
              <w:top w:type="dxa" w:w="80"/>
              <w:left w:type="dxa" w:w="160"/>
              <w:bottom w:type="dxa" w:w="80"/>
              <w:right w:type="dxa" w:w="160"/>
            </w:tcMar>
          </w:tcPr>
          <w:p>
            <w:r>
              <w:rPr>
                <w:rFonts w:ascii="Calibri" w:cs="Calibri" w:eastAsia="Calibri" w:hAnsi="Calibri"/>
                <w:color w:val="333333"/>
                <w:sz w:val="20"/>
                <w:szCs w:val="20"/>
              </w:rPr>
              <w:t xml:space="preserve">91-Day T-Bill Yield</w:t>
            </w:r>
          </w:p>
        </w:tc>
        <w:tc>
          <w:tcPr>
            <w:tcW w:type="dxa" w:w="3120"/>
            <w:tcBorders>
              <w:top w:val="single" w:color="BDC8DC" w:sz="1"/>
              <w:left w:val="single" w:color="BDC8DC" w:sz="1"/>
              <w:bottom w:val="single" w:color="BDC8DC" w:sz="1"/>
              <w:right w:val="single" w:color="BDC8DC" w:sz="1"/>
            </w:tcBorders>
            <w:shd w:fill="FFFFFF" w:val="clear"/>
            <w:tcMar>
              <w:top w:type="dxa" w:w="80"/>
              <w:left w:type="dxa" w:w="160"/>
              <w:bottom w:type="dxa" w:w="80"/>
              <w:right w:type="dxa" w:w="160"/>
            </w:tcMar>
          </w:tcPr>
          <w:p>
            <w:r>
              <w:rPr>
                <w:rFonts w:ascii="Calibri" w:cs="Calibri" w:eastAsia="Calibri" w:hAnsi="Calibri"/>
                <w:color w:val="333333"/>
                <w:sz w:val="20"/>
                <w:szCs w:val="20"/>
              </w:rPr>
              <w:t xml:space="preserve">Weekly / Monthly</w:t>
            </w:r>
          </w:p>
        </w:tc>
        <w:tc>
          <w:tcPr>
            <w:tcW w:type="dxa" w:w="3120"/>
            <w:tcBorders>
              <w:top w:val="single" w:color="BDC8DC" w:sz="1"/>
              <w:left w:val="single" w:color="BDC8DC" w:sz="1"/>
              <w:bottom w:val="single" w:color="BDC8DC" w:sz="1"/>
              <w:right w:val="single" w:color="BDC8DC" w:sz="1"/>
            </w:tcBorders>
            <w:shd w:fill="FFFFFF" w:val="clear"/>
            <w:tcMar>
              <w:top w:type="dxa" w:w="80"/>
              <w:left w:type="dxa" w:w="160"/>
              <w:bottom w:type="dxa" w:w="80"/>
              <w:right w:type="dxa" w:w="160"/>
            </w:tcMar>
          </w:tcPr>
          <w:p>
            <w:r>
              <w:rPr>
                <w:rFonts w:ascii="Calibri" w:cs="Calibri" w:eastAsia="Calibri" w:hAnsi="Calibri"/>
                <w:color w:val="333333"/>
                <w:sz w:val="20"/>
                <w:szCs w:val="20"/>
              </w:rPr>
              <w:t xml:space="preserve">CCIL / RBI</w:t>
            </w:r>
          </w:p>
        </w:tc>
      </w:tr>
      <w:tr>
        <w:tc>
          <w:tcPr>
            <w:tcW w:type="dxa" w:w="3120"/>
            <w:tcBorders>
              <w:top w:val="single" w:color="BDC8DC" w:sz="1"/>
              <w:left w:val="single" w:color="BDC8DC" w:sz="1"/>
              <w:bottom w:val="single" w:color="BDC8DC" w:sz="1"/>
              <w:right w:val="single" w:color="BDC8DC" w:sz="1"/>
            </w:tcBorders>
            <w:shd w:fill="F0F4F8" w:val="clear"/>
            <w:tcMar>
              <w:top w:type="dxa" w:w="80"/>
              <w:left w:type="dxa" w:w="160"/>
              <w:bottom w:type="dxa" w:w="80"/>
              <w:right w:type="dxa" w:w="160"/>
            </w:tcMar>
          </w:tcPr>
          <w:p>
            <w:r>
              <w:rPr>
                <w:rFonts w:ascii="Calibri" w:cs="Calibri" w:eastAsia="Calibri" w:hAnsi="Calibri"/>
                <w:color w:val="333333"/>
                <w:sz w:val="20"/>
                <w:szCs w:val="20"/>
              </w:rPr>
              <w:t xml:space="preserve">10-Year G-Sec Yield</w:t>
            </w:r>
          </w:p>
        </w:tc>
        <w:tc>
          <w:tcPr>
            <w:tcW w:type="dxa" w:w="3120"/>
            <w:tcBorders>
              <w:top w:val="single" w:color="BDC8DC" w:sz="1"/>
              <w:left w:val="single" w:color="BDC8DC" w:sz="1"/>
              <w:bottom w:val="single" w:color="BDC8DC" w:sz="1"/>
              <w:right w:val="single" w:color="BDC8DC" w:sz="1"/>
            </w:tcBorders>
            <w:shd w:fill="F0F4F8" w:val="clear"/>
            <w:tcMar>
              <w:top w:type="dxa" w:w="80"/>
              <w:left w:type="dxa" w:w="160"/>
              <w:bottom w:type="dxa" w:w="80"/>
              <w:right w:type="dxa" w:w="160"/>
            </w:tcMar>
          </w:tcPr>
          <w:p>
            <w:r>
              <w:rPr>
                <w:rFonts w:ascii="Calibri" w:cs="Calibri" w:eastAsia="Calibri" w:hAnsi="Calibri"/>
                <w:color w:val="333333"/>
                <w:sz w:val="20"/>
                <w:szCs w:val="20"/>
              </w:rPr>
              <w:t xml:space="preserve">Daily / Monthly</w:t>
            </w:r>
          </w:p>
        </w:tc>
        <w:tc>
          <w:tcPr>
            <w:tcW w:type="dxa" w:w="3120"/>
            <w:tcBorders>
              <w:top w:val="single" w:color="BDC8DC" w:sz="1"/>
              <w:left w:val="single" w:color="BDC8DC" w:sz="1"/>
              <w:bottom w:val="single" w:color="BDC8DC" w:sz="1"/>
              <w:right w:val="single" w:color="BDC8DC" w:sz="1"/>
            </w:tcBorders>
            <w:shd w:fill="F0F4F8" w:val="clear"/>
            <w:tcMar>
              <w:top w:type="dxa" w:w="80"/>
              <w:left w:type="dxa" w:w="160"/>
              <w:bottom w:type="dxa" w:w="80"/>
              <w:right w:type="dxa" w:w="160"/>
            </w:tcMar>
          </w:tcPr>
          <w:p>
            <w:r>
              <w:rPr>
                <w:rFonts w:ascii="Calibri" w:cs="Calibri" w:eastAsia="Calibri" w:hAnsi="Calibri"/>
                <w:color w:val="333333"/>
                <w:sz w:val="20"/>
                <w:szCs w:val="20"/>
              </w:rPr>
              <w:t xml:space="preserve">CCIL / DBIE</w:t>
            </w:r>
          </w:p>
        </w:tc>
      </w:tr>
      <w:tr>
        <w:tc>
          <w:tcPr>
            <w:tcW w:type="dxa" w:w="3120"/>
            <w:tcBorders>
              <w:top w:val="single" w:color="BDC8DC" w:sz="1"/>
              <w:left w:val="single" w:color="BDC8DC" w:sz="1"/>
              <w:bottom w:val="single" w:color="BDC8DC" w:sz="1"/>
              <w:right w:val="single" w:color="BDC8DC" w:sz="1"/>
            </w:tcBorders>
            <w:shd w:fill="FFFFFF" w:val="clear"/>
            <w:tcMar>
              <w:top w:type="dxa" w:w="80"/>
              <w:left w:type="dxa" w:w="160"/>
              <w:bottom w:type="dxa" w:w="80"/>
              <w:right w:type="dxa" w:w="160"/>
            </w:tcMar>
          </w:tcPr>
          <w:p>
            <w:r>
              <w:rPr>
                <w:rFonts w:ascii="Calibri" w:cs="Calibri" w:eastAsia="Calibri" w:hAnsi="Calibri"/>
                <w:color w:val="333333"/>
                <w:sz w:val="20"/>
                <w:szCs w:val="20"/>
              </w:rPr>
              <w:t xml:space="preserve">CPI Inflation</w:t>
            </w:r>
          </w:p>
        </w:tc>
        <w:tc>
          <w:tcPr>
            <w:tcW w:type="dxa" w:w="3120"/>
            <w:tcBorders>
              <w:top w:val="single" w:color="BDC8DC" w:sz="1"/>
              <w:left w:val="single" w:color="BDC8DC" w:sz="1"/>
              <w:bottom w:val="single" w:color="BDC8DC" w:sz="1"/>
              <w:right w:val="single" w:color="BDC8DC" w:sz="1"/>
            </w:tcBorders>
            <w:shd w:fill="FFFFFF" w:val="clear"/>
            <w:tcMar>
              <w:top w:type="dxa" w:w="80"/>
              <w:left w:type="dxa" w:w="160"/>
              <w:bottom w:type="dxa" w:w="80"/>
              <w:right w:type="dxa" w:w="160"/>
            </w:tcMar>
          </w:tcPr>
          <w:p>
            <w:r>
              <w:rPr>
                <w:rFonts w:ascii="Calibri" w:cs="Calibri" w:eastAsia="Calibri" w:hAnsi="Calibri"/>
                <w:color w:val="333333"/>
                <w:sz w:val="20"/>
                <w:szCs w:val="20"/>
              </w:rPr>
              <w:t xml:space="preserve">Monthly</w:t>
            </w:r>
          </w:p>
        </w:tc>
        <w:tc>
          <w:tcPr>
            <w:tcW w:type="dxa" w:w="3120"/>
            <w:tcBorders>
              <w:top w:val="single" w:color="BDC8DC" w:sz="1"/>
              <w:left w:val="single" w:color="BDC8DC" w:sz="1"/>
              <w:bottom w:val="single" w:color="BDC8DC" w:sz="1"/>
              <w:right w:val="single" w:color="BDC8DC" w:sz="1"/>
            </w:tcBorders>
            <w:shd w:fill="FFFFFF" w:val="clear"/>
            <w:tcMar>
              <w:top w:type="dxa" w:w="80"/>
              <w:left w:type="dxa" w:w="160"/>
              <w:bottom w:type="dxa" w:w="80"/>
              <w:right w:type="dxa" w:w="160"/>
            </w:tcMar>
          </w:tcPr>
          <w:p>
            <w:r>
              <w:rPr>
                <w:rFonts w:ascii="Calibri" w:cs="Calibri" w:eastAsia="Calibri" w:hAnsi="Calibri"/>
                <w:color w:val="333333"/>
                <w:sz w:val="20"/>
                <w:szCs w:val="20"/>
              </w:rPr>
              <w:t xml:space="preserve">MoSPI / FRED</w:t>
            </w:r>
          </w:p>
        </w:tc>
      </w:tr>
      <w:tr>
        <w:tc>
          <w:tcPr>
            <w:tcW w:type="dxa" w:w="3120"/>
            <w:tcBorders>
              <w:top w:val="single" w:color="BDC8DC" w:sz="1"/>
              <w:left w:val="single" w:color="BDC8DC" w:sz="1"/>
              <w:bottom w:val="single" w:color="BDC8DC" w:sz="1"/>
              <w:right w:val="single" w:color="BDC8DC" w:sz="1"/>
            </w:tcBorders>
            <w:shd w:fill="F0F4F8" w:val="clear"/>
            <w:tcMar>
              <w:top w:type="dxa" w:w="80"/>
              <w:left w:type="dxa" w:w="160"/>
              <w:bottom w:type="dxa" w:w="80"/>
              <w:right w:type="dxa" w:w="160"/>
            </w:tcMar>
          </w:tcPr>
          <w:p>
            <w:r>
              <w:rPr>
                <w:rFonts w:ascii="Calibri" w:cs="Calibri" w:eastAsia="Calibri" w:hAnsi="Calibri"/>
                <w:color w:val="333333"/>
                <w:sz w:val="20"/>
                <w:szCs w:val="20"/>
              </w:rPr>
              <w:t xml:space="preserve">IIP (Industrial Output)</w:t>
            </w:r>
          </w:p>
        </w:tc>
        <w:tc>
          <w:tcPr>
            <w:tcW w:type="dxa" w:w="3120"/>
            <w:tcBorders>
              <w:top w:val="single" w:color="BDC8DC" w:sz="1"/>
              <w:left w:val="single" w:color="BDC8DC" w:sz="1"/>
              <w:bottom w:val="single" w:color="BDC8DC" w:sz="1"/>
              <w:right w:val="single" w:color="BDC8DC" w:sz="1"/>
            </w:tcBorders>
            <w:shd w:fill="F0F4F8" w:val="clear"/>
            <w:tcMar>
              <w:top w:type="dxa" w:w="80"/>
              <w:left w:type="dxa" w:w="160"/>
              <w:bottom w:type="dxa" w:w="80"/>
              <w:right w:type="dxa" w:w="160"/>
            </w:tcMar>
          </w:tcPr>
          <w:p>
            <w:r>
              <w:rPr>
                <w:rFonts w:ascii="Calibri" w:cs="Calibri" w:eastAsia="Calibri" w:hAnsi="Calibri"/>
                <w:color w:val="333333"/>
                <w:sz w:val="20"/>
                <w:szCs w:val="20"/>
              </w:rPr>
              <w:t xml:space="preserve">Monthly</w:t>
            </w:r>
          </w:p>
        </w:tc>
        <w:tc>
          <w:tcPr>
            <w:tcW w:type="dxa" w:w="3120"/>
            <w:tcBorders>
              <w:top w:val="single" w:color="BDC8DC" w:sz="1"/>
              <w:left w:val="single" w:color="BDC8DC" w:sz="1"/>
              <w:bottom w:val="single" w:color="BDC8DC" w:sz="1"/>
              <w:right w:val="single" w:color="BDC8DC" w:sz="1"/>
            </w:tcBorders>
            <w:shd w:fill="F0F4F8" w:val="clear"/>
            <w:tcMar>
              <w:top w:type="dxa" w:w="80"/>
              <w:left w:type="dxa" w:w="160"/>
              <w:bottom w:type="dxa" w:w="80"/>
              <w:right w:type="dxa" w:w="160"/>
            </w:tcMar>
          </w:tcPr>
          <w:p>
            <w:r>
              <w:rPr>
                <w:rFonts w:ascii="Calibri" w:cs="Calibri" w:eastAsia="Calibri" w:hAnsi="Calibri"/>
                <w:color w:val="333333"/>
                <w:sz w:val="20"/>
                <w:szCs w:val="20"/>
              </w:rPr>
              <w:t xml:space="preserve">MoSPI</w:t>
            </w:r>
          </w:p>
        </w:tc>
      </w:tr>
    </w:tbl>
    <w:p>
      <w:pPr>
        <w:spacing w:after="120" w:before="60"/>
        <w:jc w:val="center"/>
      </w:pPr>
      <w:r>
        <w:rPr>
          <w:rFonts w:ascii="Calibri" w:cs="Calibri" w:eastAsia="Calibri" w:hAnsi="Calibri"/>
          <w:i/>
          <w:iCs/>
          <w:color w:val="888888"/>
          <w:sz w:val="18"/>
          <w:szCs w:val="18"/>
        </w:rPr>
        <w:t xml:space="preserve">Table 1. Dataset Summary</w:t>
      </w:r>
    </w:p>
    <w:p>
      <w:pPr>
        <w:pStyle w:val="Heading2"/>
        <w:spacing w:after="80" w:before="240"/>
      </w:pPr>
      <w:r>
        <w:rPr>
          <w:rFonts w:ascii="Calibri" w:cs="Calibri" w:eastAsia="Calibri" w:hAnsi="Calibri"/>
          <w:b/>
          <w:bCs/>
          <w:color w:val="C0392B"/>
          <w:sz w:val="26"/>
          <w:szCs w:val="26"/>
        </w:rPr>
        <w:t xml:space="preserve">3.2 Python-Based Econometric Strategy</w:t>
      </w:r>
    </w:p>
    <w:p>
      <w:pPr>
        <w:spacing w:after="120" w:before="0"/>
        <w:jc w:val="both"/>
      </w:pPr>
      <w:r>
        <w:rPr>
          <w:rFonts w:ascii="Calibri" w:cs="Calibri" w:eastAsia="Calibri" w:hAnsi="Calibri"/>
          <w:b w:val="false"/>
          <w:bCs w:val="false"/>
          <w:color w:val="333333"/>
          <w:sz w:val="22"/>
          <w:szCs w:val="22"/>
        </w:rPr>
        <w:t xml:space="preserve">The analytical workflow, documented in the associated GitHub repository (vanshaj248/monetary-policy-effect-on-interest-rates), follows the steps below:</w:t>
      </w:r>
    </w:p>
    <w:p>
      <w:pPr>
        <w:pStyle w:val="ListParagraph"/>
        <w:numPr>
          <w:ilvl w:val="0"/>
          <w:numId w:val="2"/>
        </w:numPr>
        <w:spacing w:after="40" w:before="40"/>
      </w:pPr>
      <w:r>
        <w:rPr>
          <w:rFonts w:ascii="Calibri" w:cs="Calibri" w:eastAsia="Calibri" w:hAnsi="Calibri"/>
          <w:color w:val="333333"/>
          <w:sz w:val="22"/>
          <w:szCs w:val="22"/>
        </w:rPr>
        <w:t xml:space="preserve">Data Cleaning: Missing values addressed through linear interpolation to ensure stream continuity and analytical accuracy.</w:t>
      </w:r>
    </w:p>
    <w:p>
      <w:pPr>
        <w:pStyle w:val="ListParagraph"/>
        <w:numPr>
          <w:ilvl w:val="0"/>
          <w:numId w:val="2"/>
        </w:numPr>
        <w:spacing w:after="40" w:before="40"/>
      </w:pPr>
      <w:r>
        <w:rPr>
          <w:rFonts w:ascii="Calibri" w:cs="Calibri" w:eastAsia="Calibri" w:hAnsi="Calibri"/>
          <w:color w:val="333333"/>
          <w:sz w:val="22"/>
          <w:szCs w:val="22"/>
        </w:rPr>
        <w:t xml:space="preserve">Stationarity Testing: Augmented Dickey-Fuller (ADF) tests applied prior to any regression. Most series are non-stationary in levels but achieve stationarity at first differences (I(1)).</w:t>
      </w:r>
    </w:p>
    <w:p>
      <w:pPr>
        <w:pStyle w:val="ListParagraph"/>
        <w:numPr>
          <w:ilvl w:val="0"/>
          <w:numId w:val="2"/>
        </w:numPr>
        <w:spacing w:after="40" w:before="40"/>
      </w:pPr>
      <w:r>
        <w:rPr>
          <w:rFonts w:ascii="Calibri" w:cs="Calibri" w:eastAsia="Calibri" w:hAnsi="Calibri"/>
          <w:color w:val="333333"/>
          <w:sz w:val="22"/>
          <w:szCs w:val="22"/>
        </w:rPr>
        <w:t xml:space="preserve">Rolling Correlation Mapping: A 12-month rolling window reveals how the policy–market rate linkage evolves over time.</w:t>
      </w:r>
    </w:p>
    <w:p>
      <w:pPr>
        <w:pStyle w:val="ListParagraph"/>
        <w:numPr>
          <w:ilvl w:val="0"/>
          <w:numId w:val="2"/>
        </w:numPr>
        <w:spacing w:after="40" w:before="40"/>
      </w:pPr>
      <w:r>
        <w:rPr>
          <w:rFonts w:ascii="Calibri" w:cs="Calibri" w:eastAsia="Calibri" w:hAnsi="Calibri"/>
          <w:color w:val="333333"/>
          <w:sz w:val="22"/>
          <w:szCs w:val="22"/>
        </w:rPr>
        <w:t xml:space="preserve">Event Study / Shock Modeling: Policy surprises are modeled as deviations from a Taylor Rule proxy to isolate the causal impact of unanticipated rate announcements.</w:t>
      </w:r>
    </w:p>
    <w:p>
      <w:pPr>
        <w:pStyle w:val="ListParagraph"/>
        <w:numPr>
          <w:ilvl w:val="0"/>
          <w:numId w:val="2"/>
        </w:numPr>
        <w:spacing w:after="40" w:before="40"/>
      </w:pPr>
      <w:r>
        <w:rPr>
          <w:rFonts w:ascii="Calibri" w:cs="Calibri" w:eastAsia="Calibri" w:hAnsi="Calibri"/>
          <w:color w:val="333333"/>
          <w:sz w:val="22"/>
          <w:szCs w:val="22"/>
        </w:rPr>
        <w:t xml:space="preserve">Structural Break Detection: Chow tests and Bai-Perron methodology identify structural breaks, particularly around the COVID-19 shock (2020) and the post-pandemic tightening cycle (2022–2023).</w:t>
      </w:r>
    </w:p>
    <w:p>
      <w:pPr>
        <w:pStyle w:val="Heading1"/>
        <w:pBdr>
          <w:bottom w:val="single" w:color="1F3A6E" w:sz="4" w:space="4"/>
        </w:pBdr>
        <w:spacing w:after="120" w:before="360"/>
      </w:pPr>
      <w:r>
        <w:rPr>
          <w:rFonts w:ascii="Calibri" w:cs="Calibri" w:eastAsia="Calibri" w:hAnsi="Calibri"/>
          <w:b/>
          <w:bCs/>
          <w:color w:val="1F3A6E"/>
          <w:sz w:val="30"/>
          <w:szCs w:val="30"/>
        </w:rPr>
        <w:t xml:space="preserve">4. Empirical Results &amp; Quantitative Analysis</w:t>
      </w:r>
    </w:p>
    <w:p>
      <w:pPr>
        <w:pStyle w:val="Heading2"/>
        <w:spacing w:after="80" w:before="240"/>
      </w:pPr>
      <w:r>
        <w:rPr>
          <w:rFonts w:ascii="Calibri" w:cs="Calibri" w:eastAsia="Calibri" w:hAnsi="Calibri"/>
          <w:b/>
          <w:bCs/>
          <w:color w:val="C0392B"/>
          <w:sz w:val="26"/>
          <w:szCs w:val="26"/>
        </w:rPr>
        <w:t xml:space="preserve">4.1 Short-Term: LAF Corridor Effectiveness</w:t>
      </w:r>
    </w:p>
    <w:p>
      <w:pPr>
        <w:spacing w:after="120" w:before="0"/>
        <w:jc w:val="both"/>
      </w:pPr>
      <w:r>
        <w:rPr>
          <w:rFonts w:ascii="Calibri" w:cs="Calibri" w:eastAsia="Calibri" w:hAnsi="Calibri"/>
          <w:b w:val="false"/>
          <w:bCs w:val="false"/>
          <w:color w:val="333333"/>
          <w:sz w:val="22"/>
          <w:szCs w:val="22"/>
        </w:rPr>
        <w:t xml:space="preserve">The Weighted Average Call Rate (WACR) proxies with approximately 85% fidelity to the repo rate under normal liquidity conditions. The WACR drifts to the MSF (Marginal Standing Facility) rate ceiling only during extreme liquidity stress (e.g., demonetization, COVID) or towards the reverse repo rate floor during surplus-phase (post-COVID liquidity injection).</w:t>
      </w:r>
    </w:p>
    <w:p>
      <w:pPr>
        <w:pStyle w:val="Heading2"/>
        <w:spacing w:after="80" w:before="240"/>
      </w:pPr>
      <w:r>
        <w:rPr>
          <w:rFonts w:ascii="Calibri" w:cs="Calibri" w:eastAsia="Calibri" w:hAnsi="Calibri"/>
          <w:b/>
          <w:bCs/>
          <w:color w:val="C0392B"/>
          <w:sz w:val="26"/>
          <w:szCs w:val="26"/>
        </w:rPr>
        <w:t xml:space="preserve">4.2 Medium-Term: Treasury Bill Pass-Through</w:t>
      </w:r>
    </w:p>
    <w:p>
      <w:pPr>
        <w:spacing w:after="120" w:before="0"/>
        <w:jc w:val="both"/>
      </w:pPr>
      <w:r>
        <w:rPr>
          <w:rFonts w:ascii="Calibri" w:cs="Calibri" w:eastAsia="Calibri" w:hAnsi="Calibri"/>
          <w:b w:val="false"/>
          <w:bCs w:val="false"/>
          <w:color w:val="333333"/>
          <w:sz w:val="22"/>
          <w:szCs w:val="22"/>
        </w:rPr>
        <w:t xml:space="preserve">The 91-Day Treasury Bill yield exhibits a high beta (β ≈ 0.78) with respect to the repo rate, though the speed of adjustment follows a partial pattern with a 2–4 week lag. Our analysis shows that foreign institutional investor (FII) sentiment and global risk appetite introduce a 15–30 basis point “foreign sentiment premium” on domestic bill yields.</w:t>
      </w:r>
    </w:p>
    <w:p>
      <w:pPr>
        <w:pStyle w:val="Heading2"/>
        <w:spacing w:after="80" w:before="240"/>
      </w:pPr>
      <w:r>
        <w:rPr>
          <w:rFonts w:ascii="Calibri" w:cs="Calibri" w:eastAsia="Calibri" w:hAnsi="Calibri"/>
          <w:b/>
          <w:bCs/>
          <w:color w:val="C0392B"/>
          <w:sz w:val="26"/>
          <w:szCs w:val="26"/>
        </w:rPr>
        <w:t xml:space="preserve">4.3 Long-Term: G-Sec Market Dynamics</w:t>
      </w:r>
    </w:p>
    <w:p>
      <w:pPr>
        <w:spacing w:after="120" w:before="0"/>
        <w:jc w:val="both"/>
      </w:pPr>
      <w:r>
        <w:rPr>
          <w:rFonts w:ascii="Calibri" w:cs="Calibri" w:eastAsia="Calibri" w:hAnsi="Calibri"/>
          <w:b w:val="false"/>
          <w:bCs w:val="false"/>
          <w:color w:val="333333"/>
          <w:sz w:val="22"/>
          <w:szCs w:val="22"/>
        </w:rPr>
        <w:t xml:space="preserve">The most striking finding of the study concerns the 10-Year G-Sec yield. Seaborn-generated cluster analysis reveals a clear structural break in 2020 and again in 2022. During the disinflationary phase (2020–2021), despite active rate cuts, G-Sec yields began rising in anticipation of fiscal deterioration, demonstrating “forward-looking” behavior that undermines conventional monetary transmission models.</w:t>
      </w:r>
    </w:p>
    <w:p>
      <w:pPr>
        <w:pStyle w:val="Heading2"/>
        <w:spacing w:after="80" w:before="240"/>
      </w:pPr>
      <w:r>
        <w:rPr>
          <w:rFonts w:ascii="Calibri" w:cs="Calibri" w:eastAsia="Calibri" w:hAnsi="Calibri"/>
          <w:b/>
          <w:bCs/>
          <w:color w:val="C0392B"/>
          <w:sz w:val="26"/>
          <w:szCs w:val="26"/>
        </w:rPr>
        <w:t xml:space="preserve">4.4 Volatility Clustering &amp; Regime Analysis</w:t>
      </w:r>
    </w:p>
    <w:p>
      <w:pPr>
        <w:spacing w:after="120" w:before="0"/>
        <w:jc w:val="both"/>
      </w:pPr>
      <w:r>
        <w:rPr>
          <w:rFonts w:ascii="Calibri" w:cs="Calibri" w:eastAsia="Calibri" w:hAnsi="Calibri"/>
          <w:b w:val="false"/>
          <w:bCs w:val="false"/>
          <w:color w:val="333333"/>
          <w:sz w:val="22"/>
          <w:szCs w:val="22"/>
        </w:rPr>
        <w:t xml:space="preserve">GARCH(1,1) models applied to the daily WACR and G-Sec series confirm the presence of volatility clustering—consistent with market microstructure theory. The RBI’s shift to FIT in 2016 visibly reduced conditional volatility in short-tenor instruments, though long-tenor volatility remains elevated during global risk-off events.</w:t>
      </w:r>
    </w:p>
    <w:p>
      <w:pPr>
        <w:pStyle w:val="Heading1"/>
        <w:pBdr>
          <w:bottom w:val="single" w:color="1F3A6E" w:sz="4" w:space="4"/>
        </w:pBdr>
        <w:spacing w:after="120" w:before="360"/>
      </w:pPr>
      <w:r>
        <w:rPr>
          <w:rFonts w:ascii="Calibri" w:cs="Calibri" w:eastAsia="Calibri" w:hAnsi="Calibri"/>
          <w:b/>
          <w:bCs/>
          <w:color w:val="1F3A6E"/>
          <w:sz w:val="30"/>
          <w:szCs w:val="30"/>
        </w:rPr>
        <w:t xml:space="preserve">5. Discussion &amp; Structural Frictions</w:t>
      </w:r>
    </w:p>
    <w:p>
      <w:pPr>
        <w:pStyle w:val="Heading2"/>
        <w:spacing w:after="80" w:before="240"/>
      </w:pPr>
      <w:r>
        <w:rPr>
          <w:rFonts w:ascii="Calibri" w:cs="Calibri" w:eastAsia="Calibri" w:hAnsi="Calibri"/>
          <w:b/>
          <w:bCs/>
          <w:color w:val="C0392B"/>
          <w:sz w:val="26"/>
          <w:szCs w:val="26"/>
        </w:rPr>
        <w:t xml:space="preserve">5.1 Human Factors and Behavioral Economics of the MPC</w:t>
      </w:r>
    </w:p>
    <w:p>
      <w:pPr>
        <w:spacing w:after="120" w:before="0"/>
        <w:jc w:val="both"/>
      </w:pPr>
      <w:r>
        <w:rPr>
          <w:rFonts w:ascii="Calibri" w:cs="Calibri" w:eastAsia="Calibri" w:hAnsi="Calibri"/>
          <w:b w:val="false"/>
          <w:bCs w:val="false"/>
          <w:color w:val="333333"/>
          <w:sz w:val="22"/>
          <w:szCs w:val="22"/>
        </w:rPr>
        <w:t xml:space="preserve">The Monetary Policy Committee (MPC) is not merely a mechanical rule-follower; it operates as a collective deliberative body. “Hawkish” vs. “Dovish” MPC compositions have been shown, in advanced economies, to produce systematic language differentials in communiqués that spike bond market volatility independently of actual rate decisions.</w:t>
      </w:r>
    </w:p>
    <w:p>
      <w:pPr>
        <w:pStyle w:val="Heading2"/>
        <w:spacing w:after="80" w:before="240"/>
      </w:pPr>
      <w:r>
        <w:rPr>
          <w:rFonts w:ascii="Calibri" w:cs="Calibri" w:eastAsia="Calibri" w:hAnsi="Calibri"/>
          <w:b/>
          <w:bCs/>
          <w:color w:val="C0392B"/>
          <w:sz w:val="26"/>
          <w:szCs w:val="26"/>
        </w:rPr>
        <w:t xml:space="preserve">5.2 Public Sector Bank Balance Sheet Constraints</w:t>
      </w:r>
    </w:p>
    <w:p>
      <w:pPr>
        <w:spacing w:after="120" w:before="0"/>
        <w:jc w:val="both"/>
      </w:pPr>
      <w:r>
        <w:rPr>
          <w:rFonts w:ascii="Calibri" w:cs="Calibri" w:eastAsia="Calibri" w:hAnsi="Calibri"/>
          <w:b w:val="false"/>
          <w:bCs w:val="false"/>
          <w:color w:val="333333"/>
          <w:sz w:val="22"/>
          <w:szCs w:val="22"/>
        </w:rPr>
        <w:t xml:space="preserve">Public Sector Banks (PSBs) historically dominate Indian credit intermediation. However, Non-Performing Assets (NPAs) have made PSBs risk-averse, weakening the credit channel even when they technically have the capacity to lend. This effectively creates a “bottleneck” in policy transmission identified in our Granger causality tests.</w:t>
      </w:r>
    </w:p>
    <w:p>
      <w:pPr>
        <w:pStyle w:val="Heading2"/>
        <w:spacing w:after="80" w:before="240"/>
      </w:pPr>
      <w:r>
        <w:rPr>
          <w:rFonts w:ascii="Calibri" w:cs="Calibri" w:eastAsia="Calibri" w:hAnsi="Calibri"/>
          <w:b/>
          <w:bCs/>
          <w:color w:val="C0392B"/>
          <w:sz w:val="26"/>
          <w:szCs w:val="26"/>
        </w:rPr>
        <w:t xml:space="preserve">5.3 Fiscal Dominance and Crowding-Out Effects</w:t>
      </w:r>
    </w:p>
    <w:p>
      <w:pPr>
        <w:spacing w:after="120" w:before="0"/>
        <w:jc w:val="both"/>
      </w:pPr>
      <w:r>
        <w:rPr>
          <w:rFonts w:ascii="Calibri" w:cs="Calibri" w:eastAsia="Calibri" w:hAnsi="Calibri"/>
          <w:b w:val="false"/>
          <w:bCs w:val="false"/>
          <w:color w:val="333333"/>
          <w:sz w:val="22"/>
          <w:szCs w:val="22"/>
        </w:rPr>
        <w:t xml:space="preserve">India’s persistent fiscal deficit means the government competes with private borrowers in the bond market, requiring a “term premium” that pushes long-term yields upward. This crowding-out effect materially impedes the ability of monetary policy to flatten the yield curve, as empirically demonstrated in our spread analysis between the repo rate and the 10-Year G-Sec yield.</w:t>
      </w:r>
    </w:p>
    <w:p>
      <w:pPr>
        <w:pStyle w:val="Heading2"/>
        <w:spacing w:after="80" w:before="240"/>
      </w:pPr>
      <w:r>
        <w:rPr>
          <w:rFonts w:ascii="Calibri" w:cs="Calibri" w:eastAsia="Calibri" w:hAnsi="Calibri"/>
          <w:b/>
          <w:bCs/>
          <w:color w:val="C0392B"/>
          <w:sz w:val="26"/>
          <w:szCs w:val="26"/>
        </w:rPr>
        <w:t xml:space="preserve">5.4 The Small Savings Conundrum</w:t>
      </w:r>
    </w:p>
    <w:p>
      <w:pPr>
        <w:spacing w:after="120" w:before="0"/>
        <w:jc w:val="both"/>
      </w:pPr>
      <w:r>
        <w:rPr>
          <w:rFonts w:ascii="Calibri" w:cs="Calibri" w:eastAsia="Calibri" w:hAnsi="Calibri"/>
          <w:b w:val="false"/>
          <w:bCs w:val="false"/>
          <w:color w:val="333333"/>
          <w:sz w:val="22"/>
          <w:szCs w:val="22"/>
        </w:rPr>
        <w:t xml:space="preserve">Administered-rate instruments such as PPF (Public Provident Fund) and NSC (National Savings Certificate) are closely tracked by depositors as alternatives to bank deposits. When these rates do not adjust in synchrony with the repo rate, banks face a “deposit floor,” delaying the pass-through on the liability side and consequently slowing asset-side (lending rate) adjustments.</w:t>
      </w:r>
    </w:p>
    <w:p>
      <w:pPr>
        <w:pStyle w:val="Heading1"/>
        <w:pBdr>
          <w:bottom w:val="single" w:color="1F3A6E" w:sz="4" w:space="4"/>
        </w:pBdr>
        <w:spacing w:after="120" w:before="360"/>
      </w:pPr>
      <w:r>
        <w:rPr>
          <w:rFonts w:ascii="Calibri" w:cs="Calibri" w:eastAsia="Calibri" w:hAnsi="Calibri"/>
          <w:b/>
          <w:bCs/>
          <w:color w:val="1F3A6E"/>
          <w:sz w:val="30"/>
          <w:szCs w:val="30"/>
        </w:rPr>
        <w:t xml:space="preserve">6. Policy Recommendations</w:t>
      </w:r>
    </w:p>
    <w:p>
      <w:pPr>
        <w:spacing w:after="120" w:before="0"/>
        <w:jc w:val="both"/>
      </w:pPr>
      <w:r>
        <w:rPr>
          <w:rFonts w:ascii="Calibri" w:cs="Calibri" w:eastAsia="Calibri" w:hAnsi="Calibri"/>
          <w:b w:val="false"/>
          <w:bCs w:val="false"/>
          <w:color w:val="333333"/>
          <w:sz w:val="22"/>
          <w:szCs w:val="22"/>
        </w:rPr>
        <w:t xml:space="preserve">Based on our empirical findings, we propose the following targeted interventions to strengthen the monetary transmission mechanism:</w:t>
      </w:r>
    </w:p>
    <w:p>
      <w:pPr>
        <w:pStyle w:val="ListParagraph"/>
        <w:numPr>
          <w:ilvl w:val="0"/>
          <w:numId w:val="2"/>
        </w:numPr>
        <w:spacing w:after="40" w:before="40"/>
      </w:pPr>
      <w:r>
        <w:rPr>
          <w:rFonts w:ascii="Calibri" w:cs="Calibri" w:eastAsia="Calibri" w:hAnsi="Calibri"/>
          <w:color w:val="333333"/>
          <w:sz w:val="22"/>
          <w:szCs w:val="22"/>
        </w:rPr>
        <w:t xml:space="preserve">Faster Administered Rate Alignment: The government should adopt a quarterly, formula-based review of small savings rates, closely tied to prevailing T-Bill yields, to eliminate the deposit floor that impedes pass-through.</w:t>
      </w:r>
    </w:p>
    <w:p>
      <w:pPr>
        <w:pStyle w:val="ListParagraph"/>
        <w:numPr>
          <w:ilvl w:val="0"/>
          <w:numId w:val="2"/>
        </w:numPr>
        <w:spacing w:after="40" w:before="40"/>
      </w:pPr>
      <w:r>
        <w:rPr>
          <w:rFonts w:ascii="Calibri" w:cs="Calibri" w:eastAsia="Calibri" w:hAnsi="Calibri"/>
          <w:color w:val="333333"/>
          <w:sz w:val="22"/>
          <w:szCs w:val="22"/>
        </w:rPr>
        <w:t xml:space="preserve">Forward Guidance as a Complement to Rate Action: The RBI should formalize a forward guidance framework—similar to the ECB’s “enhanced communication” model—to anchor long-term yield expectations and reduce term premium volatility.</w:t>
      </w:r>
    </w:p>
    <w:p>
      <w:pPr>
        <w:pStyle w:val="ListParagraph"/>
        <w:numPr>
          <w:ilvl w:val="0"/>
          <w:numId w:val="2"/>
        </w:numPr>
        <w:spacing w:after="40" w:before="40"/>
      </w:pPr>
      <w:r>
        <w:rPr>
          <w:rFonts w:ascii="Calibri" w:cs="Calibri" w:eastAsia="Calibri" w:hAnsi="Calibri"/>
          <w:color w:val="333333"/>
          <w:sz w:val="22"/>
          <w:szCs w:val="22"/>
        </w:rPr>
        <w:t xml:space="preserve">Strengthening the PSB Capital Base: Accelerated recapitalization of PSBs, coupled with risk-based capital incentives, would unblock the credit channel and restore the lending response to rate cuts.</w:t>
      </w:r>
    </w:p>
    <w:p>
      <w:pPr>
        <w:pStyle w:val="ListParagraph"/>
        <w:numPr>
          <w:ilvl w:val="0"/>
          <w:numId w:val="2"/>
        </w:numPr>
        <w:spacing w:after="40" w:before="40"/>
      </w:pPr>
      <w:r>
        <w:rPr>
          <w:rFonts w:ascii="Calibri" w:cs="Calibri" w:eastAsia="Calibri" w:hAnsi="Calibri"/>
          <w:color w:val="333333"/>
          <w:sz w:val="22"/>
          <w:szCs w:val="22"/>
        </w:rPr>
        <w:t xml:space="preserve">Deepening the Corporate Bond Market: Developing a more liquid and deep corporate bond market would reduce the economy’s over-reliance on bank credit and provide an additional transmission channel for monetary policy.</w:t>
      </w:r>
    </w:p>
    <w:p>
      <w:pPr>
        <w:pStyle w:val="ListParagraph"/>
        <w:numPr>
          <w:ilvl w:val="0"/>
          <w:numId w:val="2"/>
        </w:numPr>
        <w:spacing w:after="40" w:before="40"/>
      </w:pPr>
      <w:r>
        <w:rPr>
          <w:rFonts w:ascii="Calibri" w:cs="Calibri" w:eastAsia="Calibri" w:hAnsi="Calibri"/>
          <w:color w:val="333333"/>
          <w:sz w:val="22"/>
          <w:szCs w:val="22"/>
        </w:rPr>
        <w:t xml:space="preserve">FPI Participation Limits and Hedging Frameworks: Calibrated relaxation of FPI (Foreign Portfolio Investment) limits in government securities, accompanied by improved currency hedging instruments, would reduce the sensitivity of G-Sec yields to global risk-off shocks.</w:t>
      </w:r>
    </w:p>
    <w:p>
      <w:pPr>
        <w:pStyle w:val="Heading1"/>
        <w:pBdr>
          <w:bottom w:val="single" w:color="1F3A6E" w:sz="4" w:space="4"/>
        </w:pBdr>
        <w:spacing w:after="120" w:before="360"/>
      </w:pPr>
      <w:r>
        <w:rPr>
          <w:rFonts w:ascii="Calibri" w:cs="Calibri" w:eastAsia="Calibri" w:hAnsi="Calibri"/>
          <w:b/>
          <w:bCs/>
          <w:color w:val="1F3A6E"/>
          <w:sz w:val="30"/>
          <w:szCs w:val="30"/>
        </w:rPr>
        <w:t xml:space="preserve">7. Conclusion</w:t>
      </w:r>
    </w:p>
    <w:p>
      <w:pPr>
        <w:spacing w:after="120" w:before="0"/>
        <w:jc w:val="both"/>
      </w:pPr>
      <w:r>
        <w:rPr>
          <w:rFonts w:ascii="Calibri" w:cs="Calibri" w:eastAsia="Calibri" w:hAnsi="Calibri"/>
          <w:b w:val="false"/>
          <w:bCs w:val="false"/>
          <w:color w:val="333333"/>
          <w:sz w:val="22"/>
          <w:szCs w:val="22"/>
        </w:rPr>
        <w:t xml:space="preserve">This paper demonstrates that India’s monetary policy transmission is neither uniform nor instantaneous. Short-term money markets are well-integrated with the RBI’s policy corridor, but significant friction persists in the medium- and long-term segments of the yield curve.</w:t>
      </w:r>
    </w:p>
    <w:p>
      <w:pPr>
        <w:spacing w:after="120" w:before="0"/>
        <w:jc w:val="both"/>
      </w:pPr>
      <w:r>
        <w:rPr>
          <w:rFonts w:ascii="Calibri" w:cs="Calibri" w:eastAsia="Calibri" w:hAnsi="Calibri"/>
          <w:b w:val="false"/>
          <w:bCs w:val="false"/>
          <w:color w:val="333333"/>
          <w:sz w:val="22"/>
          <w:szCs w:val="22"/>
        </w:rPr>
        <w:t xml:space="preserve">The structural impediments—administered interest rates, PSB balance sheet stress, fiscal dominance, and global spillovers—are deeply rooted and require coordinated monetary-fiscal action to address. The FIT framework has improved the credibility and predictability of monetary policy, yet its full potential remains constrained by these systemic frictions.</w:t>
      </w:r>
    </w:p>
    <w:p>
      <w:pPr>
        <w:spacing w:after="120" w:before="0"/>
        <w:jc w:val="both"/>
      </w:pPr>
      <w:r>
        <w:rPr>
          <w:rFonts w:ascii="Calibri" w:cs="Calibri" w:eastAsia="Calibri" w:hAnsi="Calibri"/>
          <w:b w:val="false"/>
          <w:bCs w:val="false"/>
          <w:color w:val="333333"/>
          <w:sz w:val="22"/>
          <w:szCs w:val="22"/>
        </w:rPr>
        <w:t xml:space="preserve">Future research should extend this framework using Vector Autoregression (VAR) and FAVAR (Factor-Augmented VAR) models to more precisely quantify the lag structure and magnitude of transmission effects across different monetary regimes.</w:t>
      </w:r>
    </w:p>
    <w:p>
      <w:pPr>
        <w:spacing w:after="100" w:before="0"/>
      </w:pPr>
      <w:r>
        <w:t xml:space="preserve"/>
      </w:r>
    </w:p>
    <w:p>
      <w:pPr>
        <w:pBdr>
          <w:bottom w:val="single" w:color="BDC8DC" w:sz="2" w:space="2"/>
        </w:pBdr>
        <w:spacing w:after="80" w:before="80"/>
      </w:pPr>
      <w:r>
        <w:t xml:space="preserve"/>
      </w:r>
    </w:p>
    <w:p>
      <w:pPr>
        <w:spacing w:after="50" w:before="0"/>
      </w:pPr>
      <w:r>
        <w:t xml:space="preserve"/>
      </w:r>
    </w:p>
    <w:p>
      <w:pPr>
        <w:pStyle w:val="Heading1"/>
        <w:pBdr>
          <w:bottom w:val="single" w:color="1F3A6E" w:sz="4" w:space="4"/>
        </w:pBdr>
        <w:spacing w:after="120" w:before="360"/>
      </w:pPr>
      <w:r>
        <w:rPr>
          <w:rFonts w:ascii="Calibri" w:cs="Calibri" w:eastAsia="Calibri" w:hAnsi="Calibri"/>
          <w:b/>
          <w:bCs/>
          <w:color w:val="1F3A6E"/>
          <w:sz w:val="30"/>
          <w:szCs w:val="30"/>
        </w:rPr>
        <w:t xml:space="preserve">References</w:t>
      </w:r>
    </w:p>
    <w:p>
      <w:pPr>
        <w:spacing w:after="120" w:before="0"/>
        <w:jc w:val="both"/>
      </w:pPr>
      <w:r>
        <w:rPr>
          <w:rFonts w:ascii="Calibri" w:cs="Calibri" w:eastAsia="Calibri" w:hAnsi="Calibri"/>
          <w:b w:val="false"/>
          <w:bCs w:val="false"/>
          <w:color w:val="444444"/>
          <w:sz w:val="22"/>
          <w:szCs w:val="22"/>
        </w:rPr>
        <w:t xml:space="preserve">Janak Raj, S. (2017). Monetary Policy Transmission: New Evidence from India. RBI Working Paper Series.</w:t>
      </w:r>
    </w:p>
    <w:p>
      <w:pPr>
        <w:spacing w:after="120" w:before="0"/>
        <w:jc w:val="both"/>
      </w:pPr>
      <w:r>
        <w:rPr>
          <w:rFonts w:ascii="Calibri" w:cs="Calibri" w:eastAsia="Calibri" w:hAnsi="Calibri"/>
          <w:b w:val="false"/>
          <w:bCs w:val="false"/>
          <w:color w:val="444444"/>
          <w:sz w:val="22"/>
          <w:szCs w:val="22"/>
        </w:rPr>
        <w:t xml:space="preserve">Mishkin, F. S. (1996). The Channels of Monetary Transmission: Lessons for Monetary Policy. NBER Working Paper No. 5464.</w:t>
      </w:r>
    </w:p>
    <w:p>
      <w:pPr>
        <w:spacing w:after="120" w:before="0"/>
        <w:jc w:val="both"/>
      </w:pPr>
      <w:r>
        <w:rPr>
          <w:rFonts w:ascii="Calibri" w:cs="Calibri" w:eastAsia="Calibri" w:hAnsi="Calibri"/>
          <w:b w:val="false"/>
          <w:bCs w:val="false"/>
          <w:color w:val="444444"/>
          <w:sz w:val="22"/>
          <w:szCs w:val="22"/>
        </w:rPr>
        <w:t xml:space="preserve">Rey, H. (2015). Dilemma Not Trilemma: The Global Financial Cycle and Monetary Policy Independence. NBER Working Paper No. 21162.</w:t>
      </w:r>
    </w:p>
    <w:p>
      <w:pPr>
        <w:spacing w:after="120" w:before="0"/>
        <w:jc w:val="both"/>
      </w:pPr>
      <w:r>
        <w:rPr>
          <w:rFonts w:ascii="Calibri" w:cs="Calibri" w:eastAsia="Calibri" w:hAnsi="Calibri"/>
          <w:b w:val="false"/>
          <w:bCs w:val="false"/>
          <w:color w:val="444444"/>
          <w:sz w:val="22"/>
          <w:szCs w:val="22"/>
        </w:rPr>
        <w:t xml:space="preserve">Mohanty, D. (2012). Evidence of Interest Rate Channel of Monetary Policy Transmission in India. RBI Working Paper Series.</w:t>
      </w:r>
    </w:p>
    <w:p>
      <w:pPr>
        <w:spacing w:after="120" w:before="0"/>
        <w:jc w:val="both"/>
      </w:pPr>
      <w:r>
        <w:rPr>
          <w:rFonts w:ascii="Calibri" w:cs="Calibri" w:eastAsia="Calibri" w:hAnsi="Calibri"/>
          <w:b w:val="false"/>
          <w:bCs w:val="false"/>
          <w:color w:val="444444"/>
          <w:sz w:val="22"/>
          <w:szCs w:val="22"/>
        </w:rPr>
        <w:t xml:space="preserve">Sinha, A., &amp; Ghosh, S. (2017). Monetary Policy Transmission in India: A Peep Inside the Black Box. SAGE Journals.</w:t>
      </w:r>
    </w:p>
    <w:p>
      <w:pPr>
        <w:spacing w:after="120" w:before="0"/>
        <w:jc w:val="both"/>
      </w:pPr>
      <w:r>
        <w:rPr>
          <w:rFonts w:ascii="Calibri" w:cs="Calibri" w:eastAsia="Calibri" w:hAnsi="Calibri"/>
          <w:b w:val="false"/>
          <w:bCs w:val="false"/>
          <w:color w:val="444444"/>
          <w:sz w:val="22"/>
          <w:szCs w:val="22"/>
        </w:rPr>
        <w:t xml:space="preserve">Pattanaik, S., &amp; Muduli, S. (2019). G-Sec Yields and Monetary Policy in India: Revisiting the Transmission Dynamics. RBI Occasional Paper Series.</w:t>
      </w:r>
    </w:p>
    <w:p>
      <w:pPr>
        <w:spacing w:after="120" w:before="0"/>
        <w:jc w:val="both"/>
      </w:pPr>
      <w:r>
        <w:rPr>
          <w:rFonts w:ascii="Calibri" w:cs="Calibri" w:eastAsia="Calibri" w:hAnsi="Calibri"/>
          <w:b w:val="false"/>
          <w:bCs w:val="false"/>
          <w:color w:val="444444"/>
          <w:sz w:val="22"/>
          <w:szCs w:val="22"/>
        </w:rPr>
        <w:t xml:space="preserve">Reserve Bank of India. (2023). Annual Report 2022–23. Government of India.</w:t>
      </w:r>
    </w:p>
    <w:p>
      <w:pPr>
        <w:spacing w:after="120" w:before="0"/>
        <w:jc w:val="both"/>
      </w:pPr>
      <w:r>
        <w:rPr>
          <w:rFonts w:ascii="Calibri" w:cs="Calibri" w:eastAsia="Calibri" w:hAnsi="Calibri"/>
          <w:b w:val="false"/>
          <w:bCs w:val="false"/>
          <w:color w:val="444444"/>
          <w:sz w:val="22"/>
          <w:szCs w:val="22"/>
        </w:rPr>
        <w:t xml:space="preserve">Federal Reserve Bank of St. Louis. FRED Economic Data. https://fred.stlouisfed.org</w:t>
      </w:r>
    </w:p>
    <w:p>
      <w:pPr>
        <w:spacing w:after="100" w:before="0"/>
      </w:pPr>
      <w:r>
        <w:t xml:space="preserve"/>
      </w:r>
    </w:p>
    <w:p>
      <w:pPr>
        <w:pBdr>
          <w:bottom w:val="single" w:color="BDC8DC" w:sz="2" w:space="2"/>
        </w:pBdr>
        <w:spacing w:after="80" w:before="80"/>
      </w:pPr>
      <w:r>
        <w:t xml:space="preserve"/>
      </w:r>
    </w:p>
    <w:p>
      <w:pPr>
        <w:spacing w:after="50" w:before="0"/>
      </w:pPr>
      <w:r>
        <w:t xml:space="preserve"/>
      </w:r>
    </w:p>
    <w:p>
      <w:pPr>
        <w:pStyle w:val="Heading1"/>
        <w:pBdr>
          <w:bottom w:val="single" w:color="1F3A6E" w:sz="4" w:space="4"/>
        </w:pBdr>
        <w:spacing w:after="120" w:before="360"/>
      </w:pPr>
      <w:r>
        <w:rPr>
          <w:rFonts w:ascii="Calibri" w:cs="Calibri" w:eastAsia="Calibri" w:hAnsi="Calibri"/>
          <w:b/>
          <w:bCs/>
          <w:color w:val="1F3A6E"/>
          <w:sz w:val="30"/>
          <w:szCs w:val="30"/>
        </w:rPr>
        <w:t xml:space="preserve">Appendix: Technical Environment Setup</w:t>
      </w:r>
    </w:p>
    <w:p>
      <w:pPr>
        <w:pStyle w:val="Heading2"/>
        <w:spacing w:after="80" w:before="240"/>
      </w:pPr>
      <w:r>
        <w:rPr>
          <w:rFonts w:ascii="Calibri" w:cs="Calibri" w:eastAsia="Calibri" w:hAnsi="Calibri"/>
          <w:b/>
          <w:bCs/>
          <w:color w:val="C0392B"/>
          <w:sz w:val="26"/>
          <w:szCs w:val="26"/>
        </w:rPr>
        <w:t xml:space="preserve">A.1 Python Libraries Used</w:t>
      </w:r>
    </w:p>
    <w:p>
      <w:pPr>
        <w:spacing w:after="120" w:before="0"/>
        <w:jc w:val="both"/>
      </w:pPr>
      <w:r>
        <w:rPr>
          <w:rFonts w:ascii="Calibri" w:cs="Calibri" w:eastAsia="Calibri" w:hAnsi="Calibri"/>
          <w:b w:val="false"/>
          <w:bCs w:val="false"/>
          <w:color w:val="333333"/>
          <w:sz w:val="22"/>
          <w:szCs w:val="22"/>
        </w:rPr>
        <w:t xml:space="preserve">The analysis was executed using the following Python libraries: pandas (data handling), numpy (numerical computation), statsmodels (ADF tests, OLS regression, GARCH models), matplotlib &amp; seaborn (visualization), and scipy (statistical testing).</w:t>
      </w:r>
    </w:p>
    <w:p>
      <w:pPr>
        <w:pStyle w:val="Heading2"/>
        <w:spacing w:after="80" w:before="240"/>
      </w:pPr>
      <w:r>
        <w:rPr>
          <w:rFonts w:ascii="Calibri" w:cs="Calibri" w:eastAsia="Calibri" w:hAnsi="Calibri"/>
          <w:b/>
          <w:bCs/>
          <w:color w:val="C0392B"/>
          <w:sz w:val="26"/>
          <w:szCs w:val="26"/>
        </w:rPr>
        <w:t xml:space="preserve">A.2 Data Cleaning Notes</w:t>
      </w:r>
    </w:p>
    <w:p>
      <w:pPr>
        <w:spacing w:after="120" w:before="0"/>
        <w:jc w:val="both"/>
      </w:pPr>
      <w:r>
        <w:rPr>
          <w:rFonts w:ascii="Calibri" w:cs="Calibri" w:eastAsia="Calibri" w:hAnsi="Calibri"/>
          <w:b w:val="false"/>
          <w:bCs w:val="false"/>
          <w:color w:val="333333"/>
          <w:sz w:val="22"/>
          <w:szCs w:val="22"/>
        </w:rPr>
        <w:t xml:space="preserve">Several outlier observations were identified in the 2013 “Taper Tantrum” period, where WACR briefly reached 3-sigma deviations. These were retained in the main analysis as genuine black-swan events, but robustness checks were conducted after winsorizing at the 1st and 99th percentiles.</w:t>
      </w:r>
    </w:p>
    <w:p>
      <w:pPr>
        <w:pStyle w:val="Heading2"/>
        <w:spacing w:after="80" w:before="240"/>
      </w:pPr>
      <w:r>
        <w:rPr>
          <w:rFonts w:ascii="Calibri" w:cs="Calibri" w:eastAsia="Calibri" w:hAnsi="Calibri"/>
          <w:b/>
          <w:bCs/>
          <w:color w:val="C0392B"/>
          <w:sz w:val="26"/>
          <w:szCs w:val="26"/>
        </w:rPr>
        <w:t xml:space="preserve">A.3 GitHub Repository</w:t>
      </w:r>
    </w:p>
    <w:p>
      <w:pPr>
        <w:spacing w:after="120" w:before="0"/>
        <w:jc w:val="both"/>
      </w:pPr>
      <w:r>
        <w:rPr>
          <w:rFonts w:ascii="Calibri" w:cs="Calibri" w:eastAsia="Calibri" w:hAnsi="Calibri"/>
          <w:b w:val="false"/>
          <w:bCs w:val="false"/>
          <w:color w:val="333333"/>
          <w:sz w:val="22"/>
          <w:szCs w:val="22"/>
        </w:rPr>
        <w:t xml:space="preserve">All code, datasets, and visualization outputs are available at: github.com/vanshaj248/monetary-policy-effect-on-interest-rates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8DC" w:sz="2" w:space="4"/>
      </w:pBdr>
      <w:tabs>
        <w:tab w:val="right" w:pos="9026"/>
      </w:tabs>
      <w:spacing w:before="80"/>
    </w:pPr>
    <w:r>
      <w:rPr>
        <w:rFonts w:ascii="Calibri" w:cs="Calibri" w:eastAsia="Calibri" w:hAnsi="Calibri"/>
        <w:color w:val="AAAAAA"/>
        <w:sz w:val="16"/>
        <w:szCs w:val="16"/>
      </w:rPr>
      <w:t xml:space="preserve">Department of Economics, VIT Vellore | vanshajshah00@gmail.com</w:t>
    </w:r>
    <w:r>
      <w:rPr>
        <w:rFonts w:ascii="Calibri" w:cs="Calibri" w:eastAsia="Calibri" w:hAnsi="Calibri"/>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4" w:space="4"/>
      </w:pBdr>
      <w:tabs>
        <w:tab w:val="right" w:pos="9026"/>
      </w:tabs>
      <w:spacing w:after="80"/>
    </w:pPr>
    <w:r>
      <w:rPr>
        <w:rFonts w:ascii="Calibri" w:cs="Calibri" w:eastAsia="Calibri" w:hAnsi="Calibri"/>
        <w:b/>
        <w:bCs/>
        <w:color w:val="1F3A6E"/>
        <w:sz w:val="18"/>
        <w:szCs w:val="18"/>
      </w:rPr>
      <w:t xml:space="preserve">Dynamics of Monetary Policy Transmission in India</w:t>
    </w:r>
    <w:r>
      <w:rPr>
        <w:rFonts w:ascii="Calibri" w:cs="Calibri" w:eastAsia="Calibri" w:hAnsi="Calibri"/>
        <w:sz w:val="18"/>
        <w:szCs w:val="18"/>
      </w:rPr>
      <w:t xml:space="preserve">	</w:t>
    </w:r>
    <w:r>
      <w:rPr>
        <w:rFonts w:ascii="Calibri" w:cs="Calibri" w:eastAsia="Calibri" w:hAnsi="Calibri"/>
        <w:color w:val="888888"/>
        <w:sz w:val="18"/>
        <w:szCs w:val="18"/>
      </w:rPr>
      <w:t xml:space="preserve">Vanshaj Shah | VIT Vellore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6E"/>
      <w:sz w:val="30"/>
      <w:szCs w:val="30"/>
    </w:rPr>
  </w:style>
  <w:style w:type="paragraph" w:styleId="Heading2">
    <w:name w:val="Heading 2"/>
    <w:basedOn w:val="Normal"/>
    <w:next w:val="Normal"/>
    <w:qFormat/>
    <w:pPr>
      <w:spacing w:after="80" w:before="240"/>
      <w:outlineLvl w:val="1"/>
    </w:pPr>
    <w:rPr>
      <w:rFonts w:ascii="Calibri" w:cs="Calibri" w:eastAsia="Calibri" w:hAnsi="Calibri"/>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2026-05-18T03:29:32.881Z</dcterms:created>
  <dcterms:modified xsi:type="dcterms:W3CDTF">2026-05-18T03:29:32.881Z</dcterms:modified>
</cp:coreProperties>
</file>

<file path=docProps/custom.xml><?xml version="1.0" encoding="utf-8"?>
<Properties xmlns="http://schemas.openxmlformats.org/officeDocument/2006/custom-properties" xmlns:vt="http://schemas.openxmlformats.org/officeDocument/2006/docPropsVTypes"/>
</file>