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F4B3E"/>
          <w:sz w:val="18"/>
          <w:szCs w:val="18"/>
        </w:rPr>
        <w:t xml:space="preserve">QUANTANITE QiQ  ·  SALES REFERENCE</w:t>
      </w:r>
    </w:p>
    <w:p>
      <w:pPr>
        <w:spacing w:after="60"/>
      </w:pPr>
      <w:r>
        <w:rPr>
          <w:b/>
          <w:bCs/>
          <w:color w:val="111114"/>
          <w:sz w:val="44"/>
          <w:szCs w:val="44"/>
        </w:rPr>
        <w:t xml:space="preserve">Apex Utilities</w:t>
      </w:r>
    </w:p>
    <w:p>
      <w:pPr>
        <w:spacing w:after="300"/>
      </w:pPr>
      <w:r>
        <w:rPr>
          <w:color w:val="5B5B5B"/>
          <w:sz w:val="26"/>
          <w:szCs w:val="26"/>
        </w:rPr>
        <w:t xml:space="preserve">Client Research &amp; Demo Storylines</w:t>
      </w:r>
    </w:p>
    <w:p>
      <w:pPr>
        <w:spacing w:after="160"/>
      </w:pPr>
      <w:r>
        <w:rPr>
          <w:b/>
          <w:bCs/>
          <w:color w:val="111114"/>
          <w:sz w:val="20"/>
          <w:szCs w:val="20"/>
        </w:rPr>
        <w:t xml:space="preserve">Evidence strength: moderate. </w:t>
      </w:r>
      <w:r>
        <w:rPr>
          <w:color w:val="444444"/>
          <w:sz w:val="20"/>
          <w:szCs w:val="20"/>
        </w:rPr>
        <w:t xml:space="preserve">Business and regulatory facts are well-sourced (AUC filings, Apex's own FAQ, TriSummit corporate pages). Voice-of-customer evidence comes from Apex's Google Business Profile (2.5 stars, 52 reviews total) — a knowledge-panel listing missed by the first research pass, since it doesn't appear on Trustpilot, Reddit, or BBB Canada, where the corpus is genuinely empty. 10 of the 52 reviews were read in full; three themes (rude/unhelpful phone staff, billing and fee disputes, budget billing confusion) are strong-confidence and directly quoted, one (the missing-bill/back-bill case) is a single detailed account rated moderate, and several forward-looking or inferred themes (the August 2026 rate-class change, meter-read disputes, construction-notification effectiveness) are weak-to-moderate confidence, flagged as such rather than overstated.</w:t>
      </w:r>
    </w:p>
    <w:p>
      <w:pPr>
        <w:spacing w:after="100"/>
      </w:pPr>
    </w:p>
    <w:p>
      <w:pPr>
        <w:pStyle w:val="Heading1"/>
        <w:pBdr>
          <w:bottom w:val="single" w:color="FF4B3E" w:sz="6" w:space="4"/>
        </w:pBdr>
        <w:spacing w:after="200" w:before="400"/>
      </w:pPr>
      <w:r>
        <w:rPr>
          <w:b/>
          <w:bCs/>
          <w:color w:val="111114"/>
          <w:sz w:val="30"/>
          <w:szCs w:val="30"/>
        </w:rPr>
        <w:t xml:space="preserve">1. How This Demo Was Built</w:t>
      </w:r>
    </w:p>
    <w:p>
      <w:pPr>
        <w:spacing w:after="160"/>
      </w:pPr>
      <w:r>
        <w:rPr>
          <w:color w:val="222222"/>
          <w:sz w:val="21"/>
          <w:szCs w:val="21"/>
        </w:rPr>
        <w:t xml:space="preserve">Real, public data: 10 reviews read in full out of 52, 8 complaint themes with 7 verbatim quotes, 3 public company and news events. Synthetic, modelled data: the contact centre itself (16,000 contacts over 5 weeks, 807 fully generated records), its KPIs and the coaching effect.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2350"/>
        <w:gridCol w:w="1150"/>
      </w:tblGrid>
      <w:tr>
        <w:trPr>
          <w:tblHeader/>
        </w:trPr>
        <w:tc>
          <w:tcPr>
            <w:tcW w:type="dxa" w:w="2500"/>
            <w:shd w:fill="111114" w:val="clear"/>
            <w:tcMar>
              <w:top w:type="dxa" w:w="90"/>
              <w:left w:type="dxa" w:w="140"/>
              <w:bottom w:type="dxa" w:w="90"/>
              <w:right w:type="dxa" w:w="140"/>
            </w:tcMar>
          </w:tcPr>
          <w:p>
            <w:r>
              <w:rPr>
                <w:b/>
                <w:bCs/>
                <w:color w:val="FFFFFF"/>
                <w:sz w:val="18"/>
                <w:szCs w:val="18"/>
              </w:rPr>
              <w:t xml:space="preserve">Data layer</w:t>
            </w:r>
          </w:p>
        </w:tc>
        <w:tc>
          <w:tcPr>
            <w:tcW w:type="dxa" w:w="3350"/>
            <w:shd w:fill="111114" w:val="clear"/>
            <w:tcMar>
              <w:top w:type="dxa" w:w="90"/>
              <w:left w:type="dxa" w:w="140"/>
              <w:bottom w:type="dxa" w:w="90"/>
              <w:right w:type="dxa" w:w="140"/>
            </w:tcMar>
          </w:tcPr>
          <w:p>
            <w:r>
              <w:rPr>
                <w:b/>
                <w:bCs/>
                <w:color w:val="FFFFFF"/>
                <w:sz w:val="18"/>
                <w:szCs w:val="18"/>
              </w:rPr>
              <w:t xml:space="preserve">Source</w:t>
            </w:r>
          </w:p>
        </w:tc>
        <w:tc>
          <w:tcPr>
            <w:tcW w:type="dxa" w:w="2350"/>
            <w:shd w:fill="111114" w:val="clear"/>
            <w:tcMar>
              <w:top w:type="dxa" w:w="90"/>
              <w:left w:type="dxa" w:w="140"/>
              <w:bottom w:type="dxa" w:w="90"/>
              <w:right w:type="dxa" w:w="140"/>
            </w:tcMar>
          </w:tcPr>
          <w:p>
            <w:r>
              <w:rPr>
                <w:b/>
                <w:bCs/>
                <w:color w:val="FFFFFF"/>
                <w:sz w:val="18"/>
                <w:szCs w:val="18"/>
              </w:rPr>
              <w:t xml:space="preserve">Scale</w:t>
            </w:r>
          </w:p>
        </w:tc>
        <w:tc>
          <w:tcPr>
            <w:tcW w:type="dxa" w:w="1150"/>
            <w:shd w:fill="111114" w:val="clear"/>
            <w:tcMar>
              <w:top w:type="dxa" w:w="90"/>
              <w:left w:type="dxa" w:w="140"/>
              <w:bottom w:type="dxa" w:w="90"/>
              <w:right w:type="dxa" w:w="140"/>
            </w:tcMar>
          </w:tcPr>
          <w:p>
            <w:r>
              <w:rPr>
                <w:b/>
                <w:bCs/>
                <w:color w:val="FFFFFF"/>
                <w:sz w:val="18"/>
                <w:szCs w:val="18"/>
              </w:rPr>
              <w:t xml:space="preserve">Real or synthetic</w:t>
            </w:r>
          </w:p>
        </w:tc>
      </w:tr>
      <w:tr>
        <w:tc>
          <w:tcPr>
            <w:tcW w:type="dxa" w:w="2500"/>
            <w:shd w:fill="FFFFFF" w:val="clear"/>
            <w:tcMar>
              <w:top w:type="dxa" w:w="90"/>
              <w:left w:type="dxa" w:w="140"/>
              <w:bottom w:type="dxa" w:w="90"/>
              <w:right w:type="dxa" w:w="140"/>
            </w:tcMar>
          </w:tcPr>
          <w:p>
            <w:r>
              <w:rPr>
                <w:b/>
                <w:bCs/>
                <w:color w:val="111114"/>
                <w:sz w:val="18"/>
                <w:szCs w:val="18"/>
              </w:rPr>
              <w:t xml:space="preserve">Public customer reviews</w:t>
            </w:r>
          </w:p>
        </w:tc>
        <w:tc>
          <w:tcPr>
            <w:tcW w:type="dxa" w:w="3350"/>
            <w:shd w:fill="FFFFFF" w:val="clear"/>
            <w:tcMar>
              <w:top w:type="dxa" w:w="90"/>
              <w:left w:type="dxa" w:w="140"/>
              <w:bottom w:type="dxa" w:w="90"/>
              <w:right w:type="dxa" w:w="140"/>
            </w:tcMar>
          </w:tcPr>
          <w:p>
            <w:r>
              <w:rPr>
                <w:b w:val="false"/>
                <w:bCs w:val="false"/>
                <w:color w:val="222222"/>
                <w:sz w:val="18"/>
                <w:szCs w:val="18"/>
              </w:rPr>
              <w:t xml:space="preserve">Google Business Profile reviews (2.5/5)</w:t>
            </w:r>
          </w:p>
        </w:tc>
        <w:tc>
          <w:tcPr>
            <w:tcW w:type="dxa" w:w="2350"/>
            <w:shd w:fill="FFFFFF" w:val="clear"/>
            <w:tcMar>
              <w:top w:type="dxa" w:w="90"/>
              <w:left w:type="dxa" w:w="140"/>
              <w:bottom w:type="dxa" w:w="90"/>
              <w:right w:type="dxa" w:w="140"/>
            </w:tcMar>
          </w:tcPr>
          <w:p>
            <w:r>
              <w:rPr>
                <w:b w:val="false"/>
                <w:bCs w:val="false"/>
                <w:color w:val="222222"/>
                <w:sz w:val="18"/>
                <w:szCs w:val="18"/>
              </w:rPr>
              <w:t xml:space="preserve">52 reviews on the platform, 10 read in full</w:t>
            </w:r>
          </w:p>
        </w:tc>
        <w:tc>
          <w:tcPr>
            <w:tcW w:type="dxa" w:w="1150"/>
            <w:shd w:fill="FFFFFF" w:val="clear"/>
            <w:tcMar>
              <w:top w:type="dxa" w:w="90"/>
              <w:left w:type="dxa" w:w="140"/>
              <w:bottom w:type="dxa" w:w="90"/>
              <w:right w:type="dxa" w:w="140"/>
            </w:tcMar>
          </w:tcPr>
          <w:p>
            <w:r>
              <w:rPr>
                <w:b/>
                <w:bCs/>
                <w:color w:val="1A7A4A"/>
                <w:sz w:val="18"/>
                <w:szCs w:val="18"/>
              </w:rPr>
              <w:t xml:space="preserve">Real</w:t>
            </w:r>
          </w:p>
        </w:tc>
      </w:tr>
      <w:tr>
        <w:tc>
          <w:tcPr>
            <w:tcW w:type="dxa" w:w="2500"/>
            <w:shd w:fill="F7F7F5" w:val="clear"/>
            <w:tcMar>
              <w:top w:type="dxa" w:w="90"/>
              <w:left w:type="dxa" w:w="140"/>
              <w:bottom w:type="dxa" w:w="90"/>
              <w:right w:type="dxa" w:w="140"/>
            </w:tcMar>
          </w:tcPr>
          <w:p>
            <w:r>
              <w:rPr>
                <w:b/>
                <w:bCs/>
                <w:color w:val="111114"/>
                <w:sz w:val="18"/>
                <w:szCs w:val="18"/>
              </w:rPr>
              <w:t xml:space="preserve">Complaint themes and quotes</w:t>
            </w:r>
          </w:p>
        </w:tc>
        <w:tc>
          <w:tcPr>
            <w:tcW w:type="dxa" w:w="3350"/>
            <w:shd w:fill="F7F7F5" w:val="clear"/>
            <w:tcMar>
              <w:top w:type="dxa" w:w="90"/>
              <w:left w:type="dxa" w:w="140"/>
              <w:bottom w:type="dxa" w:w="90"/>
              <w:right w:type="dxa" w:w="140"/>
            </w:tcMar>
          </w:tcPr>
          <w:p>
            <w:r>
              <w:rPr>
                <w:b w:val="false"/>
                <w:bCs w:val="false"/>
                <w:color w:val="222222"/>
                <w:sz w:val="18"/>
                <w:szCs w:val="18"/>
              </w:rPr>
              <w:t xml:space="preserve">Coded from the reviews and news read above</w:t>
            </w:r>
          </w:p>
        </w:tc>
        <w:tc>
          <w:tcPr>
            <w:tcW w:type="dxa" w:w="2350"/>
            <w:shd w:fill="F7F7F5" w:val="clear"/>
            <w:tcMar>
              <w:top w:type="dxa" w:w="90"/>
              <w:left w:type="dxa" w:w="140"/>
              <w:bottom w:type="dxa" w:w="90"/>
              <w:right w:type="dxa" w:w="140"/>
            </w:tcMar>
          </w:tcPr>
          <w:p>
            <w:r>
              <w:rPr>
                <w:b w:val="false"/>
                <w:bCs w:val="false"/>
                <w:color w:val="222222"/>
                <w:sz w:val="18"/>
                <w:szCs w:val="18"/>
              </w:rPr>
              <w:t xml:space="preserve">8 themes, 7 verbatim quotes</w:t>
            </w:r>
          </w:p>
        </w:tc>
        <w:tc>
          <w:tcPr>
            <w:tcW w:type="dxa" w:w="1150"/>
            <w:shd w:fill="F7F7F5" w:val="clear"/>
            <w:tcMar>
              <w:top w:type="dxa" w:w="90"/>
              <w:left w:type="dxa" w:w="140"/>
              <w:bottom w:type="dxa" w:w="90"/>
              <w:right w:type="dxa" w:w="140"/>
            </w:tcMar>
          </w:tcPr>
          <w:p>
            <w:r>
              <w:rPr>
                <w:b/>
                <w:bCs/>
                <w:color w:val="1A7A4A"/>
                <w:sz w:val="18"/>
                <w:szCs w:val="18"/>
              </w:rPr>
              <w:t xml:space="preserve">Real</w:t>
            </w:r>
          </w:p>
        </w:tc>
      </w:tr>
      <w:tr>
        <w:tc>
          <w:tcPr>
            <w:tcW w:type="dxa" w:w="2500"/>
            <w:shd w:fill="FFFFFF" w:val="clear"/>
            <w:tcMar>
              <w:top w:type="dxa" w:w="90"/>
              <w:left w:type="dxa" w:w="140"/>
              <w:bottom w:type="dxa" w:w="90"/>
              <w:right w:type="dxa" w:w="140"/>
            </w:tcMar>
          </w:tcPr>
          <w:p>
            <w:r>
              <w:rPr>
                <w:b/>
                <w:bCs/>
                <w:color w:val="111114"/>
                <w:sz w:val="18"/>
                <w:szCs w:val="18"/>
              </w:rPr>
              <w:t xml:space="preserve">Company, market and news facts</w:t>
            </w:r>
          </w:p>
        </w:tc>
        <w:tc>
          <w:tcPr>
            <w:tcW w:type="dxa" w:w="3350"/>
            <w:shd w:fill="FFFFFF" w:val="clear"/>
            <w:tcMar>
              <w:top w:type="dxa" w:w="90"/>
              <w:left w:type="dxa" w:w="140"/>
              <w:bottom w:type="dxa" w:w="90"/>
              <w:right w:type="dxa" w:w="140"/>
            </w:tcMar>
          </w:tcPr>
          <w:p>
            <w:r>
              <w:rPr>
                <w:b w:val="false"/>
                <w:bCs w:val="false"/>
                <w:color w:val="222222"/>
                <w:sz w:val="18"/>
                <w:szCs w:val="18"/>
              </w:rPr>
              <w:t xml:space="preserve">Public filings, earnings calls, news and industry press (linked in research.md)</w:t>
            </w:r>
          </w:p>
        </w:tc>
        <w:tc>
          <w:tcPr>
            <w:tcW w:type="dxa" w:w="2350"/>
            <w:shd w:fill="FFFFFF" w:val="clear"/>
            <w:tcMar>
              <w:top w:type="dxa" w:w="90"/>
              <w:left w:type="dxa" w:w="140"/>
              <w:bottom w:type="dxa" w:w="90"/>
              <w:right w:type="dxa" w:w="140"/>
            </w:tcMar>
          </w:tcPr>
          <w:p>
            <w:r>
              <w:rPr>
                <w:b w:val="false"/>
                <w:bCs w:val="false"/>
                <w:color w:val="222222"/>
                <w:sz w:val="18"/>
                <w:szCs w:val="18"/>
              </w:rPr>
              <w:t xml:space="preserve">3 public events, 3 competitor profiles</w:t>
            </w:r>
          </w:p>
        </w:tc>
        <w:tc>
          <w:tcPr>
            <w:tcW w:type="dxa" w:w="1150"/>
            <w:shd w:fill="FFFFFF" w:val="clear"/>
            <w:tcMar>
              <w:top w:type="dxa" w:w="90"/>
              <w:left w:type="dxa" w:w="140"/>
              <w:bottom w:type="dxa" w:w="90"/>
              <w:right w:type="dxa" w:w="140"/>
            </w:tcMar>
          </w:tcPr>
          <w:p>
            <w:r>
              <w:rPr>
                <w:b/>
                <w:bCs/>
                <w:color w:val="1A7A4A"/>
                <w:sz w:val="18"/>
                <w:szCs w:val="18"/>
              </w:rPr>
              <w:t xml:space="preserve">Real</w:t>
            </w:r>
          </w:p>
        </w:tc>
      </w:tr>
      <w:tr>
        <w:tc>
          <w:tcPr>
            <w:tcW w:type="dxa" w:w="2500"/>
            <w:shd w:fill="F7F7F5" w:val="clear"/>
            <w:tcMar>
              <w:top w:type="dxa" w:w="90"/>
              <w:left w:type="dxa" w:w="140"/>
              <w:bottom w:type="dxa" w:w="90"/>
              <w:right w:type="dxa" w:w="140"/>
            </w:tcMar>
          </w:tcPr>
          <w:p>
            <w:r>
              <w:rPr>
                <w:b/>
                <w:bCs/>
                <w:color w:val="111114"/>
                <w:sz w:val="18"/>
                <w:szCs w:val="18"/>
              </w:rPr>
              <w:t xml:space="preserve">Contact-centre volumes, drivers and KPIs</w:t>
            </w:r>
          </w:p>
        </w:tc>
        <w:tc>
          <w:tcPr>
            <w:tcW w:type="dxa" w:w="3350"/>
            <w:shd w:fill="F7F7F5" w:val="clear"/>
            <w:tcMar>
              <w:top w:type="dxa" w:w="90"/>
              <w:left w:type="dxa" w:w="140"/>
              <w:bottom w:type="dxa" w:w="90"/>
              <w:right w:type="dxa" w:w="140"/>
            </w:tcMar>
          </w:tcPr>
          <w:p>
            <w:r>
              <w:rPr>
                <w:b w:val="false"/>
                <w:bCs w:val="false"/>
                <w:color w:val="222222"/>
                <w:sz w:val="18"/>
                <w:szCs w:val="18"/>
              </w:rPr>
              <w:t xml:space="preserve">Modelled, calibrated to the public themes. Apex Utilities has not shared operational data</w:t>
            </w:r>
          </w:p>
        </w:tc>
        <w:tc>
          <w:tcPr>
            <w:tcW w:type="dxa" w:w="2350"/>
            <w:shd w:fill="F7F7F5" w:val="clear"/>
            <w:tcMar>
              <w:top w:type="dxa" w:w="90"/>
              <w:left w:type="dxa" w:w="140"/>
              <w:bottom w:type="dxa" w:w="90"/>
              <w:right w:type="dxa" w:w="140"/>
            </w:tcMar>
          </w:tcPr>
          <w:p>
            <w:r>
              <w:rPr>
                <w:b w:val="false"/>
                <w:bCs w:val="false"/>
                <w:color w:val="222222"/>
                <w:sz w:val="18"/>
                <w:szCs w:val="18"/>
              </w:rPr>
              <w:t xml:space="preserve">3,200 contacts/week x 5 weeks = 16,000 contacts, 10 driver categories</w:t>
            </w:r>
          </w:p>
        </w:tc>
        <w:tc>
          <w:tcPr>
            <w:tcW w:type="dxa" w:w="1150"/>
            <w:shd w:fill="F7F7F5" w:val="clear"/>
            <w:tcMar>
              <w:top w:type="dxa" w:w="90"/>
              <w:left w:type="dxa" w:w="140"/>
              <w:bottom w:type="dxa" w:w="90"/>
              <w:right w:type="dxa" w:w="140"/>
            </w:tcMar>
          </w:tcPr>
          <w:p>
            <w:r>
              <w:rPr>
                <w:b/>
                <w:bCs/>
                <w:color w:val="B45309"/>
                <w:sz w:val="18"/>
                <w:szCs w:val="18"/>
              </w:rPr>
              <w:t xml:space="preserve">Synthetic</w:t>
            </w:r>
          </w:p>
        </w:tc>
      </w:tr>
      <w:tr>
        <w:tc>
          <w:tcPr>
            <w:tcW w:type="dxa" w:w="2500"/>
            <w:shd w:fill="FFFFFF" w:val="clear"/>
            <w:tcMar>
              <w:top w:type="dxa" w:w="90"/>
              <w:left w:type="dxa" w:w="140"/>
              <w:bottom w:type="dxa" w:w="90"/>
              <w:right w:type="dxa" w:w="140"/>
            </w:tcMar>
          </w:tcPr>
          <w:p>
            <w:r>
              <w:rPr>
                <w:b/>
                <w:bCs/>
                <w:color w:val="111114"/>
                <w:sz w:val="18"/>
                <w:szCs w:val="18"/>
              </w:rPr>
              <w:t xml:space="preserve">Contact records, agents, transcripts and QA scores</w:t>
            </w:r>
          </w:p>
        </w:tc>
        <w:tc>
          <w:tcPr>
            <w:tcW w:type="dxa" w:w="3350"/>
            <w:shd w:fill="FFFFFF" w:val="clear"/>
            <w:tcMar>
              <w:top w:type="dxa" w:w="90"/>
              <w:left w:type="dxa" w:w="140"/>
              <w:bottom w:type="dxa" w:w="90"/>
              <w:right w:type="dxa" w:w="140"/>
            </w:tcMar>
          </w:tcPr>
          <w:p>
            <w:r>
              <w:rPr>
                <w:b w:val="false"/>
                <w:bCs w:val="false"/>
                <w:color w:val="222222"/>
                <w:sz w:val="18"/>
                <w:szCs w:val="18"/>
              </w:rPr>
              <w:t xml:space="preserve">Generated from the story spec (seeded, reproducible)</w:t>
            </w:r>
          </w:p>
        </w:tc>
        <w:tc>
          <w:tcPr>
            <w:tcW w:type="dxa" w:w="2350"/>
            <w:shd w:fill="FFFFFF" w:val="clear"/>
            <w:tcMar>
              <w:top w:type="dxa" w:w="90"/>
              <w:left w:type="dxa" w:w="140"/>
              <w:bottom w:type="dxa" w:w="90"/>
              <w:right w:type="dxa" w:w="140"/>
            </w:tcMar>
          </w:tcPr>
          <w:p>
            <w:r>
              <w:rPr>
                <w:b w:val="false"/>
                <w:bCs w:val="false"/>
                <w:color w:val="222222"/>
                <w:sz w:val="18"/>
                <w:szCs w:val="18"/>
              </w:rPr>
              <w:t xml:space="preserve">807 contacts, 10 agents, one transcript and 14-question scorecard per contact</w:t>
            </w:r>
          </w:p>
        </w:tc>
        <w:tc>
          <w:tcPr>
            <w:tcW w:type="dxa" w:w="1150"/>
            <w:shd w:fill="FFFFFF" w:val="clear"/>
            <w:tcMar>
              <w:top w:type="dxa" w:w="90"/>
              <w:left w:type="dxa" w:w="140"/>
              <w:bottom w:type="dxa" w:w="90"/>
              <w:right w:type="dxa" w:w="140"/>
            </w:tcMar>
          </w:tcPr>
          <w:p>
            <w:r>
              <w:rPr>
                <w:b/>
                <w:bCs/>
                <w:color w:val="B45309"/>
                <w:sz w:val="18"/>
                <w:szCs w:val="18"/>
              </w:rPr>
              <w:t xml:space="preserve">Synthetic</w:t>
            </w:r>
          </w:p>
        </w:tc>
      </w:tr>
      <w:tr>
        <w:tc>
          <w:tcPr>
            <w:tcW w:type="dxa" w:w="2500"/>
            <w:shd w:fill="F7F7F5" w:val="clear"/>
            <w:tcMar>
              <w:top w:type="dxa" w:w="90"/>
              <w:left w:type="dxa" w:w="140"/>
              <w:bottom w:type="dxa" w:w="90"/>
              <w:right w:type="dxa" w:w="140"/>
            </w:tcMar>
          </w:tcPr>
          <w:p>
            <w:r>
              <w:rPr>
                <w:b/>
                <w:bCs/>
                <w:color w:val="111114"/>
                <w:sz w:val="18"/>
                <w:szCs w:val="18"/>
              </w:rPr>
              <w:t xml:space="preserve">Coaching effect</w:t>
            </w:r>
          </w:p>
        </w:tc>
        <w:tc>
          <w:tcPr>
            <w:tcW w:type="dxa" w:w="3350"/>
            <w:shd w:fill="F7F7F5" w:val="clear"/>
            <w:tcMar>
              <w:top w:type="dxa" w:w="90"/>
              <w:left w:type="dxa" w:w="140"/>
              <w:bottom w:type="dxa" w:w="90"/>
              <w:right w:type="dxa" w:w="140"/>
            </w:tcMar>
          </w:tcPr>
          <w:p>
            <w:r>
              <w:rPr>
                <w:b w:val="false"/>
                <w:bCs w:val="false"/>
                <w:color w:val="222222"/>
                <w:sz w:val="18"/>
                <w:szCs w:val="18"/>
              </w:rPr>
              <w:t xml:space="preserve">Modelled outcome of Micro Coaching from week 2</w:t>
            </w:r>
          </w:p>
        </w:tc>
        <w:tc>
          <w:tcPr>
            <w:tcW w:type="dxa" w:w="2350"/>
            <w:shd w:fill="F7F7F5" w:val="clear"/>
            <w:tcMar>
              <w:top w:type="dxa" w:w="90"/>
              <w:left w:type="dxa" w:w="140"/>
              <w:bottom w:type="dxa" w:w="90"/>
              <w:right w:type="dxa" w:w="140"/>
            </w:tcMar>
          </w:tcPr>
          <w:p>
            <w:r>
              <w:rPr>
                <w:b w:val="false"/>
                <w:bCs w:val="false"/>
                <w:color w:val="222222"/>
                <w:sz w:val="18"/>
                <w:szCs w:val="18"/>
              </w:rPr>
              <w:t xml:space="preserve">Continuation CSAT 2.0 → 2.9</w:t>
            </w:r>
          </w:p>
        </w:tc>
        <w:tc>
          <w:tcPr>
            <w:tcW w:type="dxa" w:w="1150"/>
            <w:shd w:fill="F7F7F5" w:val="clear"/>
            <w:tcMar>
              <w:top w:type="dxa" w:w="90"/>
              <w:left w:type="dxa" w:w="140"/>
              <w:bottom w:type="dxa" w:w="90"/>
              <w:right w:type="dxa" w:w="140"/>
            </w:tcMar>
          </w:tcPr>
          <w:p>
            <w:r>
              <w:rPr>
                <w:b/>
                <w:bCs/>
                <w:color w:val="B45309"/>
                <w:sz w:val="18"/>
                <w:szCs w:val="18"/>
              </w:rPr>
              <w:t xml:space="preserve">Synthetic</w:t>
            </w:r>
          </w:p>
        </w:tc>
      </w:tr>
      <w:tr>
        <w:tc>
          <w:tcPr>
            <w:tcW w:type="dxa" w:w="2500"/>
            <w:shd w:fill="FFFFFF" w:val="clear"/>
            <w:tcMar>
              <w:top w:type="dxa" w:w="90"/>
              <w:left w:type="dxa" w:w="140"/>
              <w:bottom w:type="dxa" w:w="90"/>
              <w:right w:type="dxa" w:w="140"/>
            </w:tcMar>
          </w:tcPr>
          <w:p>
            <w:r>
              <w:rPr>
                <w:b/>
                <w:bCs/>
                <w:color w:val="111114"/>
                <w:sz w:val="18"/>
                <w:szCs w:val="18"/>
              </w:rPr>
              <w:t xml:space="preserve">Financial exposure</w:t>
            </w:r>
          </w:p>
        </w:tc>
        <w:tc>
          <w:tcPr>
            <w:tcW w:type="dxa" w:w="3350"/>
            <w:shd w:fill="FFFFFF" w:val="clear"/>
            <w:tcMar>
              <w:top w:type="dxa" w:w="90"/>
              <w:left w:type="dxa" w:w="140"/>
              <w:bottom w:type="dxa" w:w="90"/>
              <w:right w:type="dxa" w:w="140"/>
            </w:tcMar>
          </w:tcPr>
          <w:p>
            <w:r>
              <w:rPr>
                <w:b w:val="false"/>
                <w:bCs w:val="false"/>
                <w:color w:val="222222"/>
                <w:sz w:val="18"/>
                <w:szCs w:val="18"/>
              </w:rPr>
              <w:t xml:space="preserve">Assumed CA$6 cost per handled contact (a blended estimate, not an Apex figure) and one avoidable repeat contact per affected customer; affected customers per week are modelled</w:t>
            </w:r>
          </w:p>
        </w:tc>
        <w:tc>
          <w:tcPr>
            <w:tcW w:type="dxa" w:w="2350"/>
            <w:shd w:fill="FFFFFF" w:val="clear"/>
            <w:tcMar>
              <w:top w:type="dxa" w:w="90"/>
              <w:left w:type="dxa" w:w="140"/>
              <w:bottom w:type="dxa" w:w="90"/>
              <w:right w:type="dxa" w:w="140"/>
            </w:tcMar>
          </w:tcPr>
          <w:p>
            <w:r>
              <w:rPr>
                <w:b w:val="false"/>
                <w:bCs w:val="false"/>
                <w:color w:val="222222"/>
                <w:sz w:val="18"/>
                <w:szCs w:val="18"/>
              </w:rPr>
              <w:t xml:space="preserve">Computed live from editable inputs</w:t>
            </w:r>
          </w:p>
        </w:tc>
        <w:tc>
          <w:tcPr>
            <w:tcW w:type="dxa" w:w="1150"/>
            <w:shd w:fill="FFFFFF" w:val="clear"/>
            <w:tcMar>
              <w:top w:type="dxa" w:w="90"/>
              <w:left w:type="dxa" w:w="140"/>
              <w:bottom w:type="dxa" w:w="90"/>
              <w:right w:type="dxa" w:w="140"/>
            </w:tcMar>
          </w:tcPr>
          <w:p>
            <w:r>
              <w:rPr>
                <w:b/>
                <w:bCs/>
                <w:color w:val="B45309"/>
                <w:sz w:val="18"/>
                <w:szCs w:val="18"/>
              </w:rPr>
              <w:t xml:space="preserve">Synthetic</w:t>
            </w:r>
          </w:p>
        </w:tc>
      </w:tr>
    </w:tbl>
    <w:p>
      <w:pPr>
        <w:spacing w:after="120"/>
      </w:pPr>
    </w:p>
    <w:p>
      <w:pPr>
        <w:spacing w:after="160"/>
      </w:pPr>
      <w:r>
        <w:rPr>
          <w:b/>
          <w:bCs/>
          <w:color w:val="111114"/>
          <w:sz w:val="21"/>
          <w:szCs w:val="21"/>
        </w:rPr>
        <w:t xml:space="preserve">What this means when you present it: </w:t>
      </w:r>
      <w:r>
        <w:rPr>
          <w:color w:val="222222"/>
          <w:sz w:val="21"/>
          <w:szCs w:val="21"/>
        </w:rPr>
        <w:t xml:space="preserve">Everything a client could look up themselves is real. Everything about Apex Utilities's own contact centre is modelled to match it, and is labelled as modelled in the demo.</w:t>
      </w:r>
    </w:p>
    <w:p>
      <w:pPr>
        <w:spacing w:after="200"/>
      </w:pPr>
    </w:p>
    <w:p>
      <w:pPr>
        <w:pStyle w:val="Heading1"/>
        <w:pBdr>
          <w:bottom w:val="single" w:color="FF4B3E" w:sz="6" w:space="4"/>
        </w:pBdr>
        <w:spacing w:after="200" w:before="400"/>
      </w:pPr>
      <w:r>
        <w:rPr>
          <w:b/>
          <w:bCs/>
          <w:color w:val="111114"/>
          <w:sz w:val="30"/>
          <w:szCs w:val="30"/>
        </w:rPr>
        <w:t xml:space="preserve">2. Company Overview</w:t>
      </w:r>
    </w:p>
    <w:p>
      <w:pPr>
        <w:spacing w:after="80" w:before="180"/>
      </w:pPr>
      <w:r>
        <w:rPr>
          <w:b/>
          <w:bCs/>
          <w:color w:val="111114"/>
          <w:sz w:val="21"/>
          <w:szCs w:val="21"/>
        </w:rPr>
        <w:t xml:space="preserve">What they do &amp; how they make money</w:t>
      </w:r>
    </w:p>
    <w:p>
      <w:pPr>
        <w:spacing w:after="160"/>
      </w:pPr>
      <w:r>
        <w:rPr>
          <w:color w:val="222222"/>
          <w:sz w:val="21"/>
          <w:szCs w:val="21"/>
        </w:rPr>
        <w:t xml:space="preserve">Apex Utilities distributes natural gas to roughly 82,000-85,000 residential, farm, and small-commercial customers across 90+ communities in Alberta, owning about 21,000 km of distribution pipeline out of 14 district offices headquartered in Leduc, AB. It's a cost-of-service / performance-based-rate (PBR) regulated distributor under the Alberta Utilities Commission (AUC) — customers pay a regulated distribution charge plus pass-through gas commodity cost, with no distribution-side price competition since Apex is the sole franchisee in its territories.</w:t>
      </w:r>
    </w:p>
    <w:p>
      <w:pPr>
        <w:spacing w:after="80" w:before="180"/>
      </w:pPr>
      <w:r>
        <w:rPr>
          <w:b/>
          <w:bCs/>
          <w:color w:val="111114"/>
          <w:sz w:val="21"/>
          <w:szCs w:val="21"/>
        </w:rPr>
        <w:t xml:space="preserve">Where CX sits in the business</w:t>
      </w:r>
    </w:p>
    <w:p>
      <w:pPr>
        <w:spacing w:after="160"/>
      </w:pPr>
      <w:r>
        <w:rPr>
          <w:color w:val="222222"/>
          <w:sz w:val="21"/>
          <w:szCs w:val="21"/>
        </w:rPr>
        <w:t xml:space="preserve">Trust-and-safety-critical, not a brand differentiator. Gas-emergency response, billing accuracy, and clear communication of AUC-approved rate changes carry real safety and regulatory stakes, but contact-centre quality cannot drive acquisition or retention — customers cannot choose their distributor, confirmed by Alberta's own Utilities Consumer Advocate. This reframes the value story: QiQ isn't protecting revenue from churn here, it's reducing avoidable repeat-contact cost, complaint-escalation-to-AUC risk, and reputational drag ahead of Apex's next rate case.</w:t>
      </w:r>
    </w:p>
    <w:p>
      <w:pPr>
        <w:spacing w:after="80" w:before="180"/>
      </w:pPr>
      <w:r>
        <w:rPr>
          <w:b/>
          <w:bCs/>
          <w:color w:val="111114"/>
          <w:sz w:val="21"/>
          <w:szCs w:val="21"/>
        </w:rPr>
        <w:t xml:space="preserve">Market position</w:t>
      </w:r>
    </w:p>
    <w:p>
      <w:pPr>
        <w:spacing w:after="160"/>
      </w:pPr>
      <w:r>
        <w:rPr>
          <w:color w:val="222222"/>
          <w:sz w:val="21"/>
          <w:szCs w:val="21"/>
        </w:rPr>
        <w:t xml:space="preserve">One of Alberta's AUC-regulated gas distributors, alongside ATCO Gas North and ATCO Gas South. Market share by customer count isn't publicly disclosed; ATCO's gas franchises are understood to be substantially larger province-wide, but Apex is the incumbent with no distribution competitor across its own ~90 communities. Demo scope is confirmed as gas-only, even though one third-party source (the Utilities Consumer Advocate's distributor list) also lists Apex among Alberta's regulated electricity distributors.</w:t>
      </w:r>
    </w:p>
    <w:p>
      <w:pPr>
        <w:spacing w:after="80" w:before="180"/>
      </w:pPr>
      <w:r>
        <w:rPr>
          <w:b/>
          <w:bCs/>
          <w:color w:val="111114"/>
          <w:sz w:val="21"/>
          <w:szCs w:val="21"/>
        </w:rPr>
        <w:t xml:space="preserve">Target segments</w:t>
      </w:r>
    </w:p>
    <w:p>
      <w:pPr>
        <w:pStyle w:val="ListParagraph"/>
        <w:numPr>
          <w:ilvl w:val="0"/>
          <w:numId w:val="2"/>
        </w:numPr>
        <w:spacing w:after="90"/>
      </w:pPr>
      <w:r>
        <w:rPr>
          <w:color w:val="222222"/>
          <w:sz w:val="21"/>
          <w:szCs w:val="21"/>
        </w:rPr>
        <w:t xml:space="preserve">Residential homeowners</w:t>
      </w:r>
    </w:p>
    <w:p>
      <w:pPr>
        <w:pStyle w:val="ListParagraph"/>
        <w:numPr>
          <w:ilvl w:val="0"/>
          <w:numId w:val="2"/>
        </w:numPr>
        <w:spacing w:after="90"/>
      </w:pPr>
      <w:r>
        <w:rPr>
          <w:color w:val="222222"/>
          <w:sz w:val="21"/>
          <w:szCs w:val="21"/>
        </w:rPr>
        <w:t xml:space="preserve">Small businesses</w:t>
      </w:r>
    </w:p>
    <w:p>
      <w:pPr>
        <w:pStyle w:val="ListParagraph"/>
        <w:numPr>
          <w:ilvl w:val="0"/>
          <w:numId w:val="2"/>
        </w:numPr>
        <w:spacing w:after="90"/>
      </w:pPr>
      <w:r>
        <w:rPr>
          <w:color w:val="222222"/>
          <w:sz w:val="21"/>
          <w:szCs w:val="21"/>
        </w:rPr>
        <w:t xml:space="preserve">Large energy users (Rate 2, over 4,000 GJ/year)</w:t>
      </w:r>
    </w:p>
    <w:p>
      <w:pPr>
        <w:pStyle w:val="ListParagraph"/>
        <w:numPr>
          <w:ilvl w:val="0"/>
          <w:numId w:val="2"/>
        </w:numPr>
        <w:spacing w:after="90"/>
      </w:pPr>
      <w:r>
        <w:rPr>
          <w:color w:val="222222"/>
          <w:sz w:val="21"/>
          <w:szCs w:val="21"/>
        </w:rPr>
        <w:t xml:space="preserve">Developers and builders</w:t>
      </w:r>
    </w:p>
    <w:p>
      <w:pPr>
        <w:pStyle w:val="ListParagraph"/>
        <w:numPr>
          <w:ilvl w:val="0"/>
          <w:numId w:val="2"/>
        </w:numPr>
        <w:spacing w:after="90"/>
      </w:pPr>
      <w:r>
        <w:rPr>
          <w:color w:val="222222"/>
          <w:sz w:val="21"/>
          <w:szCs w:val="21"/>
        </w:rPr>
        <w:t xml:space="preserve">Landlords</w:t>
      </w:r>
    </w:p>
    <w:p>
      <w:pPr>
        <w:pStyle w:val="ListParagraph"/>
        <w:numPr>
          <w:ilvl w:val="0"/>
          <w:numId w:val="2"/>
        </w:numPr>
        <w:spacing w:after="90"/>
      </w:pPr>
      <w:r>
        <w:rPr>
          <w:color w:val="222222"/>
          <w:sz w:val="21"/>
          <w:szCs w:val="21"/>
        </w:rPr>
        <w:t xml:space="preserve">Municipal and rural franchises</w:t>
      </w:r>
    </w:p>
    <w:p>
      <w:pPr>
        <w:pStyle w:val="ListParagraph"/>
        <w:numPr>
          <w:ilvl w:val="0"/>
          <w:numId w:val="2"/>
        </w:numPr>
        <w:spacing w:after="90"/>
      </w:pPr>
      <w:r>
        <w:rPr>
          <w:color w:val="222222"/>
          <w:sz w:val="21"/>
          <w:szCs w:val="21"/>
        </w:rPr>
        <w:t xml:space="preserve">First Nations communities and Métis Settlements</w:t>
      </w:r>
    </w:p>
    <w:p>
      <w:pPr>
        <w:pStyle w:val="ListParagraph"/>
        <w:numPr>
          <w:ilvl w:val="0"/>
          <w:numId w:val="2"/>
        </w:numPr>
        <w:spacing w:after="90"/>
      </w:pPr>
      <w:r>
        <w:rPr>
          <w:color w:val="222222"/>
          <w:sz w:val="21"/>
          <w:szCs w:val="21"/>
        </w:rPr>
        <w:t xml:space="preserve">Irrigation accounts</w:t>
      </w:r>
    </w:p>
    <w:p>
      <w:pPr>
        <w:spacing w:after="80"/>
      </w:pPr>
    </w:p>
    <w:p>
      <w:pPr>
        <w:pStyle w:val="Heading1"/>
        <w:pBdr>
          <w:bottom w:val="single" w:color="FF4B3E" w:sz="6" w:space="4"/>
        </w:pBdr>
        <w:spacing w:after="200" w:before="400"/>
      </w:pPr>
      <w:r>
        <w:rPr>
          <w:b/>
          <w:bCs/>
          <w:color w:val="111114"/>
          <w:sz w:val="30"/>
          <w:szCs w:val="30"/>
        </w:rPr>
        <w:t xml:space="preserve">3. Competitive Landscape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11114" w:val="clear"/>
            <w:tcMar>
              <w:top w:type="dxa" w:w="100"/>
              <w:left w:type="dxa" w:w="160"/>
              <w:bottom w:type="dxa" w:w="100"/>
              <w:right w:type="dxa" w:w="160"/>
            </w:tcMar>
          </w:tcPr>
          <w:p>
            <w:r>
              <w:rPr>
                <w:b/>
                <w:bCs/>
                <w:color w:val="FFFFFF"/>
                <w:sz w:val="20"/>
                <w:szCs w:val="20"/>
              </w:rPr>
              <w:t xml:space="preserve">Competitor</w:t>
            </w:r>
          </w:p>
        </w:tc>
        <w:tc>
          <w:tcPr>
            <w:tcW w:type="dxa" w:w="6750"/>
            <w:shd w:fill="111114" w:val="clear"/>
            <w:tcMar>
              <w:top w:type="dxa" w:w="100"/>
              <w:left w:type="dxa" w:w="160"/>
              <w:bottom w:type="dxa" w:w="100"/>
              <w:right w:type="dxa" w:w="160"/>
            </w:tcMar>
          </w:tcPr>
          <w:p>
            <w:r>
              <w:rPr>
                <w:b/>
                <w:bCs/>
                <w:color w:val="FFFFFF"/>
                <w:sz w:val="20"/>
                <w:szCs w:val="20"/>
              </w:rPr>
              <w:t xml:space="preserve">Positioning</w:t>
            </w:r>
          </w:p>
        </w:tc>
      </w:tr>
      <w:tr>
        <w:tc>
          <w:tcPr>
            <w:tcW w:type="dxa" w:w="2600"/>
            <w:shd w:fill="FFFFFF" w:val="clear"/>
            <w:tcMar>
              <w:top w:type="dxa" w:w="100"/>
              <w:left w:type="dxa" w:w="160"/>
              <w:bottom w:type="dxa" w:w="100"/>
              <w:right w:type="dxa" w:w="160"/>
            </w:tcMar>
          </w:tcPr>
          <w:p>
            <w:r>
              <w:rPr>
                <w:b/>
                <w:bCs/>
                <w:color w:val="111114"/>
                <w:sz w:val="19"/>
                <w:szCs w:val="19"/>
              </w:rPr>
              <w:t xml:space="preserve">ATCO Gas (North/South)</w:t>
            </w:r>
          </w:p>
        </w:tc>
        <w:tc>
          <w:tcPr>
            <w:tcW w:type="dxa" w:w="6750"/>
            <w:shd w:fill="FFFFFF" w:val="clear"/>
            <w:tcMar>
              <w:top w:type="dxa" w:w="100"/>
              <w:left w:type="dxa" w:w="160"/>
              <w:bottom w:type="dxa" w:w="100"/>
              <w:right w:type="dxa" w:w="160"/>
            </w:tcMar>
          </w:tcPr>
          <w:p>
            <w:r>
              <w:rPr>
                <w:color w:val="222222"/>
                <w:sz w:val="19"/>
                <w:szCs w:val="19"/>
              </w:rPr>
              <w:t xml:space="preserve">Much larger AUC-regulated gas distributor covering the rest of Alberta outside Apex's franchise territory. Not a head-to-head competitor for the same customer, but the natural comparator utility Alberta regulators and media benchmark rates and service against.</w:t>
            </w:r>
          </w:p>
        </w:tc>
      </w:tr>
      <w:tr>
        <w:tc>
          <w:tcPr>
            <w:tcW w:type="dxa" w:w="2600"/>
            <w:shd w:fill="F7F7F5" w:val="clear"/>
            <w:tcMar>
              <w:top w:type="dxa" w:w="100"/>
              <w:left w:type="dxa" w:w="160"/>
              <w:bottom w:type="dxa" w:w="100"/>
              <w:right w:type="dxa" w:w="160"/>
            </w:tcMar>
          </w:tcPr>
          <w:p>
            <w:r>
              <w:rPr>
                <w:b/>
                <w:bCs/>
                <w:color w:val="111114"/>
                <w:sz w:val="19"/>
                <w:szCs w:val="19"/>
              </w:rPr>
              <w:t xml:space="preserve">FortisAlberta / ENMAX Power / EPCOR</w:t>
            </w:r>
          </w:p>
        </w:tc>
        <w:tc>
          <w:tcPr>
            <w:tcW w:type="dxa" w:w="6750"/>
            <w:shd w:fill="F7F7F5" w:val="clear"/>
            <w:tcMar>
              <w:top w:type="dxa" w:w="100"/>
              <w:left w:type="dxa" w:w="160"/>
              <w:bottom w:type="dxa" w:w="100"/>
              <w:right w:type="dxa" w:w="160"/>
            </w:tcMar>
          </w:tcPr>
          <w:p>
            <w:r>
              <w:rPr>
                <w:color w:val="222222"/>
                <w:sz w:val="19"/>
                <w:szCs w:val="19"/>
              </w:rPr>
              <w:t xml:space="preserve">Regulated Alberta electricity distributors — not gas competitors, but they set the province-wide bar customers implicitly compare any regulated-utility billing experience against, especially amid Alberta's sharp electricity price increases.</w:t>
            </w:r>
          </w:p>
        </w:tc>
      </w:tr>
      <w:tr>
        <w:tc>
          <w:tcPr>
            <w:tcW w:type="dxa" w:w="2600"/>
            <w:shd w:fill="FFFFFF" w:val="clear"/>
            <w:tcMar>
              <w:top w:type="dxa" w:w="100"/>
              <w:left w:type="dxa" w:w="160"/>
              <w:bottom w:type="dxa" w:w="100"/>
              <w:right w:type="dxa" w:w="160"/>
            </w:tcMar>
          </w:tcPr>
          <w:p>
            <w:r>
              <w:rPr>
                <w:b/>
                <w:bCs/>
                <w:color w:val="111114"/>
                <w:sz w:val="19"/>
                <w:szCs w:val="19"/>
              </w:rPr>
              <w:t xml:space="preserve">Direct Energy / ATCO Energy / other competitive retailers</w:t>
            </w:r>
          </w:p>
        </w:tc>
        <w:tc>
          <w:tcPr>
            <w:tcW w:type="dxa" w:w="6750"/>
            <w:shd w:fill="FFFFFF" w:val="clear"/>
            <w:tcMar>
              <w:top w:type="dxa" w:w="100"/>
              <w:left w:type="dxa" w:w="160"/>
              <w:bottom w:type="dxa" w:w="100"/>
              <w:right w:type="dxa" w:w="160"/>
            </w:tcMar>
          </w:tcPr>
          <w:p>
            <w:r>
              <w:rPr>
                <w:color w:val="222222"/>
                <w:sz w:val="19"/>
                <w:szCs w:val="19"/>
              </w:rPr>
              <w:t xml:space="preserve">Compete for the retail (commodity-supply) contract layered on top of Apex's fixed distribution service. A customer can switch retailer but not distributor, so retailer-side dissatisfaction can still land as a misdirected call to Apex.</w:t>
            </w:r>
          </w:p>
        </w:tc>
      </w:tr>
    </w:tbl>
    <w:p>
      <w:pPr>
        <w:spacing w:after="200"/>
      </w:pPr>
    </w:p>
    <w:p>
      <w:pPr>
        <w:pStyle w:val="Heading1"/>
        <w:pBdr>
          <w:bottom w:val="single" w:color="FF4B3E" w:sz="6" w:space="4"/>
        </w:pBdr>
        <w:spacing w:after="200" w:before="400"/>
      </w:pPr>
      <w:r>
        <w:rPr>
          <w:b/>
          <w:bCs/>
          <w:color w:val="111114"/>
          <w:sz w:val="30"/>
          <w:szCs w:val="30"/>
        </w:rPr>
        <w:t xml:space="preserve">4. Recent Strategic Moves</w:t>
      </w:r>
    </w:p>
    <w:p>
      <w:pPr>
        <w:pStyle w:val="ListParagraph"/>
        <w:numPr>
          <w:ilvl w:val="0"/>
          <w:numId w:val="2"/>
        </w:numPr>
        <w:spacing w:after="90"/>
      </w:pPr>
      <w:r>
        <w:rPr>
          <w:b/>
          <w:bCs/>
          <w:color w:val="111114"/>
          <w:sz w:val="21"/>
          <w:szCs w:val="21"/>
        </w:rPr>
        <w:t xml:space="preserve">2026-08-01 (effective) — </w:t>
      </w:r>
      <w:r>
        <w:rPr>
          <w:color w:val="222222"/>
          <w:sz w:val="21"/>
          <w:szCs w:val="21"/>
        </w:rPr>
        <w:t xml:space="preserve">Phase 2 General Rate Application restructures customer rate classes — Rate 1 redefined as under 4,000 GJ/year, Rate 2 (over 4,000 GJ) now mandatory for qualifying usage, irrigation accounts harmonized into Rate 1. Apex's own FAQ dedicates 10 separate questions to explaining the change.</w:t>
      </w:r>
    </w:p>
    <w:p>
      <w:pPr>
        <w:pStyle w:val="ListParagraph"/>
        <w:numPr>
          <w:ilvl w:val="0"/>
          <w:numId w:val="2"/>
        </w:numPr>
        <w:spacing w:after="90"/>
      </w:pPr>
      <w:r>
        <w:rPr>
          <w:b/>
          <w:bCs/>
          <w:color w:val="111114"/>
          <w:sz w:val="21"/>
          <w:szCs w:val="21"/>
        </w:rPr>
        <w:t xml:space="preserve">2025-12 (approx.) — </w:t>
      </w:r>
      <w:r>
        <w:rPr>
          <w:color w:val="222222"/>
          <w:sz w:val="21"/>
          <w:szCs w:val="21"/>
        </w:rPr>
        <w:t xml:space="preserve">AUC Decision 30302-D01-2025 set Apex's 2026 Annual Performance-Based Rate (PBR).</w:t>
      </w:r>
    </w:p>
    <w:p>
      <w:pPr>
        <w:pStyle w:val="ListParagraph"/>
        <w:numPr>
          <w:ilvl w:val="0"/>
          <w:numId w:val="2"/>
        </w:numPr>
        <w:spacing w:after="90"/>
      </w:pPr>
      <w:r>
        <w:rPr>
          <w:b/>
          <w:bCs/>
          <w:color w:val="111114"/>
          <w:sz w:val="21"/>
          <w:szCs w:val="21"/>
        </w:rPr>
        <w:t xml:space="preserve">2025 construction season (confirmed completed) — </w:t>
      </w:r>
      <w:r>
        <w:rPr>
          <w:color w:val="222222"/>
          <w:sz w:val="21"/>
          <w:szCs w:val="21"/>
        </w:rPr>
        <w:t xml:space="preserve">System Betterment Program — replacing pre-1975 distribution pipe and upgrading metering/pressure systems — completed confirmed work in the Towns of High Level and Hanna and in Sturgeon County. Apex's stated process is advance customer notices plus local-newspaper and social-media updates during the work; the next construction season was already in planning as of this research.</w:t>
      </w:r>
    </w:p>
    <w:p>
      <w:pPr>
        <w:pStyle w:val="ListParagraph"/>
        <w:numPr>
          <w:ilvl w:val="0"/>
          <w:numId w:val="2"/>
        </w:numPr>
        <w:spacing w:after="90"/>
      </w:pPr>
      <w:r>
        <w:rPr>
          <w:b/>
          <w:bCs/>
          <w:color w:val="111114"/>
          <w:sz w:val="21"/>
          <w:szCs w:val="21"/>
        </w:rPr>
        <w:t xml:space="preserve">2020 — </w:t>
      </w:r>
      <w:r>
        <w:rPr>
          <w:color w:val="222222"/>
          <w:sz w:val="21"/>
          <w:szCs w:val="21"/>
        </w:rPr>
        <w:t xml:space="preserve">Rebranded from AltaGas Utilities Inc. to Apex Utilities Inc. after AltaGas Canada was acquired and the business moved under new parent TriSummit Utilities Inc. — Apex's fifth name change since 1951.</w:t>
      </w:r>
    </w:p>
    <w:p>
      <w:pPr>
        <w:pStyle w:val="ListParagraph"/>
        <w:numPr>
          <w:ilvl w:val="0"/>
          <w:numId w:val="2"/>
        </w:numPr>
        <w:spacing w:after="90"/>
      </w:pPr>
      <w:r>
        <w:rPr>
          <w:b/>
          <w:bCs/>
          <w:color w:val="111114"/>
          <w:sz w:val="21"/>
          <w:szCs w:val="21"/>
        </w:rPr>
        <w:t xml:space="preserve">2020-2024 (province-wide backdrop) — </w:t>
      </w:r>
      <w:r>
        <w:rPr>
          <w:color w:val="222222"/>
          <w:sz w:val="21"/>
          <w:szCs w:val="21"/>
        </w:rPr>
        <w:t xml:space="preserve">Alberta residential electricity costs rose more than 40% — the sharpest increase of any Canadian province — driven by the 2020 expiry of long-term power purchase agreements. Not a fact about Apex's gas rates directly, but it plausibly primes Alberta utility customers generally to scrutinize any bill increase.</w:t>
      </w:r>
    </w:p>
    <w:p>
      <w:pPr>
        <w:spacing w:after="100"/>
      </w:pPr>
    </w:p>
    <w:p>
      <w:pPr>
        <w:pStyle w:val="Heading1"/>
        <w:pBdr>
          <w:bottom w:val="single" w:color="FF4B3E" w:sz="6" w:space="4"/>
        </w:pBdr>
        <w:spacing w:after="200" w:before="400"/>
      </w:pPr>
      <w:r>
        <w:rPr>
          <w:b/>
          <w:bCs/>
          <w:color w:val="111114"/>
          <w:sz w:val="30"/>
          <w:szCs w:val="30"/>
        </w:rPr>
        <w:t xml:space="preserve">5. Voice of the Customer</w:t>
      </w:r>
    </w:p>
    <w:p>
      <w:pPr>
        <w:spacing w:after="160"/>
      </w:pPr>
      <w:r>
        <w:rPr>
          <w:b/>
          <w:bCs/>
          <w:color w:val="1A7A4A"/>
          <w:sz w:val="20"/>
          <w:szCs w:val="20"/>
        </w:rPr>
        <w:t xml:space="preserve">Real, public data. </w:t>
      </w:r>
      <w:r>
        <w:rPr>
          <w:i/>
          <w:iCs/>
          <w:color w:val="5B5B5B"/>
          <w:sz w:val="20"/>
          <w:szCs w:val="20"/>
        </w:rPr>
        <w:t xml:space="preserve">Every rating, count and quote in this section comes from a public source and can be checked by the client. Nothing here is modelled.</w:t>
      </w:r>
    </w:p>
    <w:p>
      <w:pPr>
        <w:spacing w:after="160"/>
      </w:pPr>
      <w:r>
        <w:rPr>
          <w:b/>
          <w:bCs/>
          <w:color w:val="111114"/>
          <w:sz w:val="21"/>
          <w:szCs w:val="21"/>
        </w:rPr>
        <w:t xml:space="preserve">Overall Google Business Profile standing: </w:t>
      </w:r>
      <w:r>
        <w:rPr>
          <w:color w:val="222222"/>
          <w:sz w:val="21"/>
          <w:szCs w:val="21"/>
        </w:rPr>
        <w:t xml:space="preserve">2.5 stars across 52 reviews — a Search knowledge-panel listing, not a standalone review site, which is why the first research pass (Trustpilot, Reddit, BBB Canada) missed it entirely. 10 reviews read in full for this analysis. Rating split (checked 2026-09-29): 31 one-star, 2 two-star, 1 three-star, 0 four-star, 18 five-star. Each quote in the demo's Voice of the Customer page links to its own review, except one (Mike Kruger) that Google doesn't expose individually.</w:t>
      </w:r>
    </w:p>
    <w:p>
      <w:pPr>
        <w:pStyle w:val="Heading2"/>
        <w:spacing w:after="120" w:before="280"/>
      </w:pPr>
      <w:r>
        <w:rPr>
          <w:b/>
          <w:bCs/>
          <w:color w:val="111114"/>
          <w:sz w:val="24"/>
          <w:szCs w:val="24"/>
        </w:rPr>
        <w:t xml:space="preserve">Top themes</w:t>
      </w:r>
    </w:p>
    <w:p>
      <w:pPr>
        <w:spacing w:after="40" w:before="160"/>
      </w:pPr>
      <w:r>
        <w:rPr>
          <w:b/>
          <w:bCs/>
          <w:color w:val="111114"/>
          <w:sz w:val="21"/>
          <w:szCs w:val="21"/>
        </w:rPr>
        <w:t xml:space="preserve">1. Rude or unhelpful call-centre staff</w:t>
      </w:r>
      <w:r>
        <w:t xml:space="preserve">   </w:t>
      </w:r>
      <w:r>
        <w:rPr>
          <w:b/>
          <w:bCs/>
          <w:color w:val="B42318"/>
          <w:sz w:val="18"/>
          <w:szCs w:val="18"/>
        </w:rPr>
        <w:t xml:space="preserve">Severity: high</w:t>
      </w:r>
      <w:r>
        <w:t xml:space="preserve">   ·   </w:t>
      </w:r>
      <w:r>
        <w:rPr>
          <w:b/>
          <w:bCs/>
          <w:color w:val="1A7A4A"/>
          <w:sz w:val="18"/>
          <w:szCs w:val="18"/>
        </w:rPr>
        <w:t xml:space="preserve">Confidence: strong</w:t>
      </w:r>
    </w:p>
    <w:p>
      <w:pPr>
        <w:spacing w:after="160"/>
      </w:pPr>
      <w:r>
        <w:rPr>
          <w:color w:val="222222"/>
          <w:sz w:val="20"/>
          <w:szCs w:val="20"/>
        </w:rPr>
        <w:t xml:space="preserve">Recurring across 4 of the 10 reviews read.</w:t>
      </w:r>
    </w:p>
    <w:p>
      <w:pPr>
        <w:pBdr>
          <w:left w:val="single" w:color="E6E6E3" w:sz="12" w:space="8"/>
        </w:pBdr>
        <w:spacing w:after="100" w:before="40"/>
        <w:ind w:left="360"/>
      </w:pPr>
      <w:r>
        <w:rPr>
          <w:i/>
          <w:iCs/>
          <w:color w:val="5B5B5B"/>
          <w:sz w:val="20"/>
          <w:szCs w:val="20"/>
        </w:rPr>
        <w:t xml:space="preserve">“Every time I call the customer service number to get help with my account I always encounter a rude service agent that acts as though I am inconveniencing them.”</w:t>
      </w:r>
    </w:p>
    <w:p>
      <w:pPr>
        <w:pBdr>
          <w:left w:val="single" w:color="E6E6E3" w:sz="12" w:space="8"/>
        </w:pBdr>
        <w:spacing w:after="100" w:before="40"/>
        <w:ind w:left="360"/>
      </w:pPr>
      <w:r>
        <w:rPr>
          <w:i/>
          <w:iCs/>
          <w:color w:val="5B5B5B"/>
          <w:sz w:val="20"/>
          <w:szCs w:val="20"/>
        </w:rPr>
        <w:t xml:space="preserve">“This is by far the rudest, most incompetent customer service I have ever dealt with. They lie to you.”</w:t>
      </w:r>
    </w:p>
    <w:p>
      <w:pPr>
        <w:spacing w:after="40" w:before="160"/>
      </w:pPr>
      <w:r>
        <w:rPr>
          <w:b/>
          <w:bCs/>
          <w:color w:val="111114"/>
          <w:sz w:val="21"/>
          <w:szCs w:val="21"/>
        </w:rPr>
        <w:t xml:space="preserve">2. Billing and fee disputes</w:t>
      </w:r>
      <w:r>
        <w:t xml:space="preserve">   </w:t>
      </w:r>
      <w:r>
        <w:rPr>
          <w:b/>
          <w:bCs/>
          <w:color w:val="B42318"/>
          <w:sz w:val="18"/>
          <w:szCs w:val="18"/>
        </w:rPr>
        <w:t xml:space="preserve">Severity: high</w:t>
      </w:r>
      <w:r>
        <w:t xml:space="preserve">   ·   </w:t>
      </w:r>
      <w:r>
        <w:rPr>
          <w:b/>
          <w:bCs/>
          <w:color w:val="1A7A4A"/>
          <w:sz w:val="18"/>
          <w:szCs w:val="18"/>
        </w:rPr>
        <w:t xml:space="preserve">Confidence: strong</w:t>
      </w:r>
    </w:p>
    <w:p>
      <w:pPr>
        <w:spacing w:after="160"/>
      </w:pPr>
      <w:r>
        <w:rPr>
          <w:color w:val="222222"/>
          <w:sz w:val="20"/>
          <w:szCs w:val="20"/>
        </w:rPr>
        <w:t xml:space="preserve">Recurring across 4 of 10 reviews, with specific dollar figures customers cite directly.</w:t>
      </w:r>
    </w:p>
    <w:p>
      <w:pPr>
        <w:pBdr>
          <w:left w:val="single" w:color="E6E6E3" w:sz="12" w:space="8"/>
        </w:pBdr>
        <w:spacing w:after="100" w:before="40"/>
        <w:ind w:left="360"/>
      </w:pPr>
      <w:r>
        <w:rPr>
          <w:i/>
          <w:iCs/>
          <w:color w:val="5B5B5B"/>
          <w:sz w:val="20"/>
          <w:szCs w:val="20"/>
        </w:rPr>
        <w:t xml:space="preserve">“I have used $488 worth of gas and been charged $3143 in fees!!! 86.5% of the bills are fees. That's unacceptable.”</w:t>
      </w:r>
    </w:p>
    <w:p>
      <w:pPr>
        <w:pBdr>
          <w:left w:val="single" w:color="E6E6E3" w:sz="12" w:space="8"/>
        </w:pBdr>
        <w:spacing w:after="100" w:before="40"/>
        <w:ind w:left="360"/>
      </w:pPr>
      <w:r>
        <w:rPr>
          <w:i/>
          <w:iCs/>
          <w:color w:val="5B5B5B"/>
          <w:sz w:val="20"/>
          <w:szCs w:val="20"/>
        </w:rPr>
        <w:t xml:space="preserve">“Despite 0 GJ usage for a vacant property, they bill out 1.567/day for distribution charge.”</w:t>
      </w:r>
    </w:p>
    <w:p>
      <w:pPr>
        <w:spacing w:after="40" w:before="160"/>
      </w:pPr>
      <w:r>
        <w:rPr>
          <w:b/>
          <w:bCs/>
          <w:color w:val="111114"/>
          <w:sz w:val="21"/>
          <w:szCs w:val="21"/>
        </w:rPr>
        <w:t xml:space="preserve">3. Budget billing (equalization plan) confusion</w:t>
      </w:r>
      <w:r>
        <w:t xml:space="preserve">   </w:t>
      </w:r>
      <w:r>
        <w:rPr>
          <w:b/>
          <w:bCs/>
          <w:color w:val="B54708"/>
          <w:sz w:val="18"/>
          <w:szCs w:val="18"/>
        </w:rPr>
        <w:t xml:space="preserve">Severity: medium</w:t>
      </w:r>
      <w:r>
        <w:t xml:space="preserve">   ·   </w:t>
      </w:r>
      <w:r>
        <w:rPr>
          <w:b/>
          <w:bCs/>
          <w:color w:val="1A7A4A"/>
          <w:sz w:val="18"/>
          <w:szCs w:val="18"/>
        </w:rPr>
        <w:t xml:space="preserve">Confidence: strong</w:t>
      </w:r>
    </w:p>
    <w:p>
      <w:pPr>
        <w:spacing w:after="160"/>
      </w:pPr>
      <w:r>
        <w:rPr>
          <w:color w:val="222222"/>
          <w:sz w:val="20"/>
          <w:szCs w:val="20"/>
        </w:rPr>
        <w:t xml:space="preserve">Directly evidenced, not just inferred from FAQ structure — a customer describes the plan being changed without notice or consultation.</w:t>
      </w:r>
    </w:p>
    <w:p>
      <w:pPr>
        <w:pBdr>
          <w:left w:val="single" w:color="E6E6E3" w:sz="12" w:space="8"/>
        </w:pBdr>
        <w:spacing w:after="100" w:before="40"/>
        <w:ind w:left="360"/>
      </w:pPr>
      <w:r>
        <w:rPr>
          <w:i/>
          <w:iCs/>
          <w:color w:val="5B5B5B"/>
          <w:sz w:val="20"/>
          <w:szCs w:val="20"/>
        </w:rPr>
        <w:t xml:space="preserve">“they are the ones that set it up, change it without notice or consultation then drop a 600 dollar bill on you saying you aren't paying enough”</w:t>
      </w:r>
    </w:p>
    <w:p>
      <w:pPr>
        <w:spacing w:after="40" w:before="160"/>
      </w:pPr>
      <w:r>
        <w:rPr>
          <w:b/>
          <w:bCs/>
          <w:color w:val="111114"/>
          <w:sz w:val="21"/>
          <w:szCs w:val="21"/>
        </w:rPr>
        <w:t xml:space="preserve">4. Missing bills, then a surprise back-bill</w:t>
      </w:r>
      <w:r>
        <w:t xml:space="preserve">   </w:t>
      </w:r>
      <w:r>
        <w:rPr>
          <w:b/>
          <w:bCs/>
          <w:color w:val="B42318"/>
          <w:sz w:val="18"/>
          <w:szCs w:val="18"/>
        </w:rPr>
        <w:t xml:space="preserve">Severity: high</w:t>
      </w:r>
      <w:r>
        <w:t xml:space="preserve">   ·   </w:t>
      </w:r>
      <w:r>
        <w:rPr>
          <w:b/>
          <w:bCs/>
          <w:color w:val="B54708"/>
          <w:sz w:val="18"/>
          <w:szCs w:val="18"/>
        </w:rPr>
        <w:t xml:space="preserve">Confidence: moderate</w:t>
      </w:r>
    </w:p>
    <w:p>
      <w:pPr>
        <w:spacing w:after="160"/>
      </w:pPr>
      <w:r>
        <w:rPr>
          <w:color w:val="222222"/>
          <w:sz w:val="20"/>
          <w:szCs w:val="20"/>
        </w:rPr>
        <w:t xml:space="preserve">One detailed account: 8 months with no bill sent, service cut for 'non-payment,' then an unexplained CA$1,800 back-bill. Rare, but the sharpest single CSAT collapse found in the research.</w:t>
      </w:r>
    </w:p>
    <w:p>
      <w:pPr>
        <w:pBdr>
          <w:left w:val="single" w:color="E6E6E3" w:sz="12" w:space="8"/>
        </w:pBdr>
        <w:spacing w:after="100" w:before="40"/>
        <w:ind w:left="360"/>
      </w:pPr>
      <w:r>
        <w:rPr>
          <w:i/>
          <w:iCs/>
          <w:color w:val="5B5B5B"/>
          <w:sz w:val="20"/>
          <w:szCs w:val="20"/>
        </w:rPr>
        <w:t xml:space="preserve">“They did not send us bills for 8 months ... now they sent us after a month of inquiry a $1800 plus bill!!!”</w:t>
      </w:r>
    </w:p>
    <w:p>
      <w:pPr>
        <w:spacing w:after="40" w:before="160"/>
      </w:pPr>
      <w:r>
        <w:rPr>
          <w:b/>
          <w:bCs/>
          <w:color w:val="111114"/>
          <w:sz w:val="21"/>
          <w:szCs w:val="21"/>
        </w:rPr>
        <w:t xml:space="preserve">5. Rate-class reclassification (Aug 2026)</w:t>
      </w:r>
      <w:r>
        <w:t xml:space="preserve">   </w:t>
      </w:r>
      <w:r>
        <w:rPr>
          <w:b/>
          <w:bCs/>
          <w:color w:val="B42318"/>
          <w:sz w:val="18"/>
          <w:szCs w:val="18"/>
        </w:rPr>
        <w:t xml:space="preserve">Severity: high</w:t>
      </w:r>
      <w:r>
        <w:t xml:space="preserve">   ·   </w:t>
      </w:r>
      <w:r>
        <w:rPr>
          <w:b/>
          <w:bCs/>
          <w:color w:val="6B7280"/>
          <w:sz w:val="18"/>
          <w:szCs w:val="18"/>
        </w:rPr>
        <w:t xml:space="preserve">Confidence: weak</w:t>
      </w:r>
    </w:p>
    <w:p>
      <w:pPr>
        <w:spacing w:after="160"/>
      </w:pPr>
      <w:r>
        <w:rPr>
          <w:color w:val="222222"/>
          <w:sz w:val="20"/>
          <w:szCs w:val="20"/>
        </w:rPr>
        <w:t xml:space="preserve">Forward-looking — the Phase 2 rate change only took effect Aug 1, 2026, so none of the reviews read predate or reflect it. Flagged because Apex's FAQ devotes 10 questions to explaining it and affected customers are getting direct notifications, which plausibly drives near-term inbound volume.</w:t>
      </w:r>
    </w:p>
    <w:p>
      <w:pPr>
        <w:spacing w:after="40" w:before="160"/>
      </w:pPr>
      <w:r>
        <w:rPr>
          <w:b/>
          <w:bCs/>
          <w:color w:val="111114"/>
          <w:sz w:val="21"/>
          <w:szCs w:val="21"/>
        </w:rPr>
        <w:t xml:space="preserve">6. Construction-window notification effectiveness</w:t>
      </w:r>
      <w:r>
        <w:t xml:space="preserve">   </w:t>
      </w:r>
      <w:r>
        <w:rPr>
          <w:b/>
          <w:bCs/>
          <w:color w:val="B54708"/>
          <w:sz w:val="18"/>
          <w:szCs w:val="18"/>
        </w:rPr>
        <w:t xml:space="preserve">Severity: medium</w:t>
      </w:r>
      <w:r>
        <w:t xml:space="preserve">   ·   </w:t>
      </w:r>
      <w:r>
        <w:rPr>
          <w:b/>
          <w:bCs/>
          <w:color w:val="B54708"/>
          <w:sz w:val="18"/>
          <w:szCs w:val="18"/>
        </w:rPr>
        <w:t xml:space="preserve">Confidence: moderate</w:t>
      </w:r>
    </w:p>
    <w:p>
      <w:pPr>
        <w:spacing w:after="160"/>
      </w:pPr>
      <w:r>
        <w:rPr>
          <w:color w:val="222222"/>
          <w:sz w:val="20"/>
          <w:szCs w:val="20"/>
        </w:rPr>
        <w:t xml:space="preserve">Not directly evidenced in the reviews read, but grounded in a real, confirmed event: 2025 System Betterment pipe-replacement work in High Level, Hanna, and Sturgeon County, with Apex's own stated notification process of advance notices plus local updates during the work.</w:t>
      </w:r>
    </w:p>
    <w:p>
      <w:pPr>
        <w:spacing w:after="100"/>
      </w:pPr>
    </w:p>
    <w:p>
      <w:pPr>
        <w:spacing w:after="80" w:before="180"/>
      </w:pPr>
      <w:r>
        <w:rPr>
          <w:b/>
          <w:bCs/>
          <w:color w:val="111114"/>
          <w:sz w:val="21"/>
          <w:szCs w:val="21"/>
        </w:rPr>
        <w:t xml:space="preserve">Positive counterweight</w:t>
      </w:r>
    </w:p>
    <w:p>
      <w:pPr>
        <w:spacing w:after="160"/>
      </w:pPr>
      <w:r>
        <w:rPr>
          <w:color w:val="222222"/>
          <w:sz w:val="21"/>
          <w:szCs w:val="21"/>
        </w:rPr>
        <w:t xml:space="preserve">Field emergency response is a genuine, named strength, not a weakness. 2 of the 10 reviews read are 5-star praise for individual field technicians — e.g. 'Someone called me within minutes letting me know a tech would arrive within 30 mins. John and Layla ... went above and beyond.' The damage in this account is concentrated in the phone/billing side of the house, not the field side, which is a useful contrast to lead the pitch with.</w:t>
      </w:r>
    </w:p>
    <w:p>
      <w:pPr>
        <w:pageBreakBefore/>
      </w:pPr>
    </w:p>
    <w:p>
      <w:pPr>
        <w:pStyle w:val="Heading1"/>
        <w:pBdr>
          <w:bottom w:val="single" w:color="FF4B3E" w:sz="6" w:space="4"/>
        </w:pBdr>
        <w:spacing w:after="200" w:before="400"/>
      </w:pPr>
      <w:r>
        <w:rPr>
          <w:b/>
          <w:bCs/>
          <w:color w:val="111114"/>
          <w:sz w:val="30"/>
          <w:szCs w:val="30"/>
        </w:rPr>
        <w:t xml:space="preserve">6. The Demo Storylines</w:t>
      </w:r>
    </w:p>
    <w:p>
      <w:pPr>
        <w:spacing w:after="160"/>
      </w:pPr>
      <w:r>
        <w:rPr>
          <w:b/>
          <w:bCs/>
          <w:color w:val="2A4FA8"/>
          <w:sz w:val="20"/>
          <w:szCs w:val="20"/>
        </w:rPr>
        <w:t xml:space="preserve">Mixed. </w:t>
      </w:r>
      <w:r>
        <w:rPr>
          <w:i/>
          <w:iCs/>
          <w:color w:val="5B5B5B"/>
          <w:sz w:val="20"/>
          <w:szCs w:val="20"/>
        </w:rPr>
        <w:t xml:space="preserve">Each storyline is anchored in the real public evidence above; the contact volumes, CSAT and coaching results inside it are the demo’s modelled data.</w:t>
      </w:r>
    </w:p>
    <w:p>
      <w:pPr>
        <w:spacing w:after="160"/>
      </w:pPr>
      <w:r>
        <w:rPr>
          <w:color w:val="222222"/>
          <w:sz w:val="21"/>
          <w:szCs w:val="21"/>
        </w:rPr>
        <w:t xml:space="preserve">Every storyline in the built demo traces back to a theme above. Coachable storylines get Micro Coaching; any storyline marked not coachable is a deliberate control case — a problem coaching cannot fix — included so the coachable results read as credible rather than a blanket pitch. Every number in this section describes the built demo’s modelled data, not Apex Utilities’s actual operations.</w:t>
      </w:r>
    </w:p>
    <w:p>
      <w:pPr>
        <w:spacing w:after="80"/>
      </w:pPr>
    </w:p>
    <w:tbl>
      <w:tblPr>
        <w:tblW w:type="dxa" w:w="9350"/>
        <w:tblBorders>
          <w:top w:val="single" w:color="E6E6E3" w:sz="4"/>
          <w:left w:val="single" w:color="E6E6E3" w:sz="4"/>
          <w:bottom w:val="single" w:color="E6E6E3" w:sz="4"/>
          <w:right w:val="single" w:color="E6E6E3" w:sz="4"/>
          <w:insideH w:val="none" w:color="FFFFFF" w:sz="0"/>
          <w:insideV w:val="none" w:color="FFFFFF" w:sz="0"/>
        </w:tblBorders>
      </w:tblPr>
      <w:tblGrid>
        <w:gridCol w:w="9350"/>
      </w:tblGrid>
      <w:tr>
        <w:tc>
          <w:tcPr>
            <w:tcW w:type="dxa" w:w="9350"/>
            <w:shd w:fill="F7F7F5" w:val="clear"/>
            <w:tcMar>
              <w:top w:type="dxa" w:w="200"/>
              <w:left w:type="dxa" w:w="260"/>
              <w:bottom w:type="dxa" w:w="200"/>
              <w:right w:type="dxa" w:w="260"/>
            </w:tcMar>
          </w:tcPr>
          <w:p>
            <w:pPr>
              <w:spacing w:after="60"/>
            </w:pPr>
            <w:r>
              <w:rPr>
                <w:b/>
                <w:bCs/>
                <w:color w:val="FF4B3E"/>
                <w:sz w:val="21"/>
                <w:szCs w:val="21"/>
              </w:rPr>
              <w:t xml:space="preserve">Storyline 1 · </w:t>
            </w:r>
            <w:r>
              <w:rPr>
                <w:b/>
                <w:bCs/>
                <w:color w:val="111114"/>
                <w:sz w:val="21"/>
                <w:szCs w:val="21"/>
              </w:rPr>
              <w:t xml:space="preserve">Billing and fee disputes escalate on top of an already-strained rate-change season</w:t>
            </w:r>
          </w:p>
          <w:p>
            <w:pPr>
              <w:spacing w:after="140"/>
            </w:pPr>
            <w:r>
              <w:rPr>
                <w:i/>
                <w:iCs/>
                <w:color w:val="5B5B5B"/>
                <w:sz w:val="18"/>
                <w:szCs w:val="18"/>
              </w:rPr>
              <w:t xml:space="preserve">34% of weekly contact volume  ·  Coachable (Micro Coaching applies)</w:t>
            </w:r>
          </w:p>
          <w:p>
            <w:pPr>
              <w:spacing w:after="100"/>
            </w:pPr>
            <w:r>
              <w:rPr>
                <w:b/>
                <w:bCs/>
                <w:color w:val="111114"/>
                <w:sz w:val="20"/>
                <w:szCs w:val="20"/>
              </w:rPr>
              <w:t xml:space="preserve">What the data shows: </w:t>
            </w:r>
            <w:r>
              <w:rPr>
                <w:color w:val="222222"/>
                <w:sz w:val="20"/>
                <w:szCs w:val="20"/>
              </w:rPr>
              <w:t xml:space="preserve">Rate Class / Bill Impact Questions (18%) and Billing &amp; Fee Dispute Escalations (16%) are two separate driver categories that combine to 34% of weekly contact volume — reported together because the real Google reviews show they're the same underlying pattern (billing disagreements escalating into complaints about agent tone and policy rigidity), not because they're one taxonomy row. First-contact CSAT on this pattern is a healthy 4.3, but continuation CSAT for the same customers drops to 2.3, and the cohort's repeat-contact rate has climbed from 17.5% to 22.6% over five weeks. The Aug 1, 2026 Phase 2 rate restructuring is a real, dated trigger landing on top of an already-known-difficult category — not the storyline's sole basis.</w:t>
            </w:r>
          </w:p>
          <w:p>
            <w:pPr>
              <w:spacing w:after="100"/>
            </w:pPr>
            <w:r>
              <w:rPr>
                <w:b/>
                <w:bCs/>
                <w:color w:val="111114"/>
                <w:sz w:val="20"/>
                <w:szCs w:val="20"/>
              </w:rPr>
              <w:t xml:space="preserve">What QiQ does: </w:t>
            </w:r>
            <w:r>
              <w:rPr>
                <w:color w:val="222222"/>
                <w:sz w:val="20"/>
                <w:szCs w:val="20"/>
              </w:rPr>
              <w:t xml:space="preserve">QiQ's Micro Coaching targets clarity-of-communication and ownership specifically on continuation/repeat contacts in this cohort — the two behavioural topics 'Start Where They Left Off' and 'Let the Dispute Set the Tone' — applied from week 2 of the demo window.</w:t>
            </w:r>
          </w:p>
          <w:p>
            <w:pPr>
              <w:spacing w:after="0"/>
            </w:pPr>
            <w:r>
              <w:rPr>
                <w:b/>
                <w:bCs/>
                <w:color w:val="111114"/>
                <w:sz w:val="20"/>
                <w:szCs w:val="20"/>
              </w:rPr>
              <w:t xml:space="preserve">What moved: </w:t>
            </w:r>
            <w:r>
              <w:rPr>
                <w:color w:val="222222"/>
                <w:sz w:val="20"/>
                <w:szCs w:val="20"/>
              </w:rPr>
              <w:t xml:space="preserve">Continuation CSAT for this cohort recovers from 2.0 in week 1 to 2.9 by week 5 as coaching takes effect — the clearest before/after arc in the demo.</w:t>
            </w:r>
          </w:p>
        </w:tc>
      </w:tr>
    </w:tbl>
    <w:p>
      <w:pPr>
        <w:spacing w:after="180"/>
      </w:pPr>
    </w:p>
    <w:tbl>
      <w:tblPr>
        <w:tblW w:type="dxa" w:w="9350"/>
        <w:tblBorders>
          <w:top w:val="single" w:color="E6E6E3" w:sz="4"/>
          <w:left w:val="single" w:color="E6E6E3" w:sz="4"/>
          <w:bottom w:val="single" w:color="E6E6E3" w:sz="4"/>
          <w:right w:val="single" w:color="E6E6E3" w:sz="4"/>
          <w:insideH w:val="none" w:color="FFFFFF" w:sz="0"/>
          <w:insideV w:val="none" w:color="FFFFFF" w:sz="0"/>
        </w:tblBorders>
      </w:tblPr>
      <w:tblGrid>
        <w:gridCol w:w="9350"/>
      </w:tblGrid>
      <w:tr>
        <w:tc>
          <w:tcPr>
            <w:tcW w:type="dxa" w:w="9350"/>
            <w:shd w:fill="F7F7F5" w:val="clear"/>
            <w:tcMar>
              <w:top w:type="dxa" w:w="200"/>
              <w:left w:type="dxa" w:w="260"/>
              <w:bottom w:type="dxa" w:w="200"/>
              <w:right w:type="dxa" w:w="260"/>
            </w:tcMar>
          </w:tcPr>
          <w:p>
            <w:pPr>
              <w:spacing w:after="60"/>
            </w:pPr>
            <w:r>
              <w:rPr>
                <w:b/>
                <w:bCs/>
                <w:color w:val="FF4B3E"/>
                <w:sz w:val="21"/>
                <w:szCs w:val="21"/>
              </w:rPr>
              <w:t xml:space="preserve">Storyline 2 · </w:t>
            </w:r>
            <w:r>
              <w:rPr>
                <w:b/>
                <w:bCs/>
                <w:color w:val="111114"/>
                <w:sz w:val="21"/>
                <w:szCs w:val="21"/>
              </w:rPr>
              <w:t xml:space="preserve">An account falls through the billing cracks, then lands a CA$1,800 surprise</w:t>
            </w:r>
          </w:p>
          <w:p>
            <w:pPr>
              <w:spacing w:after="140"/>
            </w:pPr>
            <w:r>
              <w:rPr>
                <w:i/>
                <w:iCs/>
                <w:color w:val="5B5B5B"/>
                <w:sz w:val="18"/>
                <w:szCs w:val="18"/>
              </w:rPr>
              <w:t xml:space="preserve">3% of weekly contact volume  ·  Coachable (Micro Coaching applies)</w:t>
            </w:r>
          </w:p>
          <w:p>
            <w:pPr>
              <w:spacing w:after="100"/>
            </w:pPr>
            <w:r>
              <w:rPr>
                <w:b/>
                <w:bCs/>
                <w:color w:val="111114"/>
                <w:sz w:val="20"/>
                <w:szCs w:val="20"/>
              </w:rPr>
              <w:t xml:space="preserve">What the data shows: </w:t>
            </w:r>
            <w:r>
              <w:rPr>
                <w:color w:val="222222"/>
                <w:sz w:val="20"/>
                <w:szCs w:val="20"/>
              </w:rPr>
              <w:t xml:space="preserve">Only 3% of weekly volume (Missing Bill / Account Reconciliation Issues), but the most disproportionate CSAT damage of any driver — lowest FCR (41%) and highest escalation rate (24%) in the taxonomy. Directly grounded in a real Google review: 8 months with no bill sent, service cut for 'non-payment,' then an unexplained CA$1,800 back-bill, with the customer questioning how a meter reading was even taken on an account the company said didn't exist.</w:t>
            </w:r>
          </w:p>
          <w:p>
            <w:pPr>
              <w:spacing w:after="100"/>
            </w:pPr>
            <w:r>
              <w:rPr>
                <w:b/>
                <w:bCs/>
                <w:color w:val="111114"/>
                <w:sz w:val="20"/>
                <w:szCs w:val="20"/>
              </w:rPr>
              <w:t xml:space="preserve">What QiQ does: </w:t>
            </w:r>
            <w:r>
              <w:rPr>
                <w:color w:val="222222"/>
                <w:sz w:val="20"/>
                <w:szCs w:val="20"/>
              </w:rPr>
              <w:t xml:space="preserve">QiQ's Contact Search and flagged-call surfacing catch this exact pattern early — low-volume, high-severity sequences that a standard QA sample would likely miss — and route coaching toward 'Name Who Has It and When,' the ownership/handoff-clarity topic aimed at repeat-contact rate and FCR.</w:t>
            </w:r>
          </w:p>
          <w:p>
            <w:pPr>
              <w:spacing w:after="0"/>
            </w:pPr>
            <w:r>
              <w:rPr>
                <w:b/>
                <w:bCs/>
                <w:color w:val="111114"/>
                <w:sz w:val="20"/>
                <w:szCs w:val="20"/>
              </w:rPr>
              <w:t xml:space="preserve">What moved: </w:t>
            </w:r>
            <w:r>
              <w:rPr>
                <w:color w:val="222222"/>
                <w:sz w:val="20"/>
                <w:szCs w:val="20"/>
              </w:rPr>
              <w:t xml:space="preserve">Because this pattern is rare, the demo's value here is early detection rather than a large aggregate CSAT swing — surfacing the sequence for review before it compounds into another AUC complaint or another 8-month gap.</w:t>
            </w:r>
          </w:p>
        </w:tc>
      </w:tr>
    </w:tbl>
    <w:p>
      <w:pPr>
        <w:spacing w:after="180"/>
      </w:pPr>
    </w:p>
    <w:tbl>
      <w:tblPr>
        <w:tblW w:type="dxa" w:w="9350"/>
        <w:tblBorders>
          <w:top w:val="single" w:color="E6E6E3" w:sz="4"/>
          <w:left w:val="single" w:color="E6E6E3" w:sz="4"/>
          <w:bottom w:val="single" w:color="E6E6E3" w:sz="4"/>
          <w:right w:val="single" w:color="E6E6E3" w:sz="4"/>
          <w:insideH w:val="none" w:color="FFFFFF" w:sz="0"/>
          <w:insideV w:val="none" w:color="FFFFFF" w:sz="0"/>
        </w:tblBorders>
      </w:tblPr>
      <w:tblGrid>
        <w:gridCol w:w="9350"/>
      </w:tblGrid>
      <w:tr>
        <w:tc>
          <w:tcPr>
            <w:tcW w:type="dxa" w:w="9350"/>
            <w:shd w:fill="F7F7F5" w:val="clear"/>
            <w:tcMar>
              <w:top w:type="dxa" w:w="200"/>
              <w:left w:type="dxa" w:w="260"/>
              <w:bottom w:type="dxa" w:w="200"/>
              <w:right w:type="dxa" w:w="260"/>
            </w:tcMar>
          </w:tcPr>
          <w:p>
            <w:pPr>
              <w:spacing w:after="60"/>
            </w:pPr>
            <w:r>
              <w:rPr>
                <w:b/>
                <w:bCs/>
                <w:color w:val="FF4B3E"/>
                <w:sz w:val="21"/>
                <w:szCs w:val="21"/>
              </w:rPr>
              <w:t xml:space="preserve">Storyline 3 · </w:t>
            </w:r>
            <w:r>
              <w:rPr>
                <w:b/>
                <w:bCs/>
                <w:color w:val="111114"/>
                <w:sz w:val="21"/>
                <w:szCs w:val="21"/>
              </w:rPr>
              <w:t xml:space="preserve">Fee-dispute contact volume leads a rise in Google review mentions of fees and policy</w:t>
            </w:r>
          </w:p>
          <w:p>
            <w:pPr>
              <w:spacing w:after="140"/>
            </w:pPr>
            <w:r>
              <w:rPr>
                <w:i/>
                <w:iCs/>
                <w:color w:val="5B5B5B"/>
                <w:sz w:val="18"/>
                <w:szCs w:val="18"/>
              </w:rPr>
              <w:t xml:space="preserve">16% of weekly contact volume  ·  Coachable (Micro Coaching applies)</w:t>
            </w:r>
          </w:p>
          <w:p>
            <w:pPr>
              <w:spacing w:after="100"/>
            </w:pPr>
            <w:r>
              <w:rPr>
                <w:b/>
                <w:bCs/>
                <w:color w:val="111114"/>
                <w:sz w:val="20"/>
                <w:szCs w:val="20"/>
              </w:rPr>
              <w:t xml:space="preserve">What the data shows: </w:t>
            </w:r>
            <w:r>
              <w:rPr>
                <w:color w:val="222222"/>
                <w:sz w:val="20"/>
                <w:szCs w:val="20"/>
              </w:rPr>
              <w:t xml:space="preserve">Grounded in Apex's real Google Business Profile (2.5 stars, 52 reviews), whose own topic tags include 'fees' and 'policy' among the categories Google surfaces on the listing. The demo models a 9-day lag with a 0.69 correlation between internal fee-dispute contact volume and the following week's public review mentions of the same themes — the rating and the theme tags are real; the week-by-week mention cadence is illustrative, scaled to a 52-review profile rather than a high-volume consumer brand's review corpus.</w:t>
            </w:r>
          </w:p>
          <w:p>
            <w:pPr>
              <w:spacing w:after="100"/>
            </w:pPr>
            <w:r>
              <w:rPr>
                <w:b/>
                <w:bCs/>
                <w:color w:val="111114"/>
                <w:sz w:val="20"/>
                <w:szCs w:val="20"/>
              </w:rPr>
              <w:t xml:space="preserve">What QiQ does: </w:t>
            </w:r>
            <w:r>
              <w:rPr>
                <w:color w:val="222222"/>
                <w:sz w:val="20"/>
                <w:szCs w:val="20"/>
              </w:rPr>
              <w:t xml:space="preserve">This is the 'catches it before it goes public' slide: QiQ surfaces the internal volume signal ahead of the public review lag, giving Apex a window to intervene on fee-dispute handling before dissatisfaction surfaces on the Google profile that prospective customers, media, and the AUC can all see.</w:t>
            </w:r>
          </w:p>
          <w:p>
            <w:pPr>
              <w:spacing w:after="0"/>
            </w:pPr>
            <w:r>
              <w:rPr>
                <w:b/>
                <w:bCs/>
                <w:color w:val="111114"/>
                <w:sz w:val="20"/>
                <w:szCs w:val="20"/>
              </w:rPr>
              <w:t xml:space="preserve">What moved: </w:t>
            </w:r>
            <w:r>
              <w:rPr>
                <w:color w:val="222222"/>
                <w:sz w:val="20"/>
                <w:szCs w:val="20"/>
              </w:rPr>
              <w:t xml:space="preserve">N/A as a coaching-outcome metric — this storyline's value is the lead-time itself, not a post-coaching KPI swing.</w:t>
            </w:r>
          </w:p>
        </w:tc>
      </w:tr>
    </w:tbl>
    <w:p>
      <w:pPr>
        <w:spacing w:after="180"/>
      </w:pPr>
    </w:p>
    <w:tbl>
      <w:tblPr>
        <w:tblW w:type="dxa" w:w="9350"/>
        <w:tblBorders>
          <w:top w:val="single" w:color="E6E6E3" w:sz="4"/>
          <w:left w:val="single" w:color="E6E6E3" w:sz="4"/>
          <w:bottom w:val="single" w:color="E6E6E3" w:sz="4"/>
          <w:right w:val="single" w:color="E6E6E3" w:sz="4"/>
          <w:insideH w:val="none" w:color="FFFFFF" w:sz="0"/>
          <w:insideV w:val="none" w:color="FFFFFF" w:sz="0"/>
        </w:tblBorders>
      </w:tblPr>
      <w:tblGrid>
        <w:gridCol w:w="9350"/>
      </w:tblGrid>
      <w:tr>
        <w:tc>
          <w:tcPr>
            <w:tcW w:type="dxa" w:w="9350"/>
            <w:shd w:fill="F7F7F5" w:val="clear"/>
            <w:tcMar>
              <w:top w:type="dxa" w:w="200"/>
              <w:left w:type="dxa" w:w="260"/>
              <w:bottom w:type="dxa" w:w="200"/>
              <w:right w:type="dxa" w:w="260"/>
            </w:tcMar>
          </w:tcPr>
          <w:p>
            <w:pPr>
              <w:spacing w:after="60"/>
            </w:pPr>
            <w:r>
              <w:rPr>
                <w:b/>
                <w:bCs/>
                <w:color w:val="FF4B3E"/>
                <w:sz w:val="21"/>
                <w:szCs w:val="21"/>
              </w:rPr>
              <w:t xml:space="preserve">Storyline 4 · </w:t>
            </w:r>
            <w:r>
              <w:rPr>
                <w:b/>
                <w:bCs/>
                <w:color w:val="111114"/>
                <w:sz w:val="21"/>
                <w:szCs w:val="21"/>
              </w:rPr>
              <w:t xml:space="preserve">Construction-window confusion during system betterment pipe replacement</w:t>
            </w:r>
          </w:p>
          <w:p>
            <w:pPr>
              <w:spacing w:after="140"/>
            </w:pPr>
            <w:r>
              <w:rPr>
                <w:i/>
                <w:iCs/>
                <w:color w:val="5B5B5B"/>
                <w:sz w:val="18"/>
                <w:szCs w:val="18"/>
              </w:rPr>
              <w:t xml:space="preserve">8% of weekly contact volume  ·  Not coachable — structural/product issue</w:t>
            </w:r>
          </w:p>
          <w:p>
            <w:pPr>
              <w:spacing w:after="100"/>
            </w:pPr>
            <w:r>
              <w:rPr>
                <w:b/>
                <w:bCs/>
                <w:color w:val="111114"/>
                <w:sz w:val="20"/>
                <w:szCs w:val="20"/>
              </w:rPr>
              <w:t xml:space="preserve">What the data shows: </w:t>
            </w:r>
            <w:r>
              <w:rPr>
                <w:color w:val="222222"/>
                <w:sz w:val="20"/>
                <w:szCs w:val="20"/>
              </w:rPr>
              <w:t xml:space="preserve">Grounded in a real, confirmed event: the 2025 System Betterment Program completed pipe-replacement work in High Level, Hanna, and Sturgeon County, using Apex's own stated notification process (advance notices with timelines/contact info, then local-newspaper and social updates during the work). Only 61% of affected customers recall getting advance notice, and an estimated 158 avoidable contacts/week trace to this gap, with an average of just 4.2 days between the notice going out and work starting.</w:t>
            </w:r>
          </w:p>
          <w:p>
            <w:pPr>
              <w:spacing w:after="100"/>
            </w:pPr>
            <w:r>
              <w:rPr>
                <w:b/>
                <w:bCs/>
                <w:color w:val="111114"/>
                <w:sz w:val="20"/>
                <w:szCs w:val="20"/>
              </w:rPr>
              <w:t xml:space="preserve">What QiQ does: </w:t>
            </w:r>
            <w:r>
              <w:rPr>
                <w:color w:val="222222"/>
                <w:sz w:val="20"/>
                <w:szCs w:val="20"/>
              </w:rPr>
              <w:t xml:space="preserve">QiQ correctly identifies this as a cross-team coordination gap between engineering scheduling, customer notifications, and the contact centre — not a behavioural one — and marks it explicitly as not addressed by Micro Coaching.</w:t>
            </w:r>
          </w:p>
          <w:p>
            <w:pPr>
              <w:spacing w:after="0"/>
            </w:pPr>
            <w:r>
              <w:rPr>
                <w:b/>
                <w:bCs/>
                <w:color w:val="111114"/>
                <w:sz w:val="20"/>
                <w:szCs w:val="20"/>
              </w:rPr>
              <w:t xml:space="preserve">What moved: </w:t>
            </w:r>
            <w:r>
              <w:rPr>
                <w:color w:val="222222"/>
                <w:sz w:val="20"/>
                <w:szCs w:val="20"/>
              </w:rPr>
              <w:t xml:space="preserve">Nothing moves here by design. This slot is deliberately left unfixed by coaching so the other three storylines don't read as a sales pitch that claims Micro Coaching solves everything — it's the credibility-anchor of the demo, and worth naming as such to the sales team: don't let a prospect assume QiQ claims to fix process/product gaps it can't.</w:t>
            </w:r>
          </w:p>
        </w:tc>
      </w:tr>
    </w:tbl>
    <w:p>
      <w:pPr>
        <w:spacing w:after="180"/>
      </w:pPr>
    </w:p>
    <w:p>
      <w:pPr>
        <w:pStyle w:val="Heading1"/>
        <w:pBdr>
          <w:bottom w:val="single" w:color="FF4B3E" w:sz="6" w:space="4"/>
        </w:pBdr>
        <w:spacing w:after="200" w:before="400"/>
      </w:pPr>
      <w:r>
        <w:rPr>
          <w:b/>
          <w:bCs/>
          <w:color w:val="111114"/>
          <w:sz w:val="30"/>
          <w:szCs w:val="30"/>
        </w:rPr>
        <w:t xml:space="preserve">7. Hero Narrative (as used in the demo)</w:t>
      </w:r>
    </w:p>
    <w:p>
      <w:pPr>
        <w:spacing w:after="160"/>
      </w:pPr>
      <w:r>
        <w:rPr>
          <w:b/>
          <w:bCs/>
          <w:i/>
          <w:iCs/>
          <w:color w:val="111114"/>
          <w:sz w:val="22"/>
          <w:szCs w:val="22"/>
        </w:rPr>
        <w:t xml:space="preserve">“The bill disputes were already a problem. The rate change just landed on top of them.”</w:t>
      </w:r>
    </w:p>
    <w:p>
      <w:pPr>
        <w:spacing w:after="160"/>
      </w:pPr>
      <w:r>
        <w:rPr>
          <w:color w:val="222222"/>
          <w:sz w:val="21"/>
          <w:szCs w:val="21"/>
        </w:rPr>
        <w:t xml:space="preserve">Billing and fee disputes, including the wave of Rate Class / Bill Impact Questions triggered by the August 1 Phase 2 rate restructuring, are 34% of Apex's weekly contact volume combined, and independently evidenced on Apex's own public Google reviews: a 2.5-star profile with recurring complaints about disproportionate fees and rude phone handling, not a hypothesis. Most of these contacts start as a first call that resolves cleanly — first-contact CSAT is 4.3. The pattern breaks on the callback: continuation CSAT for the same customers drops to 2.3, and repeat-contact rate for this cohort has climbed from 17.5% to 22.6% over five weeks.</w:t>
      </w:r>
    </w:p>
    <w:p>
      <w:pPr>
        <w:spacing w:after="160"/>
      </w:pPr>
      <w:r>
        <w:rPr>
          <w:color w:val="222222"/>
          <w:sz w:val="21"/>
          <w:szCs w:val="21"/>
        </w:rPr>
        <w:t xml:space="preserve">Micro Coaching targeting clarity-of-communication and ownership on repeat contacts was applied from week 2; continuation CSAT begins recovering (2.0 in week 1 to 2.9 by week 5). Two things this doesn't fix: the rare but severe case of an account falling through the billing cracks entirely (one real customer went 8 months unbilled, then received an unexplained CA$1,800 back-bill), and the System Betterment construction-notification gap, a cross-team process issue between engineering scheduling and customer comms that behavioural coaching alone won't close. One genuine bright spot worth keeping in the story: Apex's field emergency-response team is already a strength, not a weakness — the same public reviews that complain about billing separately praise named technicians for fast, professional gas-leak response. The damage is concentrated in the phone/billing side of the house, not the field side.</w:t>
      </w:r>
    </w:p>
    <w:p>
      <w:pPr>
        <w:spacing w:after="200"/>
      </w:pPr>
    </w:p>
    <w:p>
      <w:pPr>
        <w:pBdr>
          <w:top w:val="single" w:color="E6E6E3" w:sz="4" w:space="8"/>
        </w:pBdr>
        <w:spacing w:before="100"/>
      </w:pPr>
      <w:r>
        <w:rPr>
          <w:i/>
          <w:iCs/>
          <w:color w:val="5B5B5B"/>
          <w:sz w:val="17"/>
          <w:szCs w:val="17"/>
        </w:rPr>
        <w:t xml:space="preserve">Full sourcing for every claim above (AUC decision numbers, FAQ page sections, individual Google review attributions) is in clients/apex-utilities/research.json and research.md. This document is internal-only, for sales-team prep — it isn't the client-facing demo narrative. One framing note for whoever pitches this: because Apex is a regulated monopoly, customers cannot switch distributors, so the demo's financial panel deliberately avoids churn/attrition language — it frames its ~CA$140,400/year figure as avoidable repeat-contact cost, not customer LTV at risk of churning. Keep that distinction in mind live on a call; leading with 'churn risk' would be factually wrong for this account and a sharp prospect may push back on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2026-09-29T03:20:19.036Z</dcterms:created>
  <dcterms:modified xsi:type="dcterms:W3CDTF">2026-09-29T03:20:19.036Z</dcterms:modified>
</cp:coreProperties>
</file>

<file path=docProps/custom.xml><?xml version="1.0" encoding="utf-8"?>
<Properties xmlns="http://schemas.openxmlformats.org/officeDocument/2006/custom-properties" xmlns:vt="http://schemas.openxmlformats.org/officeDocument/2006/docPropsVTypes"/>
</file>