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6E" w:val="clear"/>
            <w:tcMar>
              <w:top w:type="dxa" w:w="200"/>
              <w:left w:type="dxa" w:w="300"/>
              <w:bottom w:type="dxa" w:w="180"/>
              <w:right w:type="dxa" w:w="300"/>
            </w:tcMar>
          </w:tcPr>
          <w:p>
            <w:pPr>
              <w:spacing w:after="40" w:before="0"/>
              <w:jc w:val="center"/>
            </w:pPr>
            <w:r>
              <w:rPr>
                <w:rFonts w:ascii="Arial" w:cs="Arial" w:eastAsia="Arial" w:hAnsi="Arial"/>
                <w:b w:val="false"/>
                <w:bCs w:val="false"/>
                <w:color w:val="A8C4E0"/>
                <w:sz w:val="20"/>
                <w:szCs w:val="20"/>
              </w:rPr>
              <w:t xml:space="preserve">InterGlobe Aviation Ltd.</w:t>
            </w:r>
          </w:p>
          <w:p>
            <w:pPr>
              <w:spacing w:after="60" w:before="0"/>
              <w:jc w:val="center"/>
            </w:pPr>
            <w:r>
              <w:rPr>
                <w:rFonts w:ascii="Arial" w:cs="Arial" w:eastAsia="Arial" w:hAnsi="Arial"/>
                <w:b/>
                <w:bCs/>
                <w:color w:val="FFFFFF"/>
                <w:sz w:val="30"/>
                <w:szCs w:val="30"/>
              </w:rPr>
              <w:t xml:space="preserve">IndiGo Airlines</w:t>
            </w:r>
          </w:p>
          <w:p>
            <w:pPr>
              <w:spacing w:after="30" w:before="0"/>
              <w:jc w:val="center"/>
            </w:pPr>
            <w:r>
              <w:rPr>
                <w:rFonts w:ascii="Arial" w:cs="Arial" w:eastAsia="Arial" w:hAnsi="Arial"/>
                <w:color w:val="A8C4E0"/>
                <w:sz w:val="19"/>
                <w:szCs w:val="19"/>
              </w:rPr>
              <w:t xml:space="preserve">Flight Safety Department  |  IAL (DDS) Internship Programme</w:t>
            </w:r>
          </w:p>
        </w:tc>
      </w:tr>
      <w:tr>
        <w:tc>
          <w:tcPr>
            <w:tcW w:type="dxa" w:w="9360"/>
            <w:tcBorders>
              <w:top w:val="none" w:color="FFFFFF" w:sz="0"/>
              <w:left w:val="none" w:color="FFFFFF" w:sz="0"/>
              <w:bottom w:val="none" w:color="FFFFFF" w:sz="0"/>
              <w:right w:val="none" w:color="FFFFFF" w:sz="0"/>
            </w:tcBorders>
            <w:shd w:fill="0D7A8A" w:val="clear"/>
            <w:tcMar>
              <w:top w:type="dxa" w:w="160"/>
              <w:left w:type="dxa" w:w="300"/>
              <w:bottom w:type="dxa" w:w="160"/>
              <w:right w:type="dxa" w:w="300"/>
            </w:tcMar>
          </w:tcPr>
          <w:p>
            <w:pPr>
              <w:jc w:val="center"/>
            </w:pPr>
            <w:r>
              <w:rPr>
                <w:rFonts w:ascii="Arial" w:cs="Arial" w:eastAsia="Arial" w:hAnsi="Arial"/>
                <w:b/>
                <w:bCs/>
                <w:color w:val="FFFFFF"/>
                <w:sz w:val="24"/>
                <w:szCs w:val="24"/>
              </w:rPr>
              <w:t xml:space="preserve">Machine Learning-Based Mandatory Occurrence Report (MOR) Classification System for Flight Safety Reporting</w:t>
            </w:r>
          </w:p>
        </w:tc>
      </w:tr>
      <w:tr>
        <w:tc>
          <w:tcPr>
            <w:tcW w:type="dxa" w:w="9360"/>
            <w:tcBorders>
              <w:top w:val="none" w:color="FFFFFF" w:sz="0"/>
              <w:left w:val="none" w:color="FFFFFF" w:sz="0"/>
              <w:bottom w:val="none" w:color="FFFFFF" w:sz="0"/>
              <w:right w:val="none" w:color="FFFFFF" w:sz="0"/>
            </w:tcBorders>
            <w:shd w:fill="E8EEF7" w:val="clear"/>
            <w:tcMar>
              <w:top w:type="dxa" w:w="120"/>
              <w:left w:type="dxa" w:w="300"/>
              <w:bottom w:type="dxa" w:w="120"/>
              <w:right w:type="dxa" w:w="300"/>
            </w:tcMar>
          </w:tcPr>
          <w:p>
            <w:pPr>
              <w:spacing w:after="40" w:before="0"/>
              <w:jc w:val="center"/>
            </w:pPr>
            <w:r>
              <w:rPr>
                <w:rFonts w:ascii="Arial" w:cs="Arial" w:eastAsia="Arial" w:hAnsi="Arial"/>
                <w:color w:val="4A5568"/>
                <w:sz w:val="19"/>
                <w:szCs w:val="19"/>
              </w:rPr>
              <w:t xml:space="preserve">Prepared by: </w:t>
            </w:r>
            <w:r>
              <w:rPr>
                <w:rFonts w:ascii="Arial" w:cs="Arial" w:eastAsia="Arial" w:hAnsi="Arial"/>
                <w:b/>
                <w:bCs/>
                <w:color w:val="1A3C6E"/>
                <w:sz w:val="19"/>
                <w:szCs w:val="19"/>
              </w:rPr>
              <w:t xml:space="preserve">Vansh Bhardwaj</w:t>
            </w:r>
            <w:r>
              <w:rPr>
                <w:rFonts w:ascii="Arial" w:cs="Arial" w:eastAsia="Arial" w:hAnsi="Arial"/>
                <w:color w:val="4A5568"/>
                <w:sz w:val="19"/>
                <w:szCs w:val="19"/>
              </w:rPr>
              <w:t xml:space="preserve">  |  Program: </w:t>
            </w:r>
            <w:r>
              <w:rPr>
                <w:rFonts w:ascii="Arial" w:cs="Arial" w:eastAsia="Arial" w:hAnsi="Arial"/>
                <w:b/>
                <w:bCs/>
                <w:color w:val="1A3C6E"/>
                <w:sz w:val="19"/>
                <w:szCs w:val="19"/>
              </w:rPr>
              <w:t xml:space="preserve">IAL (DDS) Intern</w:t>
            </w:r>
          </w:p>
          <w:p>
            <w:pPr>
              <w:jc w:val="center"/>
            </w:pPr>
            <w:r>
              <w:rPr>
                <w:rFonts w:ascii="Arial" w:cs="Arial" w:eastAsia="Arial" w:hAnsi="Arial"/>
                <w:color w:val="4A5568"/>
                <w:sz w:val="19"/>
                <w:szCs w:val="19"/>
              </w:rPr>
              <w:t xml:space="preserve">Department: </w:t>
            </w:r>
            <w:r>
              <w:rPr>
                <w:rFonts w:ascii="Arial" w:cs="Arial" w:eastAsia="Arial" w:hAnsi="Arial"/>
                <w:b/>
                <w:bCs/>
                <w:color w:val="1A3C6E"/>
                <w:sz w:val="19"/>
                <w:szCs w:val="19"/>
              </w:rPr>
              <w:t xml:space="preserve">Flight Safety</w:t>
            </w:r>
            <w:r>
              <w:rPr>
                <w:rFonts w:ascii="Arial" w:cs="Arial" w:eastAsia="Arial" w:hAnsi="Arial"/>
                <w:color w:val="4A5568"/>
                <w:sz w:val="19"/>
                <w:szCs w:val="19"/>
              </w:rPr>
              <w:t xml:space="preserve">  |  Classification: </w:t>
            </w:r>
            <w:r>
              <w:rPr>
                <w:rFonts w:ascii="Arial" w:cs="Arial" w:eastAsia="Arial" w:hAnsi="Arial"/>
                <w:b/>
                <w:bCs/>
                <w:color w:val="1A3C6E"/>
                <w:sz w:val="19"/>
                <w:szCs w:val="19"/>
              </w:rPr>
              <w:t xml:space="preserve">Internal — For Management Review</w:t>
            </w:r>
          </w:p>
        </w:tc>
      </w:tr>
    </w:tbl>
    <w:p>
      <w:pPr>
        <w:spacing w:after="0" w:before="120"/>
      </w:pPr>
      <w:r>
        <w:t xml:space="preserve"/>
      </w:r>
    </w:p>
    <w:p>
      <w:pPr>
        <w:pBdr>
          <w:bottom w:val="single" w:color="1A3C6E" w:sz="8" w:space="2"/>
        </w:pBdr>
        <w:spacing w:after="80" w:before="180"/>
      </w:pPr>
      <w:r>
        <w:rPr>
          <w:rFonts w:ascii="Arial" w:cs="Arial" w:eastAsia="Arial" w:hAnsi="Arial"/>
          <w:b/>
          <w:bCs/>
          <w:color w:val="1A3C6E"/>
          <w:sz w:val="22"/>
          <w:szCs w:val="22"/>
        </w:rPr>
        <w:t xml:space="preserve">1. EXECUTIVE SUMMARY</w:t>
      </w:r>
    </w:p>
    <w:p>
      <w:pPr>
        <w:spacing w:after="40" w:before="40"/>
        <w:jc w:val="both"/>
      </w:pPr>
      <w:r>
        <w:rPr>
          <w:rFonts w:ascii="Arial" w:cs="Arial" w:eastAsia="Arial" w:hAnsi="Arial"/>
          <w:b w:val="false"/>
          <w:bCs w:val="false"/>
          <w:color w:val="1A1A2E"/>
          <w:sz w:val="19"/>
          <w:szCs w:val="19"/>
        </w:rPr>
        <w:t xml:space="preserve">This project proposes an ML-based classification system to assist IndiGo's Flight Safety Department in identifying whether incoming occurrence reports qualify as Mandatory Occurrence Reports (MORs) requiring submission to the Directorate General of Civil Aviation (DGCA). By leveraging Natural Language Processing (NLP) and supervised classification techniques, the system aims to deliver rapid, consistent, and auditable screening of safety reports.</w:t>
      </w:r>
    </w:p>
    <w:p>
      <w:pPr>
        <w:spacing w:after="0" w:before="40"/>
      </w:pPr>
      <w:r>
        <w:t xml:space="preserve"/>
      </w:r>
    </w:p>
    <w:p>
      <w:pPr>
        <w:spacing w:after="40" w:before="40"/>
        <w:jc w:val="both"/>
      </w:pPr>
      <w:r>
        <w:rPr>
          <w:rFonts w:ascii="Arial" w:cs="Arial" w:eastAsia="Arial" w:hAnsi="Arial"/>
          <w:b w:val="false"/>
          <w:bCs w:val="false"/>
          <w:color w:val="1A1A2E"/>
          <w:sz w:val="19"/>
          <w:szCs w:val="19"/>
        </w:rPr>
        <w:t xml:space="preserve">The tool is designed exclusively as a decision-support aid. All final regulatory determinations will remain the responsibility of qualified Flight Safety personnel. The expected outcomes include reduced manual screening time, improved consistency in MOR identification, and enhanced readiness for increasing reporting volumes.</w:t>
      </w:r>
    </w:p>
    <w:p>
      <w:pPr>
        <w:spacing w:after="0" w:before="80"/>
      </w:pPr>
      <w:r>
        <w:t xml:space="preserve"/>
      </w:r>
    </w:p>
    <w:p>
      <w:pPr>
        <w:pBdr>
          <w:bottom w:val="single" w:color="1A3C6E" w:sz="8" w:space="2"/>
        </w:pBdr>
        <w:spacing w:after="80" w:before="180"/>
      </w:pPr>
      <w:r>
        <w:rPr>
          <w:rFonts w:ascii="Arial" w:cs="Arial" w:eastAsia="Arial" w:hAnsi="Arial"/>
          <w:b/>
          <w:bCs/>
          <w:color w:val="1A3C6E"/>
          <w:sz w:val="22"/>
          <w:szCs w:val="22"/>
        </w:rPr>
        <w:t xml:space="preserve">2. PROBLEM STATEMENT</w:t>
      </w:r>
    </w:p>
    <w:p>
      <w:pPr>
        <w:spacing w:after="40" w:before="40"/>
        <w:jc w:val="both"/>
      </w:pPr>
      <w:r>
        <w:rPr>
          <w:rFonts w:ascii="Arial" w:cs="Arial" w:eastAsia="Arial" w:hAnsi="Arial"/>
          <w:b w:val="false"/>
          <w:bCs w:val="false"/>
          <w:color w:val="1A1A2E"/>
          <w:sz w:val="19"/>
          <w:szCs w:val="19"/>
        </w:rPr>
        <w:t xml:space="preserve">IndiGo's Flight Safety Department currently relies on manual review of plain-English occurrence reports to determine MOR status. This process, while effective, presents operational limitations: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Challenge</w:t>
            </w:r>
          </w:p>
        </w:tc>
        <w:tc>
          <w:tcPr>
            <w:tcW w:type="dxa" w:w="696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Detail</w:t>
            </w:r>
          </w:p>
        </w:tc>
      </w:tr>
      <w:tr>
        <w:tc>
          <w:tcPr>
            <w:tcW w:type="dxa" w:w="24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Manual Effort</w:t>
            </w:r>
          </w:p>
        </w:tc>
        <w:tc>
          <w:tcPr>
            <w:tcW w:type="dxa" w:w="69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Each occurrence report requires individual expert review to determine MOR eligibility, consuming significant analyst time.</w:t>
            </w:r>
          </w:p>
        </w:tc>
      </w:tr>
      <w:tr>
        <w:tc>
          <w:tcPr>
            <w:tcW w:type="dxa" w:w="24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Time Consumption</w:t>
            </w:r>
          </w:p>
        </w:tc>
        <w:tc>
          <w:tcPr>
            <w:tcW w:type="dxa" w:w="69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Delays in classification can impact DGCA reporting timelines, creating potential compliance risks.</w:t>
            </w:r>
          </w:p>
        </w:tc>
      </w:tr>
      <w:tr>
        <w:tc>
          <w:tcPr>
            <w:tcW w:type="dxa" w:w="24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Scaling Pressure</w:t>
            </w:r>
          </w:p>
        </w:tc>
        <w:tc>
          <w:tcPr>
            <w:tcW w:type="dxa" w:w="69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Growing fleet size and flight operations continue to increase reporting volumes beyond current processing capacity.</w:t>
            </w:r>
          </w:p>
        </w:tc>
      </w:tr>
      <w:tr>
        <w:tc>
          <w:tcPr>
            <w:tcW w:type="dxa" w:w="24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Consistency Gaps</w:t>
            </w:r>
          </w:p>
        </w:tc>
        <w:tc>
          <w:tcPr>
            <w:tcW w:type="dxa" w:w="69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Subjective human classification introduces variability; identical incidents may be assessed differently by different reviewers.</w:t>
            </w:r>
          </w:p>
        </w:tc>
      </w:tr>
      <w:tr>
        <w:tc>
          <w:tcPr>
            <w:tcW w:type="dxa" w:w="24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Decision Support</w:t>
            </w:r>
          </w:p>
        </w:tc>
        <w:tc>
          <w:tcPr>
            <w:tcW w:type="dxa" w:w="69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Safety personnel require a systematic, data-driven aid to prioritize and validate classification decisions efficiently.</w:t>
            </w:r>
          </w:p>
        </w:tc>
      </w:tr>
    </w:tbl>
    <w:p>
      <w:pPr>
        <w:spacing w:after="0" w:before="80"/>
      </w:pPr>
      <w:r>
        <w:t xml:space="preserve"/>
      </w:r>
    </w:p>
    <w:p>
      <w:pPr>
        <w:pBdr>
          <w:bottom w:val="single" w:color="1A3C6E" w:sz="8" w:space="2"/>
        </w:pBdr>
        <w:spacing w:after="80" w:before="180"/>
      </w:pPr>
      <w:r>
        <w:rPr>
          <w:rFonts w:ascii="Arial" w:cs="Arial" w:eastAsia="Arial" w:hAnsi="Arial"/>
          <w:b/>
          <w:bCs/>
          <w:color w:val="1A3C6E"/>
          <w:sz w:val="22"/>
          <w:szCs w:val="22"/>
        </w:rPr>
        <w:t xml:space="preserve">3. PROPOSED SOLUTION</w:t>
      </w:r>
    </w:p>
    <w:p>
      <w:pPr>
        <w:spacing w:after="40" w:before="40"/>
        <w:jc w:val="both"/>
      </w:pPr>
      <w:r>
        <w:rPr>
          <w:rFonts w:ascii="Arial" w:cs="Arial" w:eastAsia="Arial" w:hAnsi="Arial"/>
          <w:b w:val="false"/>
          <w:bCs w:val="false"/>
          <w:color w:val="1A1A2E"/>
          <w:sz w:val="19"/>
          <w:szCs w:val="19"/>
        </w:rPr>
        <w:t xml:space="preserve">The proposed system employs supervised Machine Learning to analyze the textual content of occurrence reports and output a binary classification: MOR or Non-MOR, alongside a confidence score. The model will be trained on historically labelled occurrence data sourced from IndiGo's safety reporting system, with label verification performed by qualified Flight Safety officers.</w:t>
      </w:r>
    </w:p>
    <w:p>
      <w:pPr>
        <w:spacing w:after="0" w:before="40"/>
      </w:pPr>
      <w:r>
        <w:t xml:space="preserve"/>
      </w:r>
    </w:p>
    <w:p>
      <w:pPr>
        <w:spacing w:after="40" w:before="40"/>
        <w:jc w:val="both"/>
      </w:pPr>
      <w:r>
        <w:rPr>
          <w:rFonts w:ascii="Arial" w:cs="Arial" w:eastAsia="Arial" w:hAnsi="Arial"/>
          <w:b w:val="false"/>
          <w:bCs w:val="false"/>
          <w:color w:val="1A1A2E"/>
          <w:sz w:val="19"/>
          <w:szCs w:val="19"/>
        </w:rPr>
        <w:t xml:space="preserve">Human-in-the-loop design is a fundamental architectural principle: the system provides a recommendation and supporting rationale; all final decisions rest with Flight Safety experts. The model will not trigger any regulatory filing autonomously.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
        <w:gridCol w:w="1560"/>
        <w:gridCol w:w="300"/>
        <w:gridCol w:w="1560"/>
        <w:gridCol w:w="300"/>
        <w:gridCol w:w="1560"/>
        <w:gridCol w:w="300"/>
        <w:gridCol w:w="1560"/>
        <w:gridCol w:w="360"/>
      </w:tblGrid>
      <w:tr>
        <w:tc>
          <w:tcPr>
            <w:tcW w:type="dxa" w:w="1560"/>
            <w:tcBorders>
              <w:top w:val="none" w:color="FFFFFF" w:sz="0"/>
              <w:left w:val="none" w:color="FFFFFF" w:sz="0"/>
              <w:bottom w:val="none" w:color="FFFFFF" w:sz="0"/>
              <w:right w:val="none" w:color="FFFFFF" w:sz="0"/>
            </w:tcBorders>
            <w:shd w:fill="1A3C6E" w:val="clear"/>
            <w:tcMar>
              <w:top w:type="dxa" w:w="100"/>
              <w:left w:type="dxa" w:w="80"/>
              <w:bottom w:type="dxa" w:w="100"/>
              <w:right w:type="dxa" w:w="80"/>
            </w:tcMar>
            <w:vAlign w:val="center"/>
          </w:tcPr>
          <w:p>
            <w:pPr>
              <w:spacing w:after="20" w:before="0"/>
              <w:jc w:val="center"/>
            </w:pPr>
            <w:r>
              <w:rPr>
                <w:rFonts w:ascii="Arial" w:cs="Arial" w:eastAsia="Arial" w:hAnsi="Arial"/>
                <w:b/>
                <w:bCs/>
                <w:color w:val="A8C4E0"/>
                <w:sz w:val="22"/>
                <w:szCs w:val="22"/>
              </w:rPr>
              <w:t xml:space="preserve">01</w:t>
            </w:r>
          </w:p>
          <w:p>
            <w:pPr>
              <w:jc w:val="center"/>
            </w:pPr>
            <w:r>
              <w:rPr>
                <w:rFonts w:ascii="Arial" w:cs="Arial" w:eastAsia="Arial" w:hAnsi="Arial"/>
                <w:b/>
                <w:bCs/>
                <w:color w:val="FFFFFF"/>
                <w:sz w:val="17"/>
                <w:szCs w:val="17"/>
              </w:rPr>
              <w:t xml:space="preserve">Occurrence Report Input</w:t>
            </w:r>
          </w:p>
        </w:tc>
        <w:tc>
          <w:tcPr>
            <w:tcW w:type="dxa" w:w="3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E5FA3"/>
                <w:sz w:val="24"/>
                <w:szCs w:val="24"/>
              </w:rPr>
              <w:t xml:space="preserve">→</w:t>
            </w:r>
          </w:p>
        </w:tc>
        <w:tc>
          <w:tcPr>
            <w:tcW w:type="dxa" w:w="1560"/>
            <w:tcBorders>
              <w:top w:val="none" w:color="FFFFFF" w:sz="0"/>
              <w:left w:val="none" w:color="FFFFFF" w:sz="0"/>
              <w:bottom w:val="none" w:color="FFFFFF" w:sz="0"/>
              <w:right w:val="none" w:color="FFFFFF" w:sz="0"/>
            </w:tcBorders>
            <w:shd w:fill="2E5FA3" w:val="clear"/>
            <w:tcMar>
              <w:top w:type="dxa" w:w="100"/>
              <w:left w:type="dxa" w:w="80"/>
              <w:bottom w:type="dxa" w:w="100"/>
              <w:right w:type="dxa" w:w="80"/>
            </w:tcMar>
            <w:vAlign w:val="center"/>
          </w:tcPr>
          <w:p>
            <w:pPr>
              <w:spacing w:after="20" w:before="0"/>
              <w:jc w:val="center"/>
            </w:pPr>
            <w:r>
              <w:rPr>
                <w:rFonts w:ascii="Arial" w:cs="Arial" w:eastAsia="Arial" w:hAnsi="Arial"/>
                <w:b/>
                <w:bCs/>
                <w:color w:val="A8C4E0"/>
                <w:sz w:val="22"/>
                <w:szCs w:val="22"/>
              </w:rPr>
              <w:t xml:space="preserve">02</w:t>
            </w:r>
          </w:p>
          <w:p>
            <w:pPr>
              <w:jc w:val="center"/>
            </w:pPr>
            <w:r>
              <w:rPr>
                <w:rFonts w:ascii="Arial" w:cs="Arial" w:eastAsia="Arial" w:hAnsi="Arial"/>
                <w:b/>
                <w:bCs/>
                <w:color w:val="FFFFFF"/>
                <w:sz w:val="17"/>
                <w:szCs w:val="17"/>
              </w:rPr>
              <w:t xml:space="preserve">Text Processing &amp; NLP</w:t>
            </w:r>
          </w:p>
        </w:tc>
        <w:tc>
          <w:tcPr>
            <w:tcW w:type="dxa" w:w="3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E5FA3"/>
                <w:sz w:val="24"/>
                <w:szCs w:val="24"/>
              </w:rPr>
              <w:t xml:space="preserve">→</w:t>
            </w:r>
          </w:p>
        </w:tc>
        <w:tc>
          <w:tcPr>
            <w:tcW w:type="dxa" w:w="1560"/>
            <w:tcBorders>
              <w:top w:val="none" w:color="FFFFFF" w:sz="0"/>
              <w:left w:val="none" w:color="FFFFFF" w:sz="0"/>
              <w:bottom w:val="none" w:color="FFFFFF" w:sz="0"/>
              <w:right w:val="none" w:color="FFFFFF" w:sz="0"/>
            </w:tcBorders>
            <w:shd w:fill="0D7A8A" w:val="clear"/>
            <w:tcMar>
              <w:top w:type="dxa" w:w="100"/>
              <w:left w:type="dxa" w:w="80"/>
              <w:bottom w:type="dxa" w:w="100"/>
              <w:right w:type="dxa" w:w="80"/>
            </w:tcMar>
            <w:vAlign w:val="center"/>
          </w:tcPr>
          <w:p>
            <w:pPr>
              <w:spacing w:after="20" w:before="0"/>
              <w:jc w:val="center"/>
            </w:pPr>
            <w:r>
              <w:rPr>
                <w:rFonts w:ascii="Arial" w:cs="Arial" w:eastAsia="Arial" w:hAnsi="Arial"/>
                <w:b/>
                <w:bCs/>
                <w:color w:val="AADDE5"/>
                <w:sz w:val="22"/>
                <w:szCs w:val="22"/>
              </w:rPr>
              <w:t xml:space="preserve">03</w:t>
            </w:r>
          </w:p>
          <w:p>
            <w:pPr>
              <w:jc w:val="center"/>
            </w:pPr>
            <w:r>
              <w:rPr>
                <w:rFonts w:ascii="Arial" w:cs="Arial" w:eastAsia="Arial" w:hAnsi="Arial"/>
                <w:b/>
                <w:bCs/>
                <w:color w:val="FFFFFF"/>
                <w:sz w:val="17"/>
                <w:szCs w:val="17"/>
              </w:rPr>
              <w:t xml:space="preserve">ML Classification Model</w:t>
            </w:r>
          </w:p>
        </w:tc>
        <w:tc>
          <w:tcPr>
            <w:tcW w:type="dxa" w:w="3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E5FA3"/>
                <w:sz w:val="24"/>
                <w:szCs w:val="24"/>
              </w:rPr>
              <w:t xml:space="preserve">→</w:t>
            </w:r>
          </w:p>
        </w:tc>
        <w:tc>
          <w:tcPr>
            <w:tcW w:type="dxa" w:w="1560"/>
            <w:tcBorders>
              <w:top w:val="none" w:color="FFFFFF" w:sz="0"/>
              <w:left w:val="none" w:color="FFFFFF" w:sz="0"/>
              <w:bottom w:val="none" w:color="FFFFFF" w:sz="0"/>
              <w:right w:val="none" w:color="FFFFFF" w:sz="0"/>
            </w:tcBorders>
            <w:shd w:fill="1E7A4A" w:val="clear"/>
            <w:tcMar>
              <w:top w:type="dxa" w:w="100"/>
              <w:left w:type="dxa" w:w="80"/>
              <w:bottom w:type="dxa" w:w="100"/>
              <w:right w:type="dxa" w:w="80"/>
            </w:tcMar>
            <w:vAlign w:val="center"/>
          </w:tcPr>
          <w:p>
            <w:pPr>
              <w:spacing w:after="20" w:before="0"/>
              <w:jc w:val="center"/>
            </w:pPr>
            <w:r>
              <w:rPr>
                <w:rFonts w:ascii="Arial" w:cs="Arial" w:eastAsia="Arial" w:hAnsi="Arial"/>
                <w:b/>
                <w:bCs/>
                <w:color w:val="A8DDB8"/>
                <w:sz w:val="22"/>
                <w:szCs w:val="22"/>
              </w:rPr>
              <w:t xml:space="preserve">04</w:t>
            </w:r>
          </w:p>
          <w:p>
            <w:pPr>
              <w:jc w:val="center"/>
            </w:pPr>
            <w:r>
              <w:rPr>
                <w:rFonts w:ascii="Arial" w:cs="Arial" w:eastAsia="Arial" w:hAnsi="Arial"/>
                <w:b/>
                <w:bCs/>
                <w:color w:val="FFFFFF"/>
                <w:sz w:val="17"/>
                <w:szCs w:val="17"/>
              </w:rPr>
              <w:t xml:space="preserve">MOR / Non-MOR Recommendation</w:t>
            </w:r>
          </w:p>
        </w:tc>
        <w:tc>
          <w:tcPr>
            <w:tcW w:type="dxa" w:w="300"/>
            <w:tcBorders>
              <w:top w:val="none" w:color="FFFFFF" w:sz="0"/>
              <w:left w:val="none" w:color="FFFFFF" w:sz="0"/>
              <w:bottom w:val="none" w:color="FFFFFF" w:sz="0"/>
              <w:right w:val="none" w:color="FFFFFF" w:sz="0"/>
            </w:tcBorders>
            <w:shd w:fill="FFFFFF" w:val="clear"/>
            <w:tcMar>
              <w:top w:type="dxa" w:w="80"/>
              <w:left w:type="dxa" w:w="60"/>
              <w:bottom w:type="dxa" w:w="80"/>
              <w:right w:type="dxa" w:w="60"/>
            </w:tcMar>
            <w:vAlign w:val="center"/>
          </w:tcPr>
          <w:p>
            <w:pPr>
              <w:jc w:val="center"/>
            </w:pPr>
            <w:r>
              <w:rPr>
                <w:rFonts w:ascii="Arial" w:cs="Arial" w:eastAsia="Arial" w:hAnsi="Arial"/>
                <w:b/>
                <w:bCs/>
                <w:color w:val="2E5FA3"/>
                <w:sz w:val="24"/>
                <w:szCs w:val="24"/>
              </w:rPr>
              <w:t xml:space="preserve">→</w:t>
            </w:r>
          </w:p>
        </w:tc>
        <w:tc>
          <w:tcPr>
            <w:tcW w:type="dxa" w:w="1560"/>
            <w:tcBorders>
              <w:top w:val="none" w:color="FFFFFF" w:sz="0"/>
              <w:left w:val="none" w:color="FFFFFF" w:sz="0"/>
              <w:bottom w:val="none" w:color="FFFFFF" w:sz="0"/>
              <w:right w:val="none" w:color="FFFFFF" w:sz="0"/>
            </w:tcBorders>
            <w:shd w:fill="8B4513" w:val="clear"/>
            <w:tcMar>
              <w:top w:type="dxa" w:w="100"/>
              <w:left w:type="dxa" w:w="80"/>
              <w:bottom w:type="dxa" w:w="100"/>
              <w:right w:type="dxa" w:w="80"/>
            </w:tcMar>
            <w:vAlign w:val="center"/>
          </w:tcPr>
          <w:p>
            <w:pPr>
              <w:spacing w:after="20" w:before="0"/>
              <w:jc w:val="center"/>
            </w:pPr>
            <w:r>
              <w:rPr>
                <w:rFonts w:ascii="Arial" w:cs="Arial" w:eastAsia="Arial" w:hAnsi="Arial"/>
                <w:b/>
                <w:bCs/>
                <w:color w:val="F5C8A0"/>
                <w:sz w:val="22"/>
                <w:szCs w:val="22"/>
              </w:rPr>
              <w:t xml:space="preserve">05</w:t>
            </w:r>
          </w:p>
          <w:p>
            <w:pPr>
              <w:jc w:val="center"/>
            </w:pPr>
            <w:r>
              <w:rPr>
                <w:rFonts w:ascii="Arial" w:cs="Arial" w:eastAsia="Arial" w:hAnsi="Arial"/>
                <w:b/>
                <w:bCs/>
                <w:color w:val="FFFFFF"/>
                <w:sz w:val="17"/>
                <w:szCs w:val="17"/>
              </w:rPr>
              <w:t xml:space="preserve">Safety Expert Final Review</w:t>
            </w:r>
          </w:p>
        </w:tc>
        <w:tc>
          <w:tcPr>
            <w:tcW w:type="dxa" w:w="360"/>
            <w:tcBorders>
              <w:top w:val="none" w:color="FFFFFF" w:sz="0"/>
              <w:left w:val="none" w:color="FFFFFF" w:sz="0"/>
              <w:bottom w:val="none" w:color="FFFFFF" w:sz="0"/>
              <w:right w:val="none" w:color="FFFFFF" w:sz="0"/>
            </w:tcBorders>
            <w:shd w:fill="FFFFFF" w:val="clear"/>
          </w:tcPr>
          <w:p>
            <w:r>
              <w:t xml:space="preserve"/>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00"/>
        <w:gridCol w:w="1560"/>
        <w:gridCol w:w="300"/>
        <w:gridCol w:w="1560"/>
        <w:gridCol w:w="300"/>
        <w:gridCol w:w="1560"/>
        <w:gridCol w:w="300"/>
        <w:gridCol w:w="1560"/>
        <w:gridCol w:w="360"/>
      </w:tblGrid>
      <w:tr>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4A5568"/>
                <w:sz w:val="16"/>
                <w:szCs w:val="16"/>
              </w:rPr>
              <w:t xml:space="preserve">Plain-text report submitted by crew/ops</w:t>
            </w:r>
          </w:p>
        </w:tc>
        <w:tc>
          <w:tcPr>
            <w:tcW w:type="dxa" w:w="300"/>
            <w:tcBorders>
              <w:top w:val="none" w:color="FFFFFF" w:sz="0"/>
              <w:left w:val="none" w:color="FFFFFF" w:sz="0"/>
              <w:bottom w:val="none" w:color="FFFFFF" w:sz="0"/>
              <w:right w:val="none" w:color="FFFFFF" w:sz="0"/>
            </w:tcBorders>
            <w:shd w:fill="FFFFFF" w:val="clear"/>
          </w:tcPr>
          <w:p>
            <w:r>
              <w:t xml:space="preserve"/>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4A5568"/>
                <w:sz w:val="16"/>
                <w:szCs w:val="16"/>
              </w:rPr>
              <w:t xml:space="preserve">Cleaning, tokenization, feature extraction</w:t>
            </w:r>
          </w:p>
        </w:tc>
        <w:tc>
          <w:tcPr>
            <w:tcW w:type="dxa" w:w="300"/>
            <w:tcBorders>
              <w:top w:val="none" w:color="FFFFFF" w:sz="0"/>
              <w:left w:val="none" w:color="FFFFFF" w:sz="0"/>
              <w:bottom w:val="none" w:color="FFFFFF" w:sz="0"/>
              <w:right w:val="none" w:color="FFFFFF" w:sz="0"/>
            </w:tcBorders>
            <w:shd w:fill="FFFFFF" w:val="clear"/>
          </w:tcPr>
          <w:p>
            <w:r>
              <w:t xml:space="preserve"/>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4A5568"/>
                <w:sz w:val="16"/>
                <w:szCs w:val="16"/>
              </w:rPr>
              <w:t xml:space="preserve">Binary classification with confidence score</w:t>
            </w:r>
          </w:p>
        </w:tc>
        <w:tc>
          <w:tcPr>
            <w:tcW w:type="dxa" w:w="300"/>
            <w:tcBorders>
              <w:top w:val="none" w:color="FFFFFF" w:sz="0"/>
              <w:left w:val="none" w:color="FFFFFF" w:sz="0"/>
              <w:bottom w:val="none" w:color="FFFFFF" w:sz="0"/>
              <w:right w:val="none" w:color="FFFFFF" w:sz="0"/>
            </w:tcBorders>
            <w:shd w:fill="FFFFFF" w:val="clear"/>
          </w:tcPr>
          <w:p>
            <w:r>
              <w:t xml:space="preserve"/>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4A5568"/>
                <w:sz w:val="16"/>
                <w:szCs w:val="16"/>
              </w:rPr>
              <w:t xml:space="preserve">Flagged for further action or closed</w:t>
            </w:r>
          </w:p>
        </w:tc>
        <w:tc>
          <w:tcPr>
            <w:tcW w:type="dxa" w:w="300"/>
            <w:tcBorders>
              <w:top w:val="none" w:color="FFFFFF" w:sz="0"/>
              <w:left w:val="none" w:color="FFFFFF" w:sz="0"/>
              <w:bottom w:val="none" w:color="FFFFFF" w:sz="0"/>
              <w:right w:val="none" w:color="FFFFFF" w:sz="0"/>
            </w:tcBorders>
            <w:shd w:fill="FFFFFF" w:val="clear"/>
          </w:tcPr>
          <w:p>
            <w:r>
              <w:t xml:space="preserve"/>
            </w:r>
          </w:p>
        </w:tc>
        <w:tc>
          <w:tcPr>
            <w:tcW w:type="dxa" w:w="1560"/>
            <w:tcBorders>
              <w:top w:val="none" w:color="FFFFFF" w:sz="0"/>
              <w:left w:val="none" w:color="FFFFFF" w:sz="0"/>
              <w:bottom w:val="none" w:color="FFFFFF" w:sz="0"/>
              <w:right w:val="none" w:color="FFFFFF" w:sz="0"/>
            </w:tcBorders>
            <w:shd w:fill="FFFFFF" w:val="clear"/>
          </w:tcPr>
          <w:p>
            <w:pPr>
              <w:jc w:val="center"/>
            </w:pPr>
            <w:r>
              <w:rPr>
                <w:rFonts w:ascii="Arial" w:cs="Arial" w:eastAsia="Arial" w:hAnsi="Arial"/>
                <w:i/>
                <w:iCs/>
                <w:color w:val="4A5568"/>
                <w:sz w:val="16"/>
                <w:szCs w:val="16"/>
              </w:rPr>
              <w:t xml:space="preserve">Human authority retained; DGCA filing if MOR confirmed</w:t>
            </w:r>
          </w:p>
        </w:tc>
        <w:tc>
          <w:tcPr>
            <w:tcW w:type="dxa" w:w="360"/>
            <w:tcBorders>
              <w:top w:val="none" w:color="FFFFFF" w:sz="0"/>
              <w:left w:val="none" w:color="FFFFFF" w:sz="0"/>
              <w:bottom w:val="none" w:color="FFFFFF" w:sz="0"/>
              <w:right w:val="none" w:color="FFFFFF" w:sz="0"/>
            </w:tcBorders>
            <w:shd w:fill="FFFFFF" w:val="clear"/>
          </w:tcPr>
          <w:p>
            <w:r>
              <w:t xml:space="preserve"/>
            </w:r>
          </w:p>
        </w:tc>
      </w:tr>
    </w:tbl>
    <w:p>
      <w:pPr>
        <w:spacing w:after="0" w:before="80"/>
      </w:pPr>
      <w:r>
        <w:t xml:space="preserve"/>
      </w:r>
    </w:p>
    <w:p>
      <w:pPr>
        <w:pBdr>
          <w:bottom w:val="single" w:color="1A3C6E" w:sz="8" w:space="2"/>
        </w:pBdr>
        <w:spacing w:after="80" w:before="180"/>
      </w:pPr>
      <w:r>
        <w:rPr>
          <w:rFonts w:ascii="Arial" w:cs="Arial" w:eastAsia="Arial" w:hAnsi="Arial"/>
          <w:b/>
          <w:bCs/>
          <w:color w:val="1A3C6E"/>
          <w:sz w:val="22"/>
          <w:szCs w:val="22"/>
        </w:rPr>
        <w:t xml:space="preserve">4. EXPECTED BENEFITS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Benefit Area</w:t>
            </w:r>
          </w:p>
        </w:tc>
        <w:tc>
          <w:tcPr>
            <w:tcW w:type="dxa" w:w="420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Description</w:t>
            </w:r>
          </w:p>
        </w:tc>
        <w:tc>
          <w:tcPr>
            <w:tcW w:type="dxa" w:w="236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Stakeholder Impact</w:t>
            </w:r>
          </w:p>
        </w:tc>
      </w:tr>
      <w:tr>
        <w:tc>
          <w:tcPr>
            <w:tcW w:type="dxa" w:w="28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2E5FA3"/>
                <w:sz w:val="19"/>
                <w:szCs w:val="19"/>
              </w:rPr>
              <w:t xml:space="preserve">Faster Screening</w:t>
            </w:r>
          </w:p>
        </w:tc>
        <w:tc>
          <w:tcPr>
            <w:tcW w:type="dxa" w:w="42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Automated pre-screening reduces per-report review time significantly, enabling same-day triage of incoming reports.</w:t>
            </w:r>
          </w:p>
        </w:tc>
        <w:tc>
          <w:tcPr>
            <w:tcW w:type="dxa" w:w="23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Safety Analysts, Compliance Team</w:t>
            </w:r>
          </w:p>
        </w:tc>
      </w:tr>
      <w:tr>
        <w:tc>
          <w:tcPr>
            <w:tcW w:type="dxa" w:w="28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2E5FA3"/>
                <w:sz w:val="19"/>
                <w:szCs w:val="19"/>
              </w:rPr>
              <w:t xml:space="preserve">Improved Consistency</w:t>
            </w:r>
          </w:p>
        </w:tc>
        <w:tc>
          <w:tcPr>
            <w:tcW w:type="dxa" w:w="42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ML model applies uniform classification criteria, eliminating inter-reviewer variability.</w:t>
            </w:r>
          </w:p>
        </w:tc>
        <w:tc>
          <w:tcPr>
            <w:tcW w:type="dxa" w:w="23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Safety Management, DGCA Compliance</w:t>
            </w:r>
          </w:p>
        </w:tc>
      </w:tr>
      <w:tr>
        <w:tc>
          <w:tcPr>
            <w:tcW w:type="dxa" w:w="28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2E5FA3"/>
                <w:sz w:val="19"/>
                <w:szCs w:val="19"/>
              </w:rPr>
              <w:t xml:space="preserve">Reduced Manual Workload</w:t>
            </w:r>
          </w:p>
        </w:tc>
        <w:tc>
          <w:tcPr>
            <w:tcW w:type="dxa" w:w="42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Analysts redirected from routine screening to complex report investigation and root cause analysis.</w:t>
            </w:r>
          </w:p>
        </w:tc>
        <w:tc>
          <w:tcPr>
            <w:tcW w:type="dxa" w:w="23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Flight Safety Department</w:t>
            </w:r>
          </w:p>
        </w:tc>
      </w:tr>
      <w:tr>
        <w:tc>
          <w:tcPr>
            <w:tcW w:type="dxa" w:w="28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2E5FA3"/>
                <w:sz w:val="19"/>
                <w:szCs w:val="19"/>
              </w:rPr>
              <w:t xml:space="preserve">Better Prioritization</w:t>
            </w:r>
          </w:p>
        </w:tc>
        <w:tc>
          <w:tcPr>
            <w:tcW w:type="dxa" w:w="42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High-confidence MOR flags surface critical occurrences early, supporting timely regulatory reporting.</w:t>
            </w:r>
          </w:p>
        </w:tc>
        <w:tc>
          <w:tcPr>
            <w:tcW w:type="dxa" w:w="23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Safety Officers, DGCA</w:t>
            </w:r>
          </w:p>
        </w:tc>
      </w:tr>
      <w:tr>
        <w:tc>
          <w:tcPr>
            <w:tcW w:type="dxa" w:w="28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2E5FA3"/>
                <w:sz w:val="19"/>
                <w:szCs w:val="19"/>
              </w:rPr>
              <w:t xml:space="preserve">Scalability</w:t>
            </w:r>
          </w:p>
        </w:tc>
        <w:tc>
          <w:tcPr>
            <w:tcW w:type="dxa" w:w="42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System capacity scales with report volume — no proportional increase in headcount required.</w:t>
            </w:r>
          </w:p>
        </w:tc>
        <w:tc>
          <w:tcPr>
            <w:tcW w:type="dxa" w:w="23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Operations, HR Planning</w:t>
            </w:r>
          </w:p>
        </w:tc>
      </w:tr>
      <w:tr>
        <w:tc>
          <w:tcPr>
            <w:tcW w:type="dxa" w:w="28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2E5FA3"/>
                <w:sz w:val="19"/>
                <w:szCs w:val="19"/>
              </w:rPr>
              <w:t xml:space="preserve">Regulatory Compliance</w:t>
            </w:r>
          </w:p>
        </w:tc>
        <w:tc>
          <w:tcPr>
            <w:tcW w:type="dxa" w:w="42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Structured audit trail and confidence scoring support DGCA reporting accountability and documentation.</w:t>
            </w:r>
          </w:p>
        </w:tc>
        <w:tc>
          <w:tcPr>
            <w:tcW w:type="dxa" w:w="23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Legal, Regulatory Affairs</w:t>
            </w:r>
          </w:p>
        </w:tc>
      </w:tr>
    </w:tbl>
    <w:p>
      <w:pPr>
        <w:spacing w:after="0" w:before="80"/>
      </w:pPr>
      <w:r>
        <w:t xml:space="preserve"/>
      </w:r>
    </w:p>
    <w:p>
      <w:pPr>
        <w:pBdr>
          <w:bottom w:val="single" w:color="1A3C6E" w:sz="8" w:space="2"/>
        </w:pBdr>
        <w:spacing w:after="80" w:before="180"/>
      </w:pPr>
      <w:r>
        <w:rPr>
          <w:rFonts w:ascii="Arial" w:cs="Arial" w:eastAsia="Arial" w:hAnsi="Arial"/>
          <w:b/>
          <w:bCs/>
          <w:color w:val="1A3C6E"/>
          <w:sz w:val="22"/>
          <w:szCs w:val="22"/>
        </w:rPr>
        <w:t xml:space="preserve">5. DEVELOPMENT ROADMAP  —  6-WEEK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560"/>
        <w:gridCol w:w="2600"/>
      </w:tblGrid>
      <w:tr>
        <w:tc>
          <w:tcPr>
            <w:tcW w:type="dxa" w:w="100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Week</w:t>
            </w:r>
          </w:p>
        </w:tc>
        <w:tc>
          <w:tcPr>
            <w:tcW w:type="dxa" w:w="220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Phase</w:t>
            </w:r>
          </w:p>
        </w:tc>
        <w:tc>
          <w:tcPr>
            <w:tcW w:type="dxa" w:w="356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Key Deliverables</w:t>
            </w:r>
          </w:p>
        </w:tc>
        <w:tc>
          <w:tcPr>
            <w:tcW w:type="dxa" w:w="2600"/>
            <w:tcBorders>
              <w:top w:val="single" w:color="D0D8E8" w:sz="1"/>
              <w:left w:val="single" w:color="D0D8E8" w:sz="1"/>
              <w:bottom w:val="single" w:color="D0D8E8" w:sz="1"/>
              <w:right w:val="single" w:color="D0D8E8" w:sz="1"/>
            </w:tcBorders>
            <w:shd w:fill="1A3C6E"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Milestone</w:t>
            </w:r>
          </w:p>
        </w:tc>
      </w:tr>
      <w:tr>
        <w:tc>
          <w:tcPr>
            <w:tcW w:type="dxa" w:w="10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center"/>
            </w:pPr>
            <w:r>
              <w:rPr>
                <w:rFonts w:ascii="Arial" w:cs="Arial" w:eastAsia="Arial" w:hAnsi="Arial"/>
                <w:b/>
                <w:bCs/>
                <w:color w:val="2E5FA3"/>
                <w:sz w:val="19"/>
                <w:szCs w:val="19"/>
              </w:rPr>
              <w:t xml:space="preserve">1</w:t>
            </w:r>
          </w:p>
        </w:tc>
        <w:tc>
          <w:tcPr>
            <w:tcW w:type="dxa" w:w="22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Requirements &amp; Scoping</w:t>
            </w:r>
          </w:p>
        </w:tc>
        <w:tc>
          <w:tcPr>
            <w:tcW w:type="dxa" w:w="35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MOR guideline review, dataset inventory, stakeholder alignment</w:t>
            </w:r>
          </w:p>
        </w:tc>
        <w:tc>
          <w:tcPr>
            <w:tcW w:type="dxa" w:w="26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Project Charter Approved</w:t>
            </w:r>
          </w:p>
        </w:tc>
      </w:tr>
      <w:tr>
        <w:tc>
          <w:tcPr>
            <w:tcW w:type="dxa" w:w="10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9"/>
                <w:szCs w:val="19"/>
              </w:rPr>
              <w:t xml:space="preserve">2</w:t>
            </w:r>
          </w:p>
        </w:tc>
        <w:tc>
          <w:tcPr>
            <w:tcW w:type="dxa" w:w="22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Data Collection &amp; Labelling</w:t>
            </w:r>
          </w:p>
        </w:tc>
        <w:tc>
          <w:tcPr>
            <w:tcW w:type="dxa" w:w="35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Historical report extraction, data cleaning, expert label verification</w:t>
            </w:r>
          </w:p>
        </w:tc>
        <w:tc>
          <w:tcPr>
            <w:tcW w:type="dxa" w:w="26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Labelled Dataset Ready</w:t>
            </w:r>
          </w:p>
        </w:tc>
      </w:tr>
      <w:tr>
        <w:tc>
          <w:tcPr>
            <w:tcW w:type="dxa" w:w="10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center"/>
            </w:pPr>
            <w:r>
              <w:rPr>
                <w:rFonts w:ascii="Arial" w:cs="Arial" w:eastAsia="Arial" w:hAnsi="Arial"/>
                <w:b/>
                <w:bCs/>
                <w:color w:val="2E5FA3"/>
                <w:sz w:val="19"/>
                <w:szCs w:val="19"/>
              </w:rPr>
              <w:t xml:space="preserve">3</w:t>
            </w:r>
          </w:p>
        </w:tc>
        <w:tc>
          <w:tcPr>
            <w:tcW w:type="dxa" w:w="22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EDA &amp; NLP Preprocessing</w:t>
            </w:r>
          </w:p>
        </w:tc>
        <w:tc>
          <w:tcPr>
            <w:tcW w:type="dxa" w:w="35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Exploratory analysis, tokenization, feature engineering, class balance review</w:t>
            </w:r>
          </w:p>
        </w:tc>
        <w:tc>
          <w:tcPr>
            <w:tcW w:type="dxa" w:w="26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Feature Pipeline Complete</w:t>
            </w:r>
          </w:p>
        </w:tc>
      </w:tr>
      <w:tr>
        <w:tc>
          <w:tcPr>
            <w:tcW w:type="dxa" w:w="10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9"/>
                <w:szCs w:val="19"/>
              </w:rPr>
              <w:t xml:space="preserve">4</w:t>
            </w:r>
          </w:p>
        </w:tc>
        <w:tc>
          <w:tcPr>
            <w:tcW w:type="dxa" w:w="22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Model Development</w:t>
            </w:r>
          </w:p>
        </w:tc>
        <w:tc>
          <w:tcPr>
            <w:tcW w:type="dxa" w:w="35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Classifier training, cross-validation, hyperparameter tuning, baseline comparison</w:t>
            </w:r>
          </w:p>
        </w:tc>
        <w:tc>
          <w:tcPr>
            <w:tcW w:type="dxa" w:w="26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Trained Model v1.0</w:t>
            </w:r>
          </w:p>
        </w:tc>
      </w:tr>
      <w:tr>
        <w:tc>
          <w:tcPr>
            <w:tcW w:type="dxa" w:w="10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center"/>
            </w:pPr>
            <w:r>
              <w:rPr>
                <w:rFonts w:ascii="Arial" w:cs="Arial" w:eastAsia="Arial" w:hAnsi="Arial"/>
                <w:b/>
                <w:bCs/>
                <w:color w:val="2E5FA3"/>
                <w:sz w:val="19"/>
                <w:szCs w:val="19"/>
              </w:rPr>
              <w:t xml:space="preserve">5</w:t>
            </w:r>
          </w:p>
        </w:tc>
        <w:tc>
          <w:tcPr>
            <w:tcW w:type="dxa" w:w="22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Evaluation &amp; Refinement</w:t>
            </w:r>
          </w:p>
        </w:tc>
        <w:tc>
          <w:tcPr>
            <w:tcW w:type="dxa" w:w="356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Precision/recall analysis, error audit, model refinement, safety threshold calibration</w:t>
            </w:r>
          </w:p>
        </w:tc>
        <w:tc>
          <w:tcPr>
            <w:tcW w:type="dxa" w:w="2600"/>
            <w:tcBorders>
              <w:top w:val="single" w:color="D0D8E8" w:sz="1"/>
              <w:left w:val="single" w:color="D0D8E8" w:sz="1"/>
              <w:bottom w:val="single" w:color="D0D8E8" w:sz="1"/>
              <w:right w:val="single" w:color="D0D8E8" w:sz="1"/>
            </w:tcBorders>
            <w:shd w:fill="F0F4FB"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Validated Model + Report</w:t>
            </w:r>
          </w:p>
        </w:tc>
      </w:tr>
      <w:tr>
        <w:tc>
          <w:tcPr>
            <w:tcW w:type="dxa" w:w="10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center"/>
            </w:pPr>
            <w:r>
              <w:rPr>
                <w:rFonts w:ascii="Arial" w:cs="Arial" w:eastAsia="Arial" w:hAnsi="Arial"/>
                <w:b/>
                <w:bCs/>
                <w:color w:val="2E5FA3"/>
                <w:sz w:val="19"/>
                <w:szCs w:val="19"/>
              </w:rPr>
              <w:t xml:space="preserve">6</w:t>
            </w:r>
          </w:p>
        </w:tc>
        <w:tc>
          <w:tcPr>
            <w:tcW w:type="dxa" w:w="22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bCs/>
                <w:color w:val="1A1A2E"/>
                <w:sz w:val="19"/>
                <w:szCs w:val="19"/>
              </w:rPr>
              <w:t xml:space="preserve">Documentation &amp; Handoff</w:t>
            </w:r>
          </w:p>
        </w:tc>
        <w:tc>
          <w:tcPr>
            <w:tcW w:type="dxa" w:w="356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Technical documentation, final testing, stakeholder demo, deployment recommendations</w:t>
            </w:r>
          </w:p>
        </w:tc>
        <w:tc>
          <w:tcPr>
            <w:tcW w:type="dxa" w:w="2600"/>
            <w:tcBorders>
              <w:top w:val="single" w:color="D0D8E8" w:sz="1"/>
              <w:left w:val="single" w:color="D0D8E8" w:sz="1"/>
              <w:bottom w:val="single" w:color="D0D8E8" w:sz="1"/>
              <w:right w:val="single" w:color="D0D8E8" w:sz="1"/>
            </w:tcBorders>
            <w:shd w:fill="FFFFFF" w:val="clear"/>
            <w:tcMar>
              <w:top w:type="dxa" w:w="90"/>
              <w:left w:type="dxa" w:w="140"/>
              <w:bottom w:type="dxa" w:w="90"/>
              <w:right w:type="dxa" w:w="140"/>
            </w:tcMar>
            <w:vAlign w:val="center"/>
          </w:tcPr>
          <w:p>
            <w:pPr>
              <w:jc w:val="left"/>
            </w:pPr>
            <w:r>
              <w:rPr>
                <w:rFonts w:ascii="Arial" w:cs="Arial" w:eastAsia="Arial" w:hAnsi="Arial"/>
                <w:b w:val="false"/>
                <w:bCs w:val="false"/>
                <w:color w:val="1A1A2E"/>
                <w:sz w:val="19"/>
                <w:szCs w:val="19"/>
              </w:rPr>
              <w:t xml:space="preserve">Deployment-Ready Package</w:t>
            </w:r>
          </w:p>
        </w:tc>
      </w:tr>
    </w:tbl>
    <w:p>
      <w:pPr>
        <w:spacing w:after="0" w:before="80"/>
      </w:pPr>
      <w:r>
        <w:t xml:space="preserve"/>
      </w:r>
    </w:p>
    <w:p>
      <w:pPr>
        <w:pBdr>
          <w:bottom w:val="single" w:color="1A3C6E" w:sz="8" w:space="2"/>
        </w:pBdr>
        <w:spacing w:after="80" w:before="180"/>
      </w:pPr>
      <w:r>
        <w:rPr>
          <w:rFonts w:ascii="Arial" w:cs="Arial" w:eastAsia="Arial" w:hAnsi="Arial"/>
          <w:b/>
          <w:bCs/>
          <w:color w:val="1A3C6E"/>
          <w:sz w:val="22"/>
          <w:szCs w:val="22"/>
        </w:rPr>
        <w:t xml:space="preserve">6. CONCLUSION</w:t>
      </w:r>
    </w:p>
    <w:p>
      <w:pPr>
        <w:spacing w:after="40" w:before="40"/>
        <w:jc w:val="both"/>
      </w:pPr>
      <w:r>
        <w:rPr>
          <w:rFonts w:ascii="Arial" w:cs="Arial" w:eastAsia="Arial" w:hAnsi="Arial"/>
          <w:b w:val="false"/>
          <w:bCs w:val="false"/>
          <w:color w:val="1A1A2E"/>
          <w:sz w:val="19"/>
          <w:szCs w:val="19"/>
        </w:rPr>
        <w:t xml:space="preserve">This project delivers a practical, safety-aligned NLP/ML solution for IndiGo's Flight Safety Department — automating the preliminary screening of occurrence reports to identify likely MORs with measurable speed and consistency gains. The phased six-week development plan ensures rigorous data governance, expert validation, and transparent model evaluation aligned with aviation safety standards.</w:t>
      </w:r>
    </w:p>
    <w:p>
      <w:pPr>
        <w:spacing w:after="0" w:before="40"/>
      </w:pPr>
      <w:r>
        <w:t xml:space="preserve"/>
      </w:r>
    </w:p>
    <w:p>
      <w:pPr>
        <w:spacing w:after="40" w:before="40"/>
        <w:jc w:val="both"/>
      </w:pPr>
      <w:r>
        <w:rPr>
          <w:rFonts w:ascii="Arial" w:cs="Arial" w:eastAsia="Arial" w:hAnsi="Arial"/>
          <w:b w:val="false"/>
          <w:bCs w:val="false"/>
          <w:color w:val="1A1A2E"/>
          <w:sz w:val="19"/>
          <w:szCs w:val="19"/>
        </w:rPr>
        <w:t xml:space="preserve">The system is explicitly designed as a human-in-the-loop decision-support tool. No automated regulatory filing will occur, and final MOR determinations will always reside with certified Flight Safety personnel. If successfully validated, the system presents a compelling foundation for a scalable, data-driven safety reporting capability — supporting IndiGo's commitment to operational excellence and DGCA regulatory compliance.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8A" w:sz="6"/>
              <w:left w:val="single" w:color="0D7A8A" w:sz="6"/>
              <w:bottom w:val="single" w:color="0D7A8A" w:sz="6"/>
              <w:right w:val="single" w:color="0D7A8A" w:sz="6"/>
            </w:tcBorders>
            <w:shd w:fill="E6F4F6" w:val="clear"/>
            <w:tcMar>
              <w:top w:type="dxa" w:w="100"/>
              <w:left w:type="dxa" w:w="180"/>
              <w:bottom w:type="dxa" w:w="100"/>
              <w:right w:type="dxa" w:w="180"/>
            </w:tcMar>
          </w:tcPr>
          <w:p>
            <w:r>
              <w:rPr>
                <w:rFonts w:ascii="Arial" w:cs="Arial" w:eastAsia="Arial" w:hAnsi="Arial"/>
                <w:b/>
                <w:bCs/>
                <w:color w:val="0D7A8A"/>
                <w:sz w:val="18"/>
                <w:szCs w:val="18"/>
              </w:rPr>
              <w:t xml:space="preserve">Disclaimer: </w:t>
            </w:r>
            <w:r>
              <w:rPr>
                <w:rFonts w:ascii="Arial" w:cs="Arial" w:eastAsia="Arial" w:hAnsi="Arial"/>
                <w:i/>
                <w:iCs/>
                <w:color w:val="4A5568"/>
                <w:sz w:val="18"/>
                <w:szCs w:val="18"/>
              </w:rPr>
              <w:t xml:space="preserve">This report is prepared for internal Flight Safety management review as part of the IndiGo IAL (DDS) Internship Programme. All data analysis and model outputs will comply with IndiGo data governance policies. The ML system described herein is a support tool only and does not constitute regulatory advice.</w:t>
            </w:r>
          </w:p>
        </w:tc>
      </w:tr>
    </w:tbl>
    <w:sectPr>
      <w:footerReference w:type="default" r:id="rId7"/>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4"/>
      </w:pBdr>
      <w:tabs>
        <w:tab w:val="center" w:pos="4680"/>
        <w:tab w:val="right" w:pos="9360"/>
      </w:tabs>
      <w:spacing w:before="60"/>
    </w:pPr>
    <w:r>
      <w:rPr>
        <w:rFonts w:ascii="Arial" w:cs="Arial" w:eastAsia="Arial" w:hAnsi="Arial"/>
        <w:color w:val="4A5568"/>
        <w:sz w:val="16"/>
        <w:szCs w:val="16"/>
      </w:rPr>
      <w:t xml:space="preserve">IndiGo Airlines — Flight Safety Department</w:t>
    </w:r>
    <w:r>
      <w:rPr>
        <w:rFonts w:ascii="Arial" w:cs="Arial" w:eastAsia="Arial" w:hAnsi="Arial"/>
        <w:sz w:val="16"/>
        <w:szCs w:val="16"/>
      </w:rPr>
      <w:t xml:space="preserve">	</w:t>
    </w:r>
    <w:r>
      <w:rPr>
        <w:rFonts w:ascii="Arial" w:cs="Arial" w:eastAsia="Arial" w:hAnsi="Arial"/>
        <w:i/>
        <w:iCs/>
        <w:color w:val="4A5568"/>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A5568"/>
        <w:sz w:val="16"/>
        <w:szCs w:val="16"/>
      </w:rPr>
      <w:t xml:space="preserve">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8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2026-06-10T17:01:20.624Z</dcterms:created>
  <dcterms:modified xsi:type="dcterms:W3CDTF">2026-06-10T17:01:20.624Z</dcterms:modified>
</cp:coreProperties>
</file>

<file path=docProps/custom.xml><?xml version="1.0" encoding="utf-8"?>
<Properties xmlns="http://schemas.openxmlformats.org/officeDocument/2006/custom-properties" xmlns:vt="http://schemas.openxmlformats.org/officeDocument/2006/docPropsVTypes"/>
</file>