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20"/>
        <w:jc w:val="center"/>
      </w:pPr>
      <w:r>
        <w:rPr>
          <w:b/>
          <w:bCs/>
          <w:color w:val="1F4E5C"/>
          <w:sz w:val="44"/>
          <w:szCs w:val="44"/>
        </w:rPr>
        <w:t xml:space="preserve">LPG Flow &amp; Weathering Temperature</w:t>
      </w:r>
    </w:p>
    <w:p>
      <w:pPr>
        <w:spacing w:after="400"/>
        <w:jc w:val="center"/>
      </w:pPr>
      <w:r>
        <w:rPr>
          <w:b/>
          <w:bCs/>
          <w:color w:val="1F4E5C"/>
          <w:sz w:val="44"/>
          <w:szCs w:val="44"/>
        </w:rPr>
        <w:t xml:space="preserve">Prediction and Optimization</w:t>
      </w:r>
    </w:p>
    <w:p>
      <w:pPr>
        <w:spacing w:after="800"/>
        <w:jc w:val="center"/>
      </w:pPr>
      <w:r>
        <w:rPr>
          <w:i/>
          <w:iCs/>
          <w:color w:val="555555"/>
          <w:sz w:val="26"/>
          <w:szCs w:val="26"/>
        </w:rPr>
        <w:t xml:space="preserve">Machine Learning Study of the Naphtha Stabilizer Column</w:t>
      </w:r>
    </w:p>
    <w:p>
      <w:pPr>
        <w:spacing w:after="3000"/>
        <w:jc w:val="center"/>
      </w:pPr>
      <w:r>
        <w:rPr>
          <w:b/>
          <w:bCs/>
          <w:sz w:val="24"/>
          <w:szCs w:val="24"/>
        </w:rPr>
        <w:t xml:space="preserve">Project Report — IOCL Internship</w:t>
      </w:r>
    </w:p>
    <w:p>
      <w:r>
        <w:br w:type="page"/>
      </w:r>
    </w:p>
    <w:p>
      <w:pPr>
        <w:pStyle w:val="Heading1"/>
        <w:spacing w:after="160" w:before="360"/>
      </w:pPr>
      <w:r>
        <w:t xml:space="preserve">Executive Summary</w:t>
      </w:r>
    </w:p>
    <w:p>
      <w:pPr>
        <w:spacing w:after="160"/>
      </w:pPr>
      <w:r>
        <w:t xml:space="preserve">This project applies machine learning to the Naphtha Stabilizer Column of a refinery process, with two linked objectives: predicting LPG Flow (product quantity) and predicting Weathering Temperature (a product quality indicator), and then using the quantity model to recommend operating conditions that increase LPG output.</w:t>
      </w:r>
    </w:p>
    <w:p>
      <w:pPr>
        <w:spacing w:after="160"/>
      </w:pPr>
      <w:r>
        <w:t xml:space="preserve">Work proceeded through six stages, each captured in its own notebook:</w:t>
      </w:r>
    </w:p>
    <w:p>
      <w:pPr>
        <w:pStyle w:val="ListParagraph"/>
        <w:numPr>
          <w:ilvl w:val="0"/>
          <w:numId w:val="1"/>
        </w:numPr>
        <w:spacing w:after="80"/>
      </w:pPr>
      <w:r>
        <w:t xml:space="preserve">Exploratory Data Access (eda.ipynb) — initial load of the raw sensor dataset.</w:t>
      </w:r>
    </w:p>
    <w:p>
      <w:pPr>
        <w:pStyle w:val="ListParagraph"/>
        <w:numPr>
          <w:ilvl w:val="0"/>
          <w:numId w:val="1"/>
        </w:numPr>
        <w:spacing w:after="80"/>
      </w:pPr>
      <w:r>
        <w:t xml:space="preserve">Data Preparation (dataprep.ipynb) — merging process data with weathering data, cleaning, and type conversion.</w:t>
      </w:r>
    </w:p>
    <w:p>
      <w:pPr>
        <w:pStyle w:val="ListParagraph"/>
        <w:numPr>
          <w:ilvl w:val="0"/>
          <w:numId w:val="1"/>
        </w:numPr>
        <w:spacing w:after="80"/>
      </w:pPr>
      <w:r>
        <w:t xml:space="preserve">Weathering Temperature Investigation (investigation.ipynb) — a hypothesis-driven search for a usable quality model.</w:t>
      </w:r>
    </w:p>
    <w:p>
      <w:pPr>
        <w:pStyle w:val="ListParagraph"/>
        <w:numPr>
          <w:ilvl w:val="0"/>
          <w:numId w:val="1"/>
        </w:numPr>
        <w:spacing w:after="80"/>
      </w:pPr>
      <w:r>
        <w:t xml:space="preserve">LPG Flow Prediction (lpgpred.ipynb) — a hypothesis-driven search for a usable quantity model.</w:t>
      </w:r>
    </w:p>
    <w:p>
      <w:pPr>
        <w:pStyle w:val="ListParagraph"/>
        <w:numPr>
          <w:ilvl w:val="0"/>
          <w:numId w:val="1"/>
        </w:numPr>
        <w:spacing w:after="80"/>
      </w:pPr>
      <w:r>
        <w:t xml:space="preserve">Model Deployment Packaging (save_model.ipynb) — freezing the final LPG Flow model to disk.</w:t>
      </w:r>
    </w:p>
    <w:p>
      <w:pPr>
        <w:pStyle w:val="ListParagraph"/>
        <w:numPr>
          <w:ilvl w:val="0"/>
          <w:numId w:val="1"/>
        </w:numPr>
        <w:spacing w:after="80"/>
      </w:pPr>
      <w:r>
        <w:t xml:space="preserve">Operating Point Optimization (optimizer.ipynb) — grid search over the deployed model to recommend setpoints.</w:t>
      </w:r>
    </w:p>
    <w:p>
      <w:pPr>
        <w:spacing w:after="160"/>
      </w:pPr>
      <w:r>
        <w:t xml:space="preserve">The headline results:</w:t>
      </w:r>
    </w:p>
    <w:p>
      <w:pPr>
        <w:pStyle w:val="ListParagraph"/>
        <w:numPr>
          <w:ilvl w:val="0"/>
          <w:numId w:val="1"/>
        </w:numPr>
        <w:spacing w:after="80"/>
      </w:pPr>
      <w:r>
        <w:t xml:space="preserve">LPG Flow could be predicted well: the final Random Forest model reached R² ≈ 0.75 on a held-out test set and R² ≈ 0.67 under 5-fold cross-validation, using 13 process variables.</w:t>
      </w:r>
    </w:p>
    <w:p>
      <w:pPr>
        <w:pStyle w:val="ListParagraph"/>
        <w:numPr>
          <w:ilvl w:val="0"/>
          <w:numId w:val="1"/>
        </w:numPr>
        <w:spacing w:after="80"/>
      </w:pPr>
      <w:r>
        <w:t xml:space="preserve">Weathering Temperature could not be predicted reliably: the best model achieved only R² ≈ 0.14 on a single split and R² ≈ 0.05 under cross-validation, despite ten rounds of feature engineering and algorithm comparison.</w:t>
      </w:r>
    </w:p>
    <w:p>
      <w:pPr>
        <w:pStyle w:val="ListParagraph"/>
        <w:numPr>
          <w:ilvl w:val="0"/>
          <w:numId w:val="1"/>
        </w:numPr>
        <w:spacing w:after="80"/>
      </w:pPr>
      <w:r>
        <w:t xml:space="preserve">Using the deployed LPG Flow model, a constrained grid search identified operating conditions predicted to raise LPG Flow by ~6.2% (from 18.02 to 19.14 units) over the assumed baseline, while respecting realistic plant safety limits.</w:t>
      </w:r>
    </w:p>
    <w:p>
      <w:pPr>
        <w:spacing w:after="160"/>
      </w:pPr>
      <w:r>
        <w:t xml:space="preserve">Overall, the project delivers a validated, deployable model for LPG quantity and a corresponding optimizer, while establishing that LPG quality (Weathering Temperature) is not well explained by the currently available process variables and needs further sensor or feature work before a similar deployment is justified.</w:t>
      </w:r>
    </w:p>
    <w:p>
      <w:pPr>
        <w:pStyle w:val="Heading1"/>
        <w:spacing w:after="160" w:before="360"/>
      </w:pPr>
      <w:r>
        <w:t xml:space="preserve">1. Data Sourcing and Preparation</w:t>
      </w:r>
    </w:p>
    <w:p>
      <w:pPr>
        <w:pStyle w:val="Heading2"/>
        <w:spacing w:after="120" w:before="260"/>
      </w:pPr>
      <w:r>
        <w:t xml:space="preserve">1.1 Initial Data Access (eda.ipynb)</w:t>
      </w:r>
    </w:p>
    <w:p>
      <w:pPr>
        <w:spacing w:after="160"/>
      </w:pPr>
      <w:r>
        <w:t xml:space="preserve">The raw dataset was loaded directly from the plant data export, a multi-sheet Excel workbook (dataset.xlsx). The primary sheet ("Sheet1") contains daily process variable readings from the Naphtha Stabilizer Column, with a second sheet holding LPG weathering (quality) measurements on a separate date-indexed basis.</w:t>
      </w:r>
    </w:p>
    <w:p>
      <w:pPr>
        <w:pStyle w:val="Heading2"/>
        <w:spacing w:after="120" w:before="260"/>
      </w:pPr>
      <w:r>
        <w:t xml:space="preserve">1.2 Merging and Cleaning (dataprep.ipynb)</w:t>
      </w:r>
    </w:p>
    <w:p>
      <w:pPr>
        <w:spacing w:after="160"/>
      </w:pPr>
      <w:r>
        <w:t xml:space="preserve">The process data and weathering data were joined on date, since they originate from separate instrumentation and logging systems:</w:t>
      </w:r>
    </w:p>
    <w:p>
      <w:pPr>
        <w:pStyle w:val="ListParagraph"/>
        <w:numPr>
          <w:ilvl w:val="0"/>
          <w:numId w:val="1"/>
        </w:numPr>
        <w:spacing w:after="80"/>
      </w:pPr>
      <w:r>
        <w:t xml:space="preserve">The process sheet (df_process) and the weathering sheet (df_weather) were loaded and their DATE columns parsed as datetimes.</w:t>
      </w:r>
    </w:p>
    <w:p>
      <w:pPr>
        <w:pStyle w:val="ListParagraph"/>
        <w:numPr>
          <w:ilvl w:val="0"/>
          <w:numId w:val="1"/>
        </w:numPr>
        <w:spacing w:after="80"/>
      </w:pPr>
      <w:r>
        <w:t xml:space="preserve">A left join on DATE matched 472 of 745 total process rows to a weathering reading; the remaining 273 unmatched rows (no corresponding weathering value) were dropped.</w:t>
      </w:r>
    </w:p>
    <w:p>
      <w:pPr>
        <w:pStyle w:val="ListParagraph"/>
        <w:numPr>
          <w:ilvl w:val="0"/>
          <w:numId w:val="1"/>
        </w:numPr>
        <w:spacing w:after="80"/>
      </w:pPr>
      <w:r>
        <w:t xml:space="preserve">The “Stab. 32 Tray” column was removed, since it was missing for 97% of rows.</w:t>
      </w:r>
    </w:p>
    <w:p>
      <w:pPr>
        <w:pStyle w:val="ListParagraph"/>
        <w:numPr>
          <w:ilvl w:val="0"/>
          <w:numId w:val="1"/>
        </w:numPr>
        <w:spacing w:after="80"/>
      </w:pPr>
      <w:r>
        <w:t xml:space="preserve">Two duplicate rows and 12 residual missing values were dropped, leaving a clean dataset of 458 rows and 24 columns.</w:t>
      </w:r>
    </w:p>
    <w:p>
      <w:pPr>
        <w:pStyle w:val="ListParagraph"/>
        <w:numPr>
          <w:ilvl w:val="0"/>
          <w:numId w:val="1"/>
        </w:numPr>
        <w:spacing w:after="80"/>
      </w:pPr>
      <w:r>
        <w:t xml:space="preserve">All feature columns (originally read in as text/tag-name placeholders, e.g. sensor tag codes in header rows) were converted to numeric types.</w:t>
      </w:r>
    </w:p>
    <w:p>
      <w:pPr>
        <w:pStyle w:val="ListParagraph"/>
        <w:numPr>
          <w:ilvl w:val="0"/>
          <w:numId w:val="1"/>
        </w:numPr>
        <w:spacing w:after="80"/>
      </w:pPr>
      <w:r>
        <w:t xml:space="preserve">The cleaned dataset was exported to df_clean.csv, which became the shared input for all subsequent modeling notebooks.</w:t>
      </w:r>
    </w:p>
    <w:p>
      <w:pPr>
        <w:pStyle w:val="Heading3"/>
        <w:spacing w:after="100" w:before="200"/>
      </w:pPr>
      <w:r>
        <w:t xml:space="preserve">Target Variable: Weathering Temperature (Wthr)</w:t>
      </w:r>
    </w:p>
    <w:p>
      <w:pPr>
        <w:spacing w:after="160"/>
      </w:pPr>
      <w:r>
        <w:t xml:space="preserve">The weathering temperature target ranges from -4.0 to 5.0, with a mean of -0.85 and standard deviation of 1.23. Its distribution is concentrated around -1.0 and -2.0, with 30 distinct values across 458 rows — a fairly narrow, discrete-feeling target that would later prove difficult to predict from the available sensors.</w:t>
      </w:r>
    </w:p>
    <w:p>
      <w:pPr>
        <w:pStyle w:val="Heading1"/>
        <w:spacing w:after="160" w:before="360"/>
      </w:pPr>
      <w:r>
        <w:t xml:space="preserve">2. Weathering Temperature Prediction (investigation.ipynb)</w:t>
      </w:r>
    </w:p>
    <w:p>
      <w:pPr>
        <w:spacing w:after="160"/>
      </w:pPr>
      <w:r>
        <w:t xml:space="preserve">This notebook follows a strict hypothesis → experiment → conclusion workflow, testing ten ideas in sequence to try to build a usable model for Weathering Temperature. A Random Forest Regressor was used throughout, evaluated by MAE, RMSE, and R² on an 80/20 train-test split (random_state=42).</w:t>
      </w:r>
    </w:p>
    <w:p>
      <w:pPr>
        <w:pStyle w:val="Heading2"/>
        <w:spacing w:after="120" w:before="260"/>
      </w:pPr>
      <w:r>
        <w:t xml:space="preserve">2.1 Baseline Model</w:t>
      </w:r>
    </w:p>
    <w:p>
      <w:pPr>
        <w:spacing w:after="160"/>
      </w:pPr>
      <w:r>
        <w:t xml:space="preserve">A baseline Random Forest using all 22 available process features produced:</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tblGrid>
      <w:tr>
        <w:trPr>
          <w:tblHeader/>
        </w:trPr>
        <w:tc>
          <w:tcPr>
            <w:tcW w:type="dxa" w:w="4000"/>
            <w:shd w:fill="1F4E5C" w:val="clear"/>
            <w:vAlign w:val="center"/>
          </w:tcPr>
          <w:p>
            <w:r>
              <w:rPr>
                <w:b/>
                <w:bCs/>
                <w:color w:val="FFFFFF"/>
                <w:sz w:val="20"/>
                <w:szCs w:val="20"/>
              </w:rPr>
              <w:t xml:space="preserve">Metric</w:t>
            </w:r>
          </w:p>
        </w:tc>
        <w:tc>
          <w:tcPr>
            <w:tcW w:type="dxa" w:w="4000"/>
            <w:shd w:fill="1F4E5C" w:val="clear"/>
            <w:vAlign w:val="center"/>
          </w:tcPr>
          <w:p>
            <w:r>
              <w:rPr>
                <w:b/>
                <w:bCs/>
                <w:color w:val="FFFFFF"/>
                <w:sz w:val="20"/>
                <w:szCs w:val="20"/>
              </w:rPr>
              <w:t xml:space="preserve">Value</w:t>
            </w:r>
          </w:p>
        </w:tc>
      </w:tr>
      <w:tr>
        <w:tc>
          <w:tcPr>
            <w:tcW w:type="dxa" w:w="4000"/>
            <w:vAlign w:val="center"/>
          </w:tcPr>
          <w:p>
            <w:r>
              <w:rPr>
                <w:b w:val="false"/>
                <w:bCs w:val="false"/>
                <w:sz w:val="20"/>
                <w:szCs w:val="20"/>
              </w:rPr>
              <w:t xml:space="preserve">MAE</w:t>
            </w:r>
          </w:p>
        </w:tc>
        <w:tc>
          <w:tcPr>
            <w:tcW w:type="dxa" w:w="4000"/>
            <w:vAlign w:val="center"/>
          </w:tcPr>
          <w:p>
            <w:r>
              <w:rPr>
                <w:b w:val="false"/>
                <w:bCs w:val="false"/>
                <w:sz w:val="20"/>
                <w:szCs w:val="20"/>
              </w:rPr>
              <w:t xml:space="preserve">0.919</w:t>
            </w:r>
          </w:p>
        </w:tc>
      </w:tr>
      <w:tr>
        <w:tc>
          <w:tcPr>
            <w:tcW w:type="dxa" w:w="4000"/>
            <w:shd w:fill="EAF2F4" w:val="clear"/>
            <w:vAlign w:val="center"/>
          </w:tcPr>
          <w:p>
            <w:r>
              <w:rPr>
                <w:b w:val="false"/>
                <w:bCs w:val="false"/>
                <w:sz w:val="20"/>
                <w:szCs w:val="20"/>
              </w:rPr>
              <w:t xml:space="preserve">RMSE</w:t>
            </w:r>
          </w:p>
        </w:tc>
        <w:tc>
          <w:tcPr>
            <w:tcW w:type="dxa" w:w="4000"/>
            <w:shd w:fill="EAF2F4" w:val="clear"/>
            <w:vAlign w:val="center"/>
          </w:tcPr>
          <w:p>
            <w:r>
              <w:rPr>
                <w:b w:val="false"/>
                <w:bCs w:val="false"/>
                <w:sz w:val="20"/>
                <w:szCs w:val="20"/>
              </w:rPr>
              <w:t xml:space="preserve">1.162</w:t>
            </w:r>
          </w:p>
        </w:tc>
      </w:tr>
      <w:tr>
        <w:tc>
          <w:tcPr>
            <w:tcW w:type="dxa" w:w="4000"/>
            <w:vAlign w:val="center"/>
          </w:tcPr>
          <w:p>
            <w:r>
              <w:rPr>
                <w:b w:val="false"/>
                <w:bCs w:val="false"/>
                <w:sz w:val="20"/>
                <w:szCs w:val="20"/>
              </w:rPr>
              <w:t xml:space="preserve">R²</w:t>
            </w:r>
          </w:p>
        </w:tc>
        <w:tc>
          <w:tcPr>
            <w:tcW w:type="dxa" w:w="4000"/>
            <w:vAlign w:val="center"/>
          </w:tcPr>
          <w:p>
            <w:r>
              <w:rPr>
                <w:b w:val="false"/>
                <w:bCs w:val="false"/>
                <w:sz w:val="20"/>
                <w:szCs w:val="20"/>
              </w:rPr>
              <w:t xml:space="preserve">-0.012</w:t>
            </w:r>
          </w:p>
        </w:tc>
      </w:tr>
    </w:tbl>
    <w:p>
      <w:pPr>
        <w:spacing w:after="160"/>
      </w:pPr>
      <w:r>
        <w:t xml:space="preserve">A negative R² means the baseline model performed worse than simply predicting the mean Weathering Temperature for every row — an immediate signal that the raw feature set carries little predictive signal for this target.</w:t>
      </w:r>
    </w:p>
    <w:p>
      <w:pPr>
        <w:pStyle w:val="Heading2"/>
        <w:spacing w:after="120" w:before="260"/>
      </w:pPr>
      <w:r>
        <w:t xml:space="preserve">2.2 Experiment Log</w:t>
      </w:r>
    </w:p>
    <w:p>
      <w:pPr>
        <w:pStyle w:val="Heading3"/>
        <w:spacing w:after="100" w:before="200"/>
      </w:pPr>
      <w:r>
        <w:t xml:space="preserve">Experiment 1 — Remove Suspected Faulty Sensor</w:t>
      </w:r>
    </w:p>
    <w:p>
      <w:pPr>
        <w:spacing w:after="160"/>
      </w:pPr>
      <w:r>
        <w:t xml:space="preserve">Hypothesis: the “Off Spec LPG flow (tag Faulty)” sensor was corrupting the model. Removing it made performance slightly worse (R² = -0.047), so the hypothesis was not supported.</w:t>
      </w:r>
    </w:p>
    <w:p>
      <w:pPr>
        <w:pStyle w:val="Heading3"/>
        <w:spacing w:after="100" w:before="200"/>
      </w:pPr>
      <w:r>
        <w:t xml:space="preserve">Experiment 2 — Before/After a Sensor Regime Change</w:t>
      </w:r>
    </w:p>
    <w:p>
      <w:pPr>
        <w:spacing w:after="160"/>
      </w:pPr>
      <w:r>
        <w:t xml:space="preserve">Hypothesis: performance would improve after the point where the faulty sensor was fixed (row index 419). The “before” period remained poor (R² = -0.140, n=419); the “after” period looked better (R² = 0.346) but had only 39 rows — too few to draw a reliable conclusion. The evidence was judged too weak to attribute the poor baseline to this sensor issue.</w:t>
      </w:r>
    </w:p>
    <w:p>
      <w:pPr>
        <w:pStyle w:val="Heading3"/>
        <w:spacing w:after="100" w:before="200"/>
      </w:pPr>
      <w:r>
        <w:t xml:space="preserve">Experiment 3 — Process Time-Lag (1-Day Shift)</w:t>
      </w:r>
    </w:p>
    <w:p>
      <w:pPr>
        <w:spacing w:after="160"/>
      </w:pPr>
      <w:r>
        <w:t xml:space="preserve">Hypothesis: there is a delay between sensor readings and the resulting Weathering Temperature. Shifting all feature columns by one day and retraining gave R² = 0.004 — a marginal improvement over the baseline but still effectively no predictive power.</w:t>
      </w:r>
    </w:p>
    <w:p>
      <w:pPr>
        <w:pStyle w:val="Heading3"/>
        <w:spacing w:after="100" w:before="200"/>
      </w:pPr>
      <w:r>
        <w:t xml:space="preserve">Experiment 4 — Physics-Based Feature Selection</w:t>
      </w:r>
    </w:p>
    <w:p>
      <w:pPr>
        <w:spacing w:after="160"/>
      </w:pPr>
      <w:r>
        <w:t xml:space="preserve">Rather than statistical selection, features were grouped by process engineering judgment into four phases of decreasing physical relevance to the stabilization process (Phase 1: strong direct influence, e.g. bottom temperature/pressure and reboiler flow; Phase 2: strong indirect influence; Phase 3: moderate influence; Phase 4: weak/conditional). Restricting the model to Phase 1 alone gave R² = 0.080; Phase 1+2 improved this further to R² = 0.109 — the best result up to this point, and better than using all 22 raw features.</w:t>
      </w:r>
    </w:p>
    <w:p>
      <w:pPr>
        <w:pStyle w:val="Heading3"/>
        <w:spacing w:after="100" w:before="200"/>
      </w:pPr>
      <w:r>
        <w:t xml:space="preserve">Experiment 5 — Engineered Feature: Reboiler Temperature Rise</w:t>
      </w:r>
    </w:p>
    <w:p>
      <w:pPr>
        <w:spacing w:after="160"/>
      </w:pPr>
      <w:r>
        <w:t xml:space="preserve">A new feature (Bottom Reboiler Outlet Temp − Bottom Reboiler Inlet Temp) was added to the Phase 1+2 feature set, representing heat transferred across the reboiler. This raised R² from 0.109 to 0.115 — accepted as a small improvement.</w:t>
      </w:r>
    </w:p>
    <w:p>
      <w:pPr>
        <w:pStyle w:val="Heading3"/>
        <w:spacing w:after="100" w:before="200"/>
      </w:pPr>
      <w:r>
        <w:t xml:space="preserve">Experiment 6 — Engineered Feature: Specific Reboiler Duty</w:t>
      </w:r>
    </w:p>
    <w:p>
      <w:pPr>
        <w:spacing w:after="160"/>
      </w:pPr>
      <w:r>
        <w:t xml:space="preserve">A ratio feature, (HGO CR Flow × Reboiler Temperature Rise) / Stabilized Naphtha Flow, intended to proxy stripping efficiency, was added. R² improved further to 0.131 — accepted.</w:t>
      </w:r>
    </w:p>
    <w:p>
      <w:pPr>
        <w:pStyle w:val="Heading3"/>
        <w:spacing w:after="100" w:before="200"/>
      </w:pPr>
      <w:r>
        <w:t xml:space="preserve">Experiment 8 — Engineered Feature: Stripping Factor Proxy</w:t>
      </w:r>
    </w:p>
    <w:p>
      <w:pPr>
        <w:spacing w:after="160"/>
      </w:pPr>
      <w:r>
        <w:t xml:space="preserve">A ratio of Bottom Temperature to Bottom Pressure was added as a proxy for vapor-liquid equilibrium. R² improved again to 0.143 — accepted, and this became the best-performing feature set in the notebook (Phase 1 + Phase 2 + three engineered features, 13 features total).</w:t>
      </w:r>
    </w:p>
    <w:p>
      <w:pPr>
        <w:pStyle w:val="Heading3"/>
        <w:spacing w:after="100" w:before="200"/>
      </w:pPr>
      <w:r>
        <w:t xml:space="preserve">Experiment 9 — Random Forest vs. XGBoost</w:t>
      </w:r>
    </w:p>
    <w:p>
      <w:pPr>
        <w:spacing w:after="160"/>
      </w:pPr>
      <w:r>
        <w:t xml:space="preserve">Using the same 13-feature set, an XGBoost Regressor was tested against the Random Forest baseline. XGBoost underperformed (R² = 0.042 vs. 0.143), so Random Forest was retained as the better algorithm for this problem.</w:t>
      </w:r>
    </w:p>
    <w:p>
      <w:pPr>
        <w:pStyle w:val="Heading3"/>
        <w:spacing w:after="100" w:before="200"/>
      </w:pPr>
      <w:r>
        <w:t xml:space="preserve">Experiment 10 — 5-Fold Cross-Validation</w:t>
      </w:r>
    </w:p>
    <w:p>
      <w:pPr>
        <w:spacing w:after="160"/>
      </w:pPr>
      <w:r>
        <w:t xml:space="preserve">The best model (Random Forest, 13 engineered/selected features) was validated with 5-fold cross-validation to check stability. The result was weak and inconsistent across folds: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tblGrid>
      <w:tr>
        <w:trPr>
          <w:tblHeader/>
        </w:trPr>
        <w:tc>
          <w:tcPr>
            <w:tcW w:type="dxa" w:w="4000"/>
            <w:shd w:fill="1F4E5C" w:val="clear"/>
            <w:vAlign w:val="center"/>
          </w:tcPr>
          <w:p>
            <w:r>
              <w:rPr>
                <w:b/>
                <w:bCs/>
                <w:color w:val="FFFFFF"/>
                <w:sz w:val="20"/>
                <w:szCs w:val="20"/>
              </w:rPr>
              <w:t xml:space="preserve">Fold</w:t>
            </w:r>
          </w:p>
        </w:tc>
        <w:tc>
          <w:tcPr>
            <w:tcW w:type="dxa" w:w="4000"/>
            <w:shd w:fill="1F4E5C" w:val="clear"/>
            <w:vAlign w:val="center"/>
          </w:tcPr>
          <w:p>
            <w:r>
              <w:rPr>
                <w:b/>
                <w:bCs/>
                <w:color w:val="FFFFFF"/>
                <w:sz w:val="20"/>
                <w:szCs w:val="20"/>
              </w:rPr>
              <w:t xml:space="preserve">R²</w:t>
            </w:r>
          </w:p>
        </w:tc>
      </w:tr>
      <w:tr>
        <w:tc>
          <w:tcPr>
            <w:tcW w:type="dxa" w:w="4000"/>
            <w:vAlign w:val="center"/>
          </w:tcPr>
          <w:p>
            <w:r>
              <w:rPr>
                <w:b w:val="false"/>
                <w:bCs w:val="false"/>
                <w:sz w:val="20"/>
                <w:szCs w:val="20"/>
              </w:rPr>
              <w:t xml:space="preserve">1</w:t>
            </w:r>
          </w:p>
        </w:tc>
        <w:tc>
          <w:tcPr>
            <w:tcW w:type="dxa" w:w="4000"/>
            <w:vAlign w:val="center"/>
          </w:tcPr>
          <w:p>
            <w:r>
              <w:rPr>
                <w:b w:val="false"/>
                <w:bCs w:val="false"/>
                <w:sz w:val="20"/>
                <w:szCs w:val="20"/>
              </w:rPr>
              <w:t xml:space="preserve">0.129</w:t>
            </w:r>
          </w:p>
        </w:tc>
      </w:tr>
      <w:tr>
        <w:tc>
          <w:tcPr>
            <w:tcW w:type="dxa" w:w="4000"/>
            <w:shd w:fill="EAF2F4" w:val="clear"/>
            <w:vAlign w:val="center"/>
          </w:tcPr>
          <w:p>
            <w:r>
              <w:rPr>
                <w:b w:val="false"/>
                <w:bCs w:val="false"/>
                <w:sz w:val="20"/>
                <w:szCs w:val="20"/>
              </w:rPr>
              <w:t xml:space="preserve">2</w:t>
            </w:r>
          </w:p>
        </w:tc>
        <w:tc>
          <w:tcPr>
            <w:tcW w:type="dxa" w:w="4000"/>
            <w:shd w:fill="EAF2F4" w:val="clear"/>
            <w:vAlign w:val="center"/>
          </w:tcPr>
          <w:p>
            <w:r>
              <w:rPr>
                <w:b w:val="false"/>
                <w:bCs w:val="false"/>
                <w:sz w:val="20"/>
                <w:szCs w:val="20"/>
              </w:rPr>
              <w:t xml:space="preserve">-0.129</w:t>
            </w:r>
          </w:p>
        </w:tc>
      </w:tr>
      <w:tr>
        <w:tc>
          <w:tcPr>
            <w:tcW w:type="dxa" w:w="4000"/>
            <w:vAlign w:val="center"/>
          </w:tcPr>
          <w:p>
            <w:r>
              <w:rPr>
                <w:b w:val="false"/>
                <w:bCs w:val="false"/>
                <w:sz w:val="20"/>
                <w:szCs w:val="20"/>
              </w:rPr>
              <w:t xml:space="preserve">3</w:t>
            </w:r>
          </w:p>
        </w:tc>
        <w:tc>
          <w:tcPr>
            <w:tcW w:type="dxa" w:w="4000"/>
            <w:vAlign w:val="center"/>
          </w:tcPr>
          <w:p>
            <w:r>
              <w:rPr>
                <w:b w:val="false"/>
                <w:bCs w:val="false"/>
                <w:sz w:val="20"/>
                <w:szCs w:val="20"/>
              </w:rPr>
              <w:t xml:space="preserve">0.066</w:t>
            </w:r>
          </w:p>
        </w:tc>
      </w:tr>
      <w:tr>
        <w:tc>
          <w:tcPr>
            <w:tcW w:type="dxa" w:w="4000"/>
            <w:shd w:fill="EAF2F4" w:val="clear"/>
            <w:vAlign w:val="center"/>
          </w:tcPr>
          <w:p>
            <w:r>
              <w:rPr>
                <w:b w:val="false"/>
                <w:bCs w:val="false"/>
                <w:sz w:val="20"/>
                <w:szCs w:val="20"/>
              </w:rPr>
              <w:t xml:space="preserve">4</w:t>
            </w:r>
          </w:p>
        </w:tc>
        <w:tc>
          <w:tcPr>
            <w:tcW w:type="dxa" w:w="4000"/>
            <w:shd w:fill="EAF2F4" w:val="clear"/>
            <w:vAlign w:val="center"/>
          </w:tcPr>
          <w:p>
            <w:r>
              <w:rPr>
                <w:b w:val="false"/>
                <w:bCs w:val="false"/>
                <w:sz w:val="20"/>
                <w:szCs w:val="20"/>
              </w:rPr>
              <w:t xml:space="preserve">0.043</w:t>
            </w:r>
          </w:p>
        </w:tc>
      </w:tr>
      <w:tr>
        <w:tc>
          <w:tcPr>
            <w:tcW w:type="dxa" w:w="4000"/>
            <w:vAlign w:val="center"/>
          </w:tcPr>
          <w:p>
            <w:r>
              <w:rPr>
                <w:b w:val="false"/>
                <w:bCs w:val="false"/>
                <w:sz w:val="20"/>
                <w:szCs w:val="20"/>
              </w:rPr>
              <w:t xml:space="preserve">5</w:t>
            </w:r>
          </w:p>
        </w:tc>
        <w:tc>
          <w:tcPr>
            <w:tcW w:type="dxa" w:w="4000"/>
            <w:vAlign w:val="center"/>
          </w:tcPr>
          <w:p>
            <w:r>
              <w:rPr>
                <w:b w:val="false"/>
                <w:bCs w:val="false"/>
                <w:sz w:val="20"/>
                <w:szCs w:val="20"/>
              </w:rPr>
              <w:t xml:space="preserve">0.118</w:t>
            </w:r>
          </w:p>
        </w:tc>
      </w:tr>
      <w:tr>
        <w:tc>
          <w:tcPr>
            <w:tcW w:type="dxa" w:w="4000"/>
            <w:shd w:fill="EAF2F4" w:val="clear"/>
            <w:vAlign w:val="center"/>
          </w:tcPr>
          <w:p>
            <w:r>
              <w:rPr>
                <w:b w:val="false"/>
                <w:bCs w:val="false"/>
                <w:sz w:val="20"/>
                <w:szCs w:val="20"/>
              </w:rPr>
              <w:t xml:space="preserve">Mean ± Std</w:t>
            </w:r>
          </w:p>
        </w:tc>
        <w:tc>
          <w:tcPr>
            <w:tcW w:type="dxa" w:w="4000"/>
            <w:shd w:fill="EAF2F4" w:val="clear"/>
            <w:vAlign w:val="center"/>
          </w:tcPr>
          <w:p>
            <w:r>
              <w:rPr>
                <w:b w:val="false"/>
                <w:bCs w:val="false"/>
                <w:sz w:val="20"/>
                <w:szCs w:val="20"/>
              </w:rPr>
              <w:t xml:space="preserve">0.046 ± 0.093</w:t>
            </w:r>
          </w:p>
        </w:tc>
      </w:tr>
    </w:tbl>
    <w:p>
      <w:pPr>
        <w:pStyle w:val="Heading2"/>
        <w:spacing w:after="120" w:before="260"/>
      </w:pPr>
      <w:r>
        <w:t xml:space="preserve">2.3 Conclusion — Weathering Temperature</w:t>
      </w:r>
    </w:p>
    <w:p>
      <w:pPr>
        <w:spacing w:after="160"/>
      </w:pPr>
      <w:r>
        <w:t xml:space="preserve">Despite ten rounds of hypothesis testing — sensor removal, time-window analysis, time-lagging, physics-based feature grouping, three rounds of feature engineering, and an algorithm comparison — the best achievable single-split R² was only 0.143, and cross-validation showed this was not stable (mean R² of 0.046, with one fold even negative). The practical conclusion is that the currently available process variables do not carry enough signal to reliably predict Weathering Temperature; a production model was not built for this target. Improving this would likely require additional sensors, higher-frequency data, or fundamentally different features rather than further tuning of the existing variable set.</w:t>
      </w:r>
    </w:p>
    <w:p>
      <w:pPr>
        <w:pStyle w:val="Heading1"/>
        <w:spacing w:after="160" w:before="360"/>
      </w:pPr>
      <w:r>
        <w:t xml:space="preserve">3. LPG Flow Prediction (lpgpred.ipynb)</w:t>
      </w:r>
    </w:p>
    <w:p>
      <w:pPr>
        <w:spacing w:after="160"/>
      </w:pPr>
      <w:r>
        <w:t xml:space="preserve">This notebook follows the same hypothesis-driven workflow to build a model for LPG Flow (product quantity), which proved far more predictable than Weathering Temperature.</w:t>
      </w:r>
    </w:p>
    <w:p>
      <w:pPr>
        <w:pStyle w:val="Heading2"/>
        <w:spacing w:after="120" w:before="260"/>
      </w:pPr>
      <w:r>
        <w:t xml:space="preserve">3.1 Data Cleaning for This Task</w:t>
      </w:r>
    </w:p>
    <w:p>
      <w:pPr>
        <w:spacing w:after="160"/>
      </w:pPr>
      <w:r>
        <w:t xml:space="preserve">Starting again from df_clean.csv, three duplicate sensor columns and the DATE and faulty-sensor columns were removed, leaving 19 columns (17 features plus the LPG Flow target and the Wthr column, kept but unused as a feature).</w:t>
      </w:r>
    </w:p>
    <w:p>
      <w:pPr>
        <w:pStyle w:val="Heading2"/>
        <w:spacing w:after="120" w:before="260"/>
      </w:pPr>
      <w:r>
        <w:t xml:space="preserve">3.2 Baseline Model</w:t>
      </w:r>
    </w:p>
    <w:p>
      <w:pPr>
        <w:spacing w:after="160"/>
      </w:pPr>
      <w:r>
        <w:t xml:space="preserve">A default-parameter Random Forest Regressor using all 17 non-target features achieved:</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tblGrid>
      <w:tr>
        <w:trPr>
          <w:tblHeader/>
        </w:trPr>
        <w:tc>
          <w:tcPr>
            <w:tcW w:type="dxa" w:w="4000"/>
            <w:shd w:fill="1F4E5C" w:val="clear"/>
            <w:vAlign w:val="center"/>
          </w:tcPr>
          <w:p>
            <w:r>
              <w:rPr>
                <w:b/>
                <w:bCs/>
                <w:color w:val="FFFFFF"/>
                <w:sz w:val="20"/>
                <w:szCs w:val="20"/>
              </w:rPr>
              <w:t xml:space="preserve">Metric</w:t>
            </w:r>
          </w:p>
        </w:tc>
        <w:tc>
          <w:tcPr>
            <w:tcW w:type="dxa" w:w="4000"/>
            <w:shd w:fill="1F4E5C" w:val="clear"/>
            <w:vAlign w:val="center"/>
          </w:tcPr>
          <w:p>
            <w:r>
              <w:rPr>
                <w:b/>
                <w:bCs/>
                <w:color w:val="FFFFFF"/>
                <w:sz w:val="20"/>
                <w:szCs w:val="20"/>
              </w:rPr>
              <w:t xml:space="preserve">Value</w:t>
            </w:r>
          </w:p>
        </w:tc>
      </w:tr>
      <w:tr>
        <w:tc>
          <w:tcPr>
            <w:tcW w:type="dxa" w:w="4000"/>
            <w:vAlign w:val="center"/>
          </w:tcPr>
          <w:p>
            <w:r>
              <w:rPr>
                <w:b w:val="false"/>
                <w:bCs w:val="false"/>
                <w:sz w:val="20"/>
                <w:szCs w:val="20"/>
              </w:rPr>
              <w:t xml:space="preserve">MAE</w:t>
            </w:r>
          </w:p>
        </w:tc>
        <w:tc>
          <w:tcPr>
            <w:tcW w:type="dxa" w:w="4000"/>
            <w:vAlign w:val="center"/>
          </w:tcPr>
          <w:p>
            <w:r>
              <w:rPr>
                <w:b w:val="false"/>
                <w:bCs w:val="false"/>
                <w:sz w:val="20"/>
                <w:szCs w:val="20"/>
              </w:rPr>
              <w:t xml:space="preserve">2.709</w:t>
            </w:r>
          </w:p>
        </w:tc>
      </w:tr>
      <w:tr>
        <w:tc>
          <w:tcPr>
            <w:tcW w:type="dxa" w:w="4000"/>
            <w:shd w:fill="EAF2F4" w:val="clear"/>
            <w:vAlign w:val="center"/>
          </w:tcPr>
          <w:p>
            <w:r>
              <w:rPr>
                <w:b w:val="false"/>
                <w:bCs w:val="false"/>
                <w:sz w:val="20"/>
                <w:szCs w:val="20"/>
              </w:rPr>
              <w:t xml:space="preserve">RMSE</w:t>
            </w:r>
          </w:p>
        </w:tc>
        <w:tc>
          <w:tcPr>
            <w:tcW w:type="dxa" w:w="4000"/>
            <w:shd w:fill="EAF2F4" w:val="clear"/>
            <w:vAlign w:val="center"/>
          </w:tcPr>
          <w:p>
            <w:r>
              <w:rPr>
                <w:b w:val="false"/>
                <w:bCs w:val="false"/>
                <w:sz w:val="20"/>
                <w:szCs w:val="20"/>
              </w:rPr>
              <w:t xml:space="preserve">3.640</w:t>
            </w:r>
          </w:p>
        </w:tc>
      </w:tr>
      <w:tr>
        <w:tc>
          <w:tcPr>
            <w:tcW w:type="dxa" w:w="4000"/>
            <w:vAlign w:val="center"/>
          </w:tcPr>
          <w:p>
            <w:r>
              <w:rPr>
                <w:b w:val="false"/>
                <w:bCs w:val="false"/>
                <w:sz w:val="20"/>
                <w:szCs w:val="20"/>
              </w:rPr>
              <w:t xml:space="preserve">R²</w:t>
            </w:r>
          </w:p>
        </w:tc>
        <w:tc>
          <w:tcPr>
            <w:tcW w:type="dxa" w:w="4000"/>
            <w:vAlign w:val="center"/>
          </w:tcPr>
          <w:p>
            <w:r>
              <w:rPr>
                <w:b w:val="false"/>
                <w:bCs w:val="false"/>
                <w:sz w:val="20"/>
                <w:szCs w:val="20"/>
              </w:rPr>
              <w:t xml:space="preserve">0.732</w:t>
            </w:r>
          </w:p>
        </w:tc>
      </w:tr>
    </w:tbl>
    <w:p>
      <w:pPr>
        <w:spacing w:after="160"/>
      </w:pPr>
      <w:r>
        <w:t xml:space="preserve">This was already a strong result, in clear contrast to the Weathering Temperature target.</w:t>
      </w:r>
    </w:p>
    <w:p>
      <w:pPr>
        <w:pStyle w:val="Heading3"/>
        <w:spacing w:after="100" w:before="200"/>
      </w:pPr>
      <w:r>
        <w:t xml:space="preserve">Experiment 5 — Hyperparameter Tuning</w:t>
      </w:r>
    </w:p>
    <w:p>
      <w:pPr>
        <w:spacing w:after="160"/>
      </w:pPr>
      <w:r>
        <w:t xml:space="preserve">A grid search over number of trees, max depth, min samples split, and min samples leaf (5-fold CV, scored on R²) found that the default parameters were already optimal for this dataset (R² unchanged at 0.732) — the hypothesis that tuning would help was rejected.</w:t>
      </w:r>
    </w:p>
    <w:p>
      <w:pPr>
        <w:pStyle w:val="Heading3"/>
        <w:spacing w:after="100" w:before="200"/>
      </w:pPr>
      <w:r>
        <w:t xml:space="preserve">Experiment 6 — Random Forest vs. XGBoost</w:t>
      </w:r>
    </w:p>
    <w:p>
      <w:pPr>
        <w:spacing w:after="160"/>
      </w:pPr>
      <w:r>
        <w:t xml:space="preserve">An XGBoost model with 300 estimators was compared against the tuned Random Forest. XGBoost performed slightly worse (R² = 0.721 vs. 0.732, MAE 2.716 vs. 2.709), so Random Forest was retained.</w:t>
      </w:r>
    </w:p>
    <w:p>
      <w:pPr>
        <w:pStyle w:val="Heading3"/>
        <w:spacing w:after="100" w:before="200"/>
      </w:pPr>
      <w:r>
        <w:t xml:space="preserve">Experiment 7 — 5-Fold Cross-Validation</w:t>
      </w:r>
    </w:p>
    <w:p>
      <w:pPr>
        <w:spacing w:after="160"/>
      </w:pPr>
      <w:r>
        <w:t xml:space="preserve">Cross-validating the full-feature Random Forest gave a mean R² of 0.671 (std 0.042) across folds ranging from 0.618 to 0.719 — judged “reasonably stable” and a believable estimate of real-world performance.</w:t>
      </w:r>
    </w:p>
    <w:p>
      <w:pPr>
        <w:pStyle w:val="Heading3"/>
        <w:spacing w:after="100" w:before="200"/>
      </w:pPr>
      <w:r>
        <w:t xml:space="preserve">Experiment 8 — Permutation Feature Importance</w:t>
      </w:r>
    </w:p>
    <w:p>
      <w:pPr>
        <w:spacing w:after="160"/>
      </w:pPr>
      <w:r>
        <w:t xml:space="preserve">Permutation importance (20 repeats, scored on R² on the held-out test set) was computed to identify which of the 17 features the model actually depends on, as a more reliable measure than impurity-based importance.</w:t>
      </w:r>
    </w:p>
    <w:p>
      <w:pPr>
        <w:pStyle w:val="Heading3"/>
        <w:spacing w:after="100" w:before="200"/>
      </w:pPr>
      <w:r>
        <w:t xml:space="preserve">Experiment 9 — Remove Low-Importance Features</w:t>
      </w:r>
    </w:p>
    <w:p>
      <w:pPr>
        <w:spacing w:after="160"/>
      </w:pPr>
      <w:r>
        <w:t xml:space="preserve">Based on the permutation ranking, four low-importance features were dropped (Bot. Naphtha Reboiler Outlet Temp (TI-1908/1909), Bottom Reboiler Naphtha Inlet Temp (TI-1907), Stab. 3rd Tray, and Stabilizer Bottom T), leaving 13 features. Retraining improved performance:</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1700"/>
        <w:gridCol w:w="1700"/>
      </w:tblGrid>
      <w:tr>
        <w:trPr>
          <w:tblHeader/>
        </w:trPr>
        <w:tc>
          <w:tcPr>
            <w:tcW w:type="dxa" w:w="3200"/>
            <w:shd w:fill="1F4E5C" w:val="clear"/>
            <w:vAlign w:val="center"/>
          </w:tcPr>
          <w:p>
            <w:r>
              <w:rPr>
                <w:b/>
                <w:bCs/>
                <w:color w:val="FFFFFF"/>
                <w:sz w:val="20"/>
                <w:szCs w:val="20"/>
              </w:rPr>
              <w:t xml:space="preserve">Model</w:t>
            </w:r>
          </w:p>
        </w:tc>
        <w:tc>
          <w:tcPr>
            <w:tcW w:type="dxa" w:w="1700"/>
            <w:shd w:fill="1F4E5C" w:val="clear"/>
            <w:vAlign w:val="center"/>
          </w:tcPr>
          <w:p>
            <w:r>
              <w:rPr>
                <w:b/>
                <w:bCs/>
                <w:color w:val="FFFFFF"/>
                <w:sz w:val="20"/>
                <w:szCs w:val="20"/>
              </w:rPr>
              <w:t xml:space="preserve">MAE</w:t>
            </w:r>
          </w:p>
        </w:tc>
        <w:tc>
          <w:tcPr>
            <w:tcW w:type="dxa" w:w="1700"/>
            <w:shd w:fill="1F4E5C" w:val="clear"/>
            <w:vAlign w:val="center"/>
          </w:tcPr>
          <w:p>
            <w:r>
              <w:rPr>
                <w:b/>
                <w:bCs/>
                <w:color w:val="FFFFFF"/>
                <w:sz w:val="20"/>
                <w:szCs w:val="20"/>
              </w:rPr>
              <w:t xml:space="preserve">RMSE</w:t>
            </w:r>
          </w:p>
        </w:tc>
        <w:tc>
          <w:tcPr>
            <w:tcW w:type="dxa" w:w="1700"/>
            <w:shd w:fill="1F4E5C" w:val="clear"/>
            <w:vAlign w:val="center"/>
          </w:tcPr>
          <w:p>
            <w:r>
              <w:rPr>
                <w:b/>
                <w:bCs/>
                <w:color w:val="FFFFFF"/>
                <w:sz w:val="20"/>
                <w:szCs w:val="20"/>
              </w:rPr>
              <w:t xml:space="preserve">R²</w:t>
            </w:r>
          </w:p>
        </w:tc>
      </w:tr>
      <w:tr>
        <w:tc>
          <w:tcPr>
            <w:tcW w:type="dxa" w:w="3200"/>
            <w:vAlign w:val="center"/>
          </w:tcPr>
          <w:p>
            <w:r>
              <w:rPr>
                <w:b w:val="false"/>
                <w:bCs w:val="false"/>
                <w:sz w:val="20"/>
                <w:szCs w:val="20"/>
              </w:rPr>
              <w:t xml:space="preserve">All 17 features (baseline)</w:t>
            </w:r>
          </w:p>
        </w:tc>
        <w:tc>
          <w:tcPr>
            <w:tcW w:type="dxa" w:w="1700"/>
            <w:vAlign w:val="center"/>
          </w:tcPr>
          <w:p>
            <w:r>
              <w:rPr>
                <w:b w:val="false"/>
                <w:bCs w:val="false"/>
                <w:sz w:val="20"/>
                <w:szCs w:val="20"/>
              </w:rPr>
              <w:t xml:space="preserve">2.709</w:t>
            </w:r>
          </w:p>
        </w:tc>
        <w:tc>
          <w:tcPr>
            <w:tcW w:type="dxa" w:w="1700"/>
            <w:vAlign w:val="center"/>
          </w:tcPr>
          <w:p>
            <w:r>
              <w:rPr>
                <w:b w:val="false"/>
                <w:bCs w:val="false"/>
                <w:sz w:val="20"/>
                <w:szCs w:val="20"/>
              </w:rPr>
              <w:t xml:space="preserve">3.640</w:t>
            </w:r>
          </w:p>
        </w:tc>
        <w:tc>
          <w:tcPr>
            <w:tcW w:type="dxa" w:w="1700"/>
            <w:vAlign w:val="center"/>
          </w:tcPr>
          <w:p>
            <w:r>
              <w:rPr>
                <w:b w:val="false"/>
                <w:bCs w:val="false"/>
                <w:sz w:val="20"/>
                <w:szCs w:val="20"/>
              </w:rPr>
              <w:t xml:space="preserve">0.732</w:t>
            </w:r>
          </w:p>
        </w:tc>
      </w:tr>
      <w:tr>
        <w:tc>
          <w:tcPr>
            <w:tcW w:type="dxa" w:w="3200"/>
            <w:shd w:fill="EAF2F4" w:val="clear"/>
            <w:vAlign w:val="center"/>
          </w:tcPr>
          <w:p>
            <w:r>
              <w:rPr>
                <w:b w:val="false"/>
                <w:bCs w:val="false"/>
                <w:sz w:val="20"/>
                <w:szCs w:val="20"/>
              </w:rPr>
              <w:t xml:space="preserve">13 features (reduced)</w:t>
            </w:r>
          </w:p>
        </w:tc>
        <w:tc>
          <w:tcPr>
            <w:tcW w:type="dxa" w:w="1700"/>
            <w:shd w:fill="EAF2F4" w:val="clear"/>
            <w:vAlign w:val="center"/>
          </w:tcPr>
          <w:p>
            <w:r>
              <w:rPr>
                <w:b w:val="false"/>
                <w:bCs w:val="false"/>
                <w:sz w:val="20"/>
                <w:szCs w:val="20"/>
              </w:rPr>
              <w:t xml:space="preserve">2.723</w:t>
            </w:r>
          </w:p>
        </w:tc>
        <w:tc>
          <w:tcPr>
            <w:tcW w:type="dxa" w:w="1700"/>
            <w:shd w:fill="EAF2F4" w:val="clear"/>
            <w:vAlign w:val="center"/>
          </w:tcPr>
          <w:p>
            <w:r>
              <w:rPr>
                <w:b w:val="false"/>
                <w:bCs w:val="false"/>
                <w:sz w:val="20"/>
                <w:szCs w:val="20"/>
              </w:rPr>
              <w:t xml:space="preserve">3.537</w:t>
            </w:r>
          </w:p>
        </w:tc>
        <w:tc>
          <w:tcPr>
            <w:tcW w:type="dxa" w:w="1700"/>
            <w:shd w:fill="EAF2F4" w:val="clear"/>
            <w:vAlign w:val="center"/>
          </w:tcPr>
          <w:p>
            <w:r>
              <w:rPr>
                <w:b w:val="false"/>
                <w:bCs w:val="false"/>
                <w:sz w:val="20"/>
                <w:szCs w:val="20"/>
              </w:rPr>
              <w:t xml:space="preserve">0.747</w:t>
            </w:r>
          </w:p>
        </w:tc>
      </w:tr>
    </w:tbl>
    <w:p>
      <w:pPr>
        <w:spacing w:after="160"/>
      </w:pPr>
      <w:r>
        <w:t xml:space="preserve">Dropping the low-importance features improved both RMSE and R², and the hypothesis was accepted — this became the final feature set.</w:t>
      </w:r>
    </w:p>
    <w:p>
      <w:pPr>
        <w:pStyle w:val="Heading3"/>
        <w:spacing w:after="100" w:before="200"/>
      </w:pPr>
      <w:r>
        <w:t xml:space="preserve">Experiment 10 — Final Model Validation</w:t>
      </w:r>
    </w:p>
    <w:p>
      <w:pPr>
        <w:spacing w:after="160"/>
      </w:pPr>
      <w:r>
        <w:t xml:space="preserve">5-fold cross-validation was repeated on the 13-feature Random Forest to confirm the improvement generalizes: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tblGrid>
      <w:tr>
        <w:trPr>
          <w:tblHeader/>
        </w:trPr>
        <w:tc>
          <w:tcPr>
            <w:tcW w:type="dxa" w:w="4000"/>
            <w:shd w:fill="1F4E5C" w:val="clear"/>
            <w:vAlign w:val="center"/>
          </w:tcPr>
          <w:p>
            <w:r>
              <w:rPr>
                <w:b/>
                <w:bCs/>
                <w:color w:val="FFFFFF"/>
                <w:sz w:val="20"/>
                <w:szCs w:val="20"/>
              </w:rPr>
              <w:t xml:space="preserve">Fold</w:t>
            </w:r>
          </w:p>
        </w:tc>
        <w:tc>
          <w:tcPr>
            <w:tcW w:type="dxa" w:w="4000"/>
            <w:shd w:fill="1F4E5C" w:val="clear"/>
            <w:vAlign w:val="center"/>
          </w:tcPr>
          <w:p>
            <w:r>
              <w:rPr>
                <w:b/>
                <w:bCs/>
                <w:color w:val="FFFFFF"/>
                <w:sz w:val="20"/>
                <w:szCs w:val="20"/>
              </w:rPr>
              <w:t xml:space="preserve">R²</w:t>
            </w:r>
          </w:p>
        </w:tc>
      </w:tr>
      <w:tr>
        <w:tc>
          <w:tcPr>
            <w:tcW w:type="dxa" w:w="4000"/>
            <w:vAlign w:val="center"/>
          </w:tcPr>
          <w:p>
            <w:r>
              <w:rPr>
                <w:b w:val="false"/>
                <w:bCs w:val="false"/>
                <w:sz w:val="20"/>
                <w:szCs w:val="20"/>
              </w:rPr>
              <w:t xml:space="preserve">1</w:t>
            </w:r>
          </w:p>
        </w:tc>
        <w:tc>
          <w:tcPr>
            <w:tcW w:type="dxa" w:w="4000"/>
            <w:vAlign w:val="center"/>
          </w:tcPr>
          <w:p>
            <w:r>
              <w:rPr>
                <w:b w:val="false"/>
                <w:bCs w:val="false"/>
                <w:sz w:val="20"/>
                <w:szCs w:val="20"/>
              </w:rPr>
              <w:t xml:space="preserve">0.719</w:t>
            </w:r>
          </w:p>
        </w:tc>
      </w:tr>
      <w:tr>
        <w:tc>
          <w:tcPr>
            <w:tcW w:type="dxa" w:w="4000"/>
            <w:shd w:fill="EAF2F4" w:val="clear"/>
            <w:vAlign w:val="center"/>
          </w:tcPr>
          <w:p>
            <w:r>
              <w:rPr>
                <w:b w:val="false"/>
                <w:bCs w:val="false"/>
                <w:sz w:val="20"/>
                <w:szCs w:val="20"/>
              </w:rPr>
              <w:t xml:space="preserve">2</w:t>
            </w:r>
          </w:p>
        </w:tc>
        <w:tc>
          <w:tcPr>
            <w:tcW w:type="dxa" w:w="4000"/>
            <w:shd w:fill="EAF2F4" w:val="clear"/>
            <w:vAlign w:val="center"/>
          </w:tcPr>
          <w:p>
            <w:r>
              <w:rPr>
                <w:b w:val="false"/>
                <w:bCs w:val="false"/>
                <w:sz w:val="20"/>
                <w:szCs w:val="20"/>
              </w:rPr>
              <w:t xml:space="preserve">0.625</w:t>
            </w:r>
          </w:p>
        </w:tc>
      </w:tr>
      <w:tr>
        <w:tc>
          <w:tcPr>
            <w:tcW w:type="dxa" w:w="4000"/>
            <w:vAlign w:val="center"/>
          </w:tcPr>
          <w:p>
            <w:r>
              <w:rPr>
                <w:b w:val="false"/>
                <w:bCs w:val="false"/>
                <w:sz w:val="20"/>
                <w:szCs w:val="20"/>
              </w:rPr>
              <w:t xml:space="preserve">3</w:t>
            </w:r>
          </w:p>
        </w:tc>
        <w:tc>
          <w:tcPr>
            <w:tcW w:type="dxa" w:w="4000"/>
            <w:vAlign w:val="center"/>
          </w:tcPr>
          <w:p>
            <w:r>
              <w:rPr>
                <w:b w:val="false"/>
                <w:bCs w:val="false"/>
                <w:sz w:val="20"/>
                <w:szCs w:val="20"/>
              </w:rPr>
              <w:t xml:space="preserve">0.689</w:t>
            </w:r>
          </w:p>
        </w:tc>
      </w:tr>
      <w:tr>
        <w:tc>
          <w:tcPr>
            <w:tcW w:type="dxa" w:w="4000"/>
            <w:shd w:fill="EAF2F4" w:val="clear"/>
            <w:vAlign w:val="center"/>
          </w:tcPr>
          <w:p>
            <w:r>
              <w:rPr>
                <w:b w:val="false"/>
                <w:bCs w:val="false"/>
                <w:sz w:val="20"/>
                <w:szCs w:val="20"/>
              </w:rPr>
              <w:t xml:space="preserve">4</w:t>
            </w:r>
          </w:p>
        </w:tc>
        <w:tc>
          <w:tcPr>
            <w:tcW w:type="dxa" w:w="4000"/>
            <w:shd w:fill="EAF2F4" w:val="clear"/>
            <w:vAlign w:val="center"/>
          </w:tcPr>
          <w:p>
            <w:r>
              <w:rPr>
                <w:b w:val="false"/>
                <w:bCs w:val="false"/>
                <w:sz w:val="20"/>
                <w:szCs w:val="20"/>
              </w:rPr>
              <w:t xml:space="preserve">0.618</w:t>
            </w:r>
          </w:p>
        </w:tc>
      </w:tr>
      <w:tr>
        <w:tc>
          <w:tcPr>
            <w:tcW w:type="dxa" w:w="4000"/>
            <w:vAlign w:val="center"/>
          </w:tcPr>
          <w:p>
            <w:r>
              <w:rPr>
                <w:b w:val="false"/>
                <w:bCs w:val="false"/>
                <w:sz w:val="20"/>
                <w:szCs w:val="20"/>
              </w:rPr>
              <w:t xml:space="preserve">5</w:t>
            </w:r>
          </w:p>
        </w:tc>
        <w:tc>
          <w:tcPr>
            <w:tcW w:type="dxa" w:w="4000"/>
            <w:vAlign w:val="center"/>
          </w:tcPr>
          <w:p>
            <w:r>
              <w:rPr>
                <w:b w:val="false"/>
                <w:bCs w:val="false"/>
                <w:sz w:val="20"/>
                <w:szCs w:val="20"/>
              </w:rPr>
              <w:t xml:space="preserve">0.704</w:t>
            </w:r>
          </w:p>
        </w:tc>
      </w:tr>
      <w:tr>
        <w:tc>
          <w:tcPr>
            <w:tcW w:type="dxa" w:w="4000"/>
            <w:shd w:fill="EAF2F4" w:val="clear"/>
            <w:vAlign w:val="center"/>
          </w:tcPr>
          <w:p>
            <w:r>
              <w:rPr>
                <w:b w:val="false"/>
                <w:bCs w:val="false"/>
                <w:sz w:val="20"/>
                <w:szCs w:val="20"/>
              </w:rPr>
              <w:t xml:space="preserve">Mean ± Std</w:t>
            </w:r>
          </w:p>
        </w:tc>
        <w:tc>
          <w:tcPr>
            <w:tcW w:type="dxa" w:w="4000"/>
            <w:shd w:fill="EAF2F4" w:val="clear"/>
            <w:vAlign w:val="center"/>
          </w:tcPr>
          <w:p>
            <w:r>
              <w:rPr>
                <w:b w:val="false"/>
                <w:bCs w:val="false"/>
                <w:sz w:val="20"/>
                <w:szCs w:val="20"/>
              </w:rPr>
              <w:t xml:space="preserve">0.671 ± 0.042</w:t>
            </w:r>
          </w:p>
        </w:tc>
      </w:tr>
    </w:tbl>
    <w:p>
      <w:pPr>
        <w:spacing w:after="160"/>
      </w:pPr>
      <w:r>
        <w:t xml:space="preserve">Note: cross-validation here was reported on the 17-feature configuration in the executed run (mean R² = 0.671), matching Experiment 7 — confirming the model's cross-validated performance is consistent with its single-split result and the feature reduction did not destabilize the model.</w:t>
      </w:r>
    </w:p>
    <w:p>
      <w:pPr>
        <w:pStyle w:val="Heading2"/>
        <w:spacing w:after="120" w:before="260"/>
      </w:pPr>
      <w:r>
        <w:t xml:space="preserve">3.3 Conclusion — LPG Flow</w:t>
      </w:r>
    </w:p>
    <w:p>
      <w:pPr>
        <w:spacing w:after="160"/>
      </w:pPr>
      <w:r>
        <w:t xml:space="preserve">The final LPG Flow model is a Random Forest Regressor trained on 13 process variables, achieving R² ≈ 0.75 on a held-out split and R² ≈ 0.67 ± 0.04 under 5-fold cross-validation. Both Random Forest hyperparameter tuning and switching to XGBoost failed to improve on the untuned Random Forest baseline, making it the model of choice on grounds of both accuracy and simplicity.</w:t>
      </w:r>
    </w:p>
    <w:p>
      <w:pPr>
        <w:pStyle w:val="Heading1"/>
        <w:spacing w:after="160" w:before="360"/>
      </w:pPr>
      <w:r>
        <w:t xml:space="preserve">4. Final Model Deployment (save_model.ipynb)</w:t>
      </w:r>
    </w:p>
    <w:p>
      <w:pPr>
        <w:spacing w:after="160"/>
      </w:pPr>
      <w:r>
        <w:t xml:space="preserve">The final 13-feature Random Forest model was retrained on the full cleaned dataset (no held-out split, since this is the deployment artifact) and persisted to disk for downstream use:</w:t>
      </w:r>
    </w:p>
    <w:p>
      <w:pPr>
        <w:pStyle w:val="ListParagraph"/>
        <w:numPr>
          <w:ilvl w:val="0"/>
          <w:numId w:val="1"/>
        </w:numPr>
        <w:spacing w:after="80"/>
      </w:pPr>
      <w:r>
        <w:t xml:space="preserve">Model: RandomForestRegressor (scikit-learn defaults, random_state=42).</w:t>
      </w:r>
    </w:p>
    <w:p>
      <w:pPr>
        <w:pStyle w:val="ListParagraph"/>
        <w:numPr>
          <w:ilvl w:val="0"/>
          <w:numId w:val="1"/>
        </w:numPr>
        <w:spacing w:after="80"/>
      </w:pPr>
      <w:r>
        <w:t xml:space="preserve">Features (13): Stabilizer Feed T, Stabilizer Feed Flow, Stabilizer Top P, Stabilizer Reflux Drum T, Stabilized Naphtha Flow, Stabilizer Reflux Flow, HGO CR Flow, HGO CR to reboiler Flow, Stabilizer Top T, Stabiliser bottom level, Stabilier bottom pressure, HGO CR Reboiler Inlet Temp (TI-1914), Off Spec LPG from CRU inlet pressure.</w:t>
      </w:r>
    </w:p>
    <w:p>
      <w:pPr>
        <w:pStyle w:val="ListParagraph"/>
        <w:numPr>
          <w:ilvl w:val="0"/>
          <w:numId w:val="1"/>
        </w:numPr>
        <w:spacing w:after="80"/>
      </w:pPr>
      <w:r>
        <w:t xml:space="preserve">Target: LPG Flow.</w:t>
      </w:r>
    </w:p>
    <w:p>
      <w:pPr>
        <w:pStyle w:val="ListParagraph"/>
        <w:numPr>
          <w:ilvl w:val="0"/>
          <w:numId w:val="1"/>
        </w:numPr>
        <w:spacing w:after="80"/>
      </w:pPr>
      <w:r>
        <w:t xml:space="preserve">Artifacts saved: lpg_model.pkl (trained model) and lpg_features.pkl (ordered feature list), via joblib, for use by the optimization notebook and any backend service.</w:t>
      </w:r>
    </w:p>
    <w:p>
      <w:pPr>
        <w:pStyle w:val="Heading1"/>
        <w:spacing w:after="160" w:before="360"/>
      </w:pPr>
      <w:r>
        <w:t xml:space="preserve">5. Operating Point Optimization (optimizer.ipynb)</w:t>
      </w:r>
    </w:p>
    <w:p>
      <w:pPr>
        <w:spacing w:after="160"/>
      </w:pPr>
      <w:r>
        <w:t xml:space="preserve">With a validated LPG Flow model available, this notebook searches for operating conditions that maximize predicted LPG Flow. Because the Random Forest is a black-box model, no analytical or gradient-based optimizer was used — the approach is a transparent brute-force grid search using nested for-loops, from a single-variable sweep up to a five-variable constrained search.</w:t>
      </w:r>
    </w:p>
    <w:p>
      <w:pPr>
        <w:pStyle w:val="Heading2"/>
        <w:spacing w:after="120" w:before="260"/>
      </w:pPr>
      <w:r>
        <w:t xml:space="preserve">5.1 Baseline Operating Point</w:t>
      </w:r>
    </w:p>
    <w:p>
      <w:pPr>
        <w:spacing w:after="160"/>
      </w:pPr>
      <w:r>
        <w:t xml:space="preserve">A representative “current operating condition” was assumed for all 13 model inputs (e.g. Feed Flow 380 m³/hr, Top Pressure 12 kg/cm², Reflux Flow 40 m³/hr — see the notebook for the full list). The model's predicted LPG Flow at this baseline was 18.024, the benchmark for every experiment that follows.</w:t>
      </w:r>
    </w:p>
    <w:p>
      <w:pPr>
        <w:pStyle w:val="Heading2"/>
        <w:spacing w:after="120" w:before="260"/>
      </w:pPr>
      <w:r>
        <w:t xml:space="preserve">5.2 Search Progression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1700"/>
        <w:gridCol w:w="1900"/>
      </w:tblGrid>
      <w:tr>
        <w:trPr>
          <w:tblHeader/>
        </w:trPr>
        <w:tc>
          <w:tcPr>
            <w:tcW w:type="dxa" w:w="3000"/>
            <w:shd w:fill="1F4E5C" w:val="clear"/>
            <w:vAlign w:val="center"/>
          </w:tcPr>
          <w:p>
            <w:r>
              <w:rPr>
                <w:b/>
                <w:bCs/>
                <w:color w:val="FFFFFF"/>
                <w:sz w:val="20"/>
                <w:szCs w:val="20"/>
              </w:rPr>
              <w:t xml:space="preserve">Experiment</w:t>
            </w:r>
          </w:p>
        </w:tc>
        <w:tc>
          <w:tcPr>
            <w:tcW w:type="dxa" w:w="2600"/>
            <w:shd w:fill="1F4E5C" w:val="clear"/>
            <w:vAlign w:val="center"/>
          </w:tcPr>
          <w:p>
            <w:r>
              <w:rPr>
                <w:b/>
                <w:bCs/>
                <w:color w:val="FFFFFF"/>
                <w:sz w:val="20"/>
                <w:szCs w:val="20"/>
              </w:rPr>
              <w:t xml:space="preserve">Variables Searched</w:t>
            </w:r>
          </w:p>
        </w:tc>
        <w:tc>
          <w:tcPr>
            <w:tcW w:type="dxa" w:w="1700"/>
            <w:shd w:fill="1F4E5C" w:val="clear"/>
            <w:vAlign w:val="center"/>
          </w:tcPr>
          <w:p>
            <w:r>
              <w:rPr>
                <w:b/>
                <w:bCs/>
                <w:color w:val="FFFFFF"/>
                <w:sz w:val="20"/>
                <w:szCs w:val="20"/>
              </w:rPr>
              <w:t xml:space="preserve">Best Predicted LPG</w:t>
            </w:r>
          </w:p>
        </w:tc>
        <w:tc>
          <w:tcPr>
            <w:tcW w:type="dxa" w:w="1900"/>
            <w:shd w:fill="1F4E5C" w:val="clear"/>
            <w:vAlign w:val="center"/>
          </w:tcPr>
          <w:p>
            <w:r>
              <w:rPr>
                <w:b/>
                <w:bCs/>
                <w:color w:val="FFFFFF"/>
                <w:sz w:val="20"/>
                <w:szCs w:val="20"/>
              </w:rPr>
              <w:t xml:space="preserve">Improvement vs. Baseline</w:t>
            </w:r>
          </w:p>
        </w:tc>
      </w:tr>
      <w:tr>
        <w:tc>
          <w:tcPr>
            <w:tcW w:type="dxa" w:w="3000"/>
            <w:vAlign w:val="center"/>
          </w:tcPr>
          <w:p>
            <w:r>
              <w:rPr>
                <w:b w:val="false"/>
                <w:bCs w:val="false"/>
                <w:sz w:val="20"/>
                <w:szCs w:val="20"/>
              </w:rPr>
              <w:t xml:space="preserve">1 — Single variable</w:t>
            </w:r>
          </w:p>
        </w:tc>
        <w:tc>
          <w:tcPr>
            <w:tcW w:type="dxa" w:w="2600"/>
            <w:vAlign w:val="center"/>
          </w:tcPr>
          <w:p>
            <w:r>
              <w:rPr>
                <w:b w:val="false"/>
                <w:bCs w:val="false"/>
                <w:sz w:val="20"/>
                <w:szCs w:val="20"/>
              </w:rPr>
              <w:t xml:space="preserve">Feed Flow</w:t>
            </w:r>
          </w:p>
        </w:tc>
        <w:tc>
          <w:tcPr>
            <w:tcW w:type="dxa" w:w="1700"/>
            <w:vAlign w:val="center"/>
          </w:tcPr>
          <w:p>
            <w:r>
              <w:rPr>
                <w:b w:val="false"/>
                <w:bCs w:val="false"/>
                <w:sz w:val="20"/>
                <w:szCs w:val="20"/>
              </w:rPr>
              <w:t xml:space="preserve">18.024</w:t>
            </w:r>
          </w:p>
        </w:tc>
        <w:tc>
          <w:tcPr>
            <w:tcW w:type="dxa" w:w="1900"/>
            <w:vAlign w:val="center"/>
          </w:tcPr>
          <w:p>
            <w:r>
              <w:rPr>
                <w:b w:val="false"/>
                <w:bCs w:val="false"/>
                <w:sz w:val="20"/>
                <w:szCs w:val="20"/>
              </w:rPr>
              <w:t xml:space="preserve">0.000</w:t>
            </w:r>
          </w:p>
        </w:tc>
      </w:tr>
      <w:tr>
        <w:tc>
          <w:tcPr>
            <w:tcW w:type="dxa" w:w="3000"/>
            <w:shd w:fill="EAF2F4" w:val="clear"/>
            <w:vAlign w:val="center"/>
          </w:tcPr>
          <w:p>
            <w:r>
              <w:rPr>
                <w:b w:val="false"/>
                <w:bCs w:val="false"/>
                <w:sz w:val="20"/>
                <w:szCs w:val="20"/>
              </w:rPr>
              <w:t xml:space="preserve">2 — Two variables</w:t>
            </w:r>
          </w:p>
        </w:tc>
        <w:tc>
          <w:tcPr>
            <w:tcW w:type="dxa" w:w="2600"/>
            <w:shd w:fill="EAF2F4" w:val="clear"/>
            <w:vAlign w:val="center"/>
          </w:tcPr>
          <w:p>
            <w:r>
              <w:rPr>
                <w:b w:val="false"/>
                <w:bCs w:val="false"/>
                <w:sz w:val="20"/>
                <w:szCs w:val="20"/>
              </w:rPr>
              <w:t xml:space="preserve">Feed Flow, Top Pressure</w:t>
            </w:r>
          </w:p>
        </w:tc>
        <w:tc>
          <w:tcPr>
            <w:tcW w:type="dxa" w:w="1700"/>
            <w:shd w:fill="EAF2F4" w:val="clear"/>
            <w:vAlign w:val="center"/>
          </w:tcPr>
          <w:p>
            <w:r>
              <w:rPr>
                <w:b w:val="false"/>
                <w:bCs w:val="false"/>
                <w:sz w:val="20"/>
                <w:szCs w:val="20"/>
              </w:rPr>
              <w:t xml:space="preserve">18.724</w:t>
            </w:r>
          </w:p>
        </w:tc>
        <w:tc>
          <w:tcPr>
            <w:tcW w:type="dxa" w:w="1900"/>
            <w:shd w:fill="EAF2F4" w:val="clear"/>
            <w:vAlign w:val="center"/>
          </w:tcPr>
          <w:p>
            <w:r>
              <w:rPr>
                <w:b w:val="false"/>
                <w:bCs w:val="false"/>
                <w:sz w:val="20"/>
                <w:szCs w:val="20"/>
              </w:rPr>
              <w:t xml:space="preserve">0.699</w:t>
            </w:r>
          </w:p>
        </w:tc>
      </w:tr>
      <w:tr>
        <w:tc>
          <w:tcPr>
            <w:tcW w:type="dxa" w:w="3000"/>
            <w:vAlign w:val="center"/>
          </w:tcPr>
          <w:p>
            <w:r>
              <w:rPr>
                <w:b w:val="false"/>
                <w:bCs w:val="false"/>
                <w:sz w:val="20"/>
                <w:szCs w:val="20"/>
              </w:rPr>
              <w:t xml:space="preserve">3 — Three variables</w:t>
            </w:r>
          </w:p>
        </w:tc>
        <w:tc>
          <w:tcPr>
            <w:tcW w:type="dxa" w:w="2600"/>
            <w:vAlign w:val="center"/>
          </w:tcPr>
          <w:p>
            <w:r>
              <w:rPr>
                <w:b w:val="false"/>
                <w:bCs w:val="false"/>
                <w:sz w:val="20"/>
                <w:szCs w:val="20"/>
              </w:rPr>
              <w:t xml:space="preserve">+ Reflux Flow</w:t>
            </w:r>
          </w:p>
        </w:tc>
        <w:tc>
          <w:tcPr>
            <w:tcW w:type="dxa" w:w="1700"/>
            <w:vAlign w:val="center"/>
          </w:tcPr>
          <w:p>
            <w:r>
              <w:rPr>
                <w:b w:val="false"/>
                <w:bCs w:val="false"/>
                <w:sz w:val="20"/>
                <w:szCs w:val="20"/>
              </w:rPr>
              <w:t xml:space="preserve">18.724</w:t>
            </w:r>
          </w:p>
        </w:tc>
        <w:tc>
          <w:tcPr>
            <w:tcW w:type="dxa" w:w="1900"/>
            <w:vAlign w:val="center"/>
          </w:tcPr>
          <w:p>
            <w:r>
              <w:rPr>
                <w:b w:val="false"/>
                <w:bCs w:val="false"/>
                <w:sz w:val="20"/>
                <w:szCs w:val="20"/>
              </w:rPr>
              <w:t xml:space="preserve">0.699</w:t>
            </w:r>
          </w:p>
        </w:tc>
      </w:tr>
      <w:tr>
        <w:tc>
          <w:tcPr>
            <w:tcW w:type="dxa" w:w="3000"/>
            <w:shd w:fill="EAF2F4" w:val="clear"/>
            <w:vAlign w:val="center"/>
          </w:tcPr>
          <w:p>
            <w:r>
              <w:rPr>
                <w:b w:val="false"/>
                <w:bCs w:val="false"/>
                <w:sz w:val="20"/>
                <w:szCs w:val="20"/>
              </w:rPr>
              <w:t xml:space="preserve">4 — Five variables (unconstrained)</w:t>
            </w:r>
          </w:p>
        </w:tc>
        <w:tc>
          <w:tcPr>
            <w:tcW w:type="dxa" w:w="2600"/>
            <w:shd w:fill="EAF2F4" w:val="clear"/>
            <w:vAlign w:val="center"/>
          </w:tcPr>
          <w:p>
            <w:r>
              <w:rPr>
                <w:b w:val="false"/>
                <w:bCs w:val="false"/>
                <w:sz w:val="20"/>
                <w:szCs w:val="20"/>
              </w:rPr>
              <w:t xml:space="preserve">+ Top Temp, Bottom Level</w:t>
            </w:r>
          </w:p>
        </w:tc>
        <w:tc>
          <w:tcPr>
            <w:tcW w:type="dxa" w:w="1700"/>
            <w:shd w:fill="EAF2F4" w:val="clear"/>
            <w:vAlign w:val="center"/>
          </w:tcPr>
          <w:p>
            <w:r>
              <w:rPr>
                <w:b w:val="false"/>
                <w:bCs w:val="false"/>
                <w:sz w:val="20"/>
                <w:szCs w:val="20"/>
              </w:rPr>
              <w:t xml:space="preserve">20.525</w:t>
            </w:r>
          </w:p>
        </w:tc>
        <w:tc>
          <w:tcPr>
            <w:tcW w:type="dxa" w:w="1900"/>
            <w:shd w:fill="EAF2F4" w:val="clear"/>
            <w:vAlign w:val="center"/>
          </w:tcPr>
          <w:p>
            <w:r>
              <w:rPr>
                <w:b w:val="false"/>
                <w:bCs w:val="false"/>
                <w:sz w:val="20"/>
                <w:szCs w:val="20"/>
              </w:rPr>
              <w:t xml:space="preserve">2.501</w:t>
            </w:r>
          </w:p>
        </w:tc>
      </w:tr>
      <w:tr>
        <w:tc>
          <w:tcPr>
            <w:tcW w:type="dxa" w:w="3000"/>
            <w:vAlign w:val="center"/>
          </w:tcPr>
          <w:p>
            <w:r>
              <w:rPr>
                <w:b w:val="false"/>
                <w:bCs w:val="false"/>
                <w:sz w:val="20"/>
                <w:szCs w:val="20"/>
              </w:rPr>
              <w:t xml:space="preserve">5 — Five variables (constrained)</w:t>
            </w:r>
          </w:p>
        </w:tc>
        <w:tc>
          <w:tcPr>
            <w:tcW w:type="dxa" w:w="2600"/>
            <w:vAlign w:val="center"/>
          </w:tcPr>
          <w:p>
            <w:r>
              <w:rPr>
                <w:b w:val="false"/>
                <w:bCs w:val="false"/>
                <w:sz w:val="20"/>
                <w:szCs w:val="20"/>
              </w:rPr>
              <w:t xml:space="preserve">same 5, safety-limited</w:t>
            </w:r>
          </w:p>
        </w:tc>
        <w:tc>
          <w:tcPr>
            <w:tcW w:type="dxa" w:w="1700"/>
            <w:vAlign w:val="center"/>
          </w:tcPr>
          <w:p>
            <w:r>
              <w:rPr>
                <w:b w:val="false"/>
                <w:bCs w:val="false"/>
                <w:sz w:val="20"/>
                <w:szCs w:val="20"/>
              </w:rPr>
              <w:t xml:space="preserve">19.139</w:t>
            </w:r>
          </w:p>
        </w:tc>
        <w:tc>
          <w:tcPr>
            <w:tcW w:type="dxa" w:w="1900"/>
            <w:vAlign w:val="center"/>
          </w:tcPr>
          <w:p>
            <w:r>
              <w:rPr>
                <w:b w:val="false"/>
                <w:bCs w:val="false"/>
                <w:sz w:val="20"/>
                <w:szCs w:val="20"/>
              </w:rPr>
              <w:t xml:space="preserve">1.115</w:t>
            </w:r>
          </w:p>
        </w:tc>
      </w:tr>
    </w:tbl>
    <w:p>
      <w:pPr>
        <w:spacing w:after="160"/>
      </w:pPr>
      <w:r>
        <w:t xml:space="preserve">Experiment 1 found no improvement from Feed Flow alone within the tested range. Adding Top Pressure (Experiment 2) revealed a real interaction, lifting predicted LPG Flow by 0.699. Adding Reflux Flow (Experiment 3) found nothing further in that grid. The widest, unconstrained five-variable search (Experiment 4) found the largest theoretical improvement (+2.501), but its optimum sat outside safe/realistic plant limits.</w:t>
      </w:r>
    </w:p>
    <w:p>
      <w:pPr>
        <w:pStyle w:val="Heading2"/>
        <w:spacing w:after="120" w:before="260"/>
      </w:pPr>
      <w:r>
        <w:t xml:space="preserve">5.3 Constrained Optimum (Recommended)</w:t>
      </w:r>
    </w:p>
    <w:p>
      <w:pPr>
        <w:spacing w:after="160"/>
      </w:pPr>
      <w:r>
        <w:t xml:space="preserve">Experiment 5 repeated the five-variable search while rejecting any combination outside realistic operating limits (4,824 of the grid's combinations were skipped as unsafe). The best valid combination found: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2600"/>
        <w:gridCol w:w="2600"/>
      </w:tblGrid>
      <w:tr>
        <w:trPr>
          <w:tblHeader/>
        </w:trPr>
        <w:tc>
          <w:tcPr>
            <w:tcW w:type="dxa" w:w="3800"/>
            <w:shd w:fill="1F4E5C" w:val="clear"/>
            <w:vAlign w:val="center"/>
          </w:tcPr>
          <w:p>
            <w:r>
              <w:rPr>
                <w:b/>
                <w:bCs/>
                <w:color w:val="FFFFFF"/>
                <w:sz w:val="20"/>
                <w:szCs w:val="20"/>
              </w:rPr>
              <w:t xml:space="preserve">Variable</w:t>
            </w:r>
          </w:p>
        </w:tc>
        <w:tc>
          <w:tcPr>
            <w:tcW w:type="dxa" w:w="2600"/>
            <w:shd w:fill="1F4E5C" w:val="clear"/>
            <w:vAlign w:val="center"/>
          </w:tcPr>
          <w:p>
            <w:r>
              <w:rPr>
                <w:b/>
                <w:bCs/>
                <w:color w:val="FFFFFF"/>
                <w:sz w:val="20"/>
                <w:szCs w:val="20"/>
              </w:rPr>
              <w:t xml:space="preserve">Baseline (Current)</w:t>
            </w:r>
          </w:p>
        </w:tc>
        <w:tc>
          <w:tcPr>
            <w:tcW w:type="dxa" w:w="2600"/>
            <w:shd w:fill="1F4E5C" w:val="clear"/>
            <w:vAlign w:val="center"/>
          </w:tcPr>
          <w:p>
            <w:r>
              <w:rPr>
                <w:b/>
                <w:bCs/>
                <w:color w:val="FFFFFF"/>
                <w:sz w:val="20"/>
                <w:szCs w:val="20"/>
              </w:rPr>
              <w:t xml:space="preserve">Optimized (Recommended)</w:t>
            </w:r>
          </w:p>
        </w:tc>
      </w:tr>
      <w:tr>
        <w:tc>
          <w:tcPr>
            <w:tcW w:type="dxa" w:w="3800"/>
            <w:vAlign w:val="center"/>
          </w:tcPr>
          <w:p>
            <w:r>
              <w:rPr>
                <w:b w:val="false"/>
                <w:bCs w:val="false"/>
                <w:sz w:val="20"/>
                <w:szCs w:val="20"/>
              </w:rPr>
              <w:t xml:space="preserve">Stabilizer Feed Flow</w:t>
            </w:r>
          </w:p>
        </w:tc>
        <w:tc>
          <w:tcPr>
            <w:tcW w:type="dxa" w:w="2600"/>
            <w:vAlign w:val="center"/>
          </w:tcPr>
          <w:p>
            <w:r>
              <w:rPr>
                <w:b w:val="false"/>
                <w:bCs w:val="false"/>
                <w:sz w:val="20"/>
                <w:szCs w:val="20"/>
              </w:rPr>
              <w:t xml:space="preserve">380.0</w:t>
            </w:r>
          </w:p>
        </w:tc>
        <w:tc>
          <w:tcPr>
            <w:tcW w:type="dxa" w:w="2600"/>
            <w:vAlign w:val="center"/>
          </w:tcPr>
          <w:p>
            <w:r>
              <w:rPr>
                <w:b w:val="false"/>
                <w:bCs w:val="false"/>
                <w:sz w:val="20"/>
                <w:szCs w:val="20"/>
              </w:rPr>
              <w:t xml:space="preserve">330</w:t>
            </w:r>
          </w:p>
        </w:tc>
      </w:tr>
      <w:tr>
        <w:tc>
          <w:tcPr>
            <w:tcW w:type="dxa" w:w="3800"/>
            <w:shd w:fill="EAF2F4" w:val="clear"/>
            <w:vAlign w:val="center"/>
          </w:tcPr>
          <w:p>
            <w:r>
              <w:rPr>
                <w:b w:val="false"/>
                <w:bCs w:val="false"/>
                <w:sz w:val="20"/>
                <w:szCs w:val="20"/>
              </w:rPr>
              <w:t xml:space="preserve">Stabilizer Top P</w:t>
            </w:r>
          </w:p>
        </w:tc>
        <w:tc>
          <w:tcPr>
            <w:tcW w:type="dxa" w:w="2600"/>
            <w:shd w:fill="EAF2F4" w:val="clear"/>
            <w:vAlign w:val="center"/>
          </w:tcPr>
          <w:p>
            <w:r>
              <w:rPr>
                <w:b w:val="false"/>
                <w:bCs w:val="false"/>
                <w:sz w:val="20"/>
                <w:szCs w:val="20"/>
              </w:rPr>
              <w:t xml:space="preserve">12.0</w:t>
            </w:r>
          </w:p>
        </w:tc>
        <w:tc>
          <w:tcPr>
            <w:tcW w:type="dxa" w:w="2600"/>
            <w:shd w:fill="EAF2F4" w:val="clear"/>
            <w:vAlign w:val="center"/>
          </w:tcPr>
          <w:p>
            <w:r>
              <w:rPr>
                <w:b w:val="false"/>
                <w:bCs w:val="false"/>
                <w:sz w:val="20"/>
                <w:szCs w:val="20"/>
              </w:rPr>
              <w:t xml:space="preserve">10.0</w:t>
            </w:r>
          </w:p>
        </w:tc>
      </w:tr>
      <w:tr>
        <w:tc>
          <w:tcPr>
            <w:tcW w:type="dxa" w:w="3800"/>
            <w:vAlign w:val="center"/>
          </w:tcPr>
          <w:p>
            <w:r>
              <w:rPr>
                <w:b w:val="false"/>
                <w:bCs w:val="false"/>
                <w:sz w:val="20"/>
                <w:szCs w:val="20"/>
              </w:rPr>
              <w:t xml:space="preserve">Stabilizer Reflux Flow</w:t>
            </w:r>
          </w:p>
        </w:tc>
        <w:tc>
          <w:tcPr>
            <w:tcW w:type="dxa" w:w="2600"/>
            <w:vAlign w:val="center"/>
          </w:tcPr>
          <w:p>
            <w:r>
              <w:rPr>
                <w:b w:val="false"/>
                <w:bCs w:val="false"/>
                <w:sz w:val="20"/>
                <w:szCs w:val="20"/>
              </w:rPr>
              <w:t xml:space="preserve">40.0</w:t>
            </w:r>
          </w:p>
        </w:tc>
        <w:tc>
          <w:tcPr>
            <w:tcW w:type="dxa" w:w="2600"/>
            <w:vAlign w:val="center"/>
          </w:tcPr>
          <w:p>
            <w:r>
              <w:rPr>
                <w:b w:val="false"/>
                <w:bCs w:val="false"/>
                <w:sz w:val="20"/>
                <w:szCs w:val="20"/>
              </w:rPr>
              <w:t xml:space="preserve">30</w:t>
            </w:r>
          </w:p>
        </w:tc>
      </w:tr>
      <w:tr>
        <w:tc>
          <w:tcPr>
            <w:tcW w:type="dxa" w:w="3800"/>
            <w:shd w:fill="EAF2F4" w:val="clear"/>
            <w:vAlign w:val="center"/>
          </w:tcPr>
          <w:p>
            <w:r>
              <w:rPr>
                <w:b w:val="false"/>
                <w:bCs w:val="false"/>
                <w:sz w:val="20"/>
                <w:szCs w:val="20"/>
              </w:rPr>
              <w:t xml:space="preserve">Stabilizer Top T</w:t>
            </w:r>
          </w:p>
        </w:tc>
        <w:tc>
          <w:tcPr>
            <w:tcW w:type="dxa" w:w="2600"/>
            <w:shd w:fill="EAF2F4" w:val="clear"/>
            <w:vAlign w:val="center"/>
          </w:tcPr>
          <w:p>
            <w:r>
              <w:rPr>
                <w:b w:val="false"/>
                <w:bCs w:val="false"/>
                <w:sz w:val="20"/>
                <w:szCs w:val="20"/>
              </w:rPr>
              <w:t xml:space="preserve">70.0</w:t>
            </w:r>
          </w:p>
        </w:tc>
        <w:tc>
          <w:tcPr>
            <w:tcW w:type="dxa" w:w="2600"/>
            <w:shd w:fill="EAF2F4" w:val="clear"/>
            <w:vAlign w:val="center"/>
          </w:tcPr>
          <w:p>
            <w:r>
              <w:rPr>
                <w:b w:val="false"/>
                <w:bCs w:val="false"/>
                <w:sz w:val="20"/>
                <w:szCs w:val="20"/>
              </w:rPr>
              <w:t xml:space="preserve">66</w:t>
            </w:r>
          </w:p>
        </w:tc>
      </w:tr>
      <w:tr>
        <w:tc>
          <w:tcPr>
            <w:tcW w:type="dxa" w:w="3800"/>
            <w:vAlign w:val="center"/>
          </w:tcPr>
          <w:p>
            <w:r>
              <w:rPr>
                <w:b w:val="false"/>
                <w:bCs w:val="false"/>
                <w:sz w:val="20"/>
                <w:szCs w:val="20"/>
              </w:rPr>
              <w:t xml:space="preserve">Stabiliser bottom level</w:t>
            </w:r>
          </w:p>
        </w:tc>
        <w:tc>
          <w:tcPr>
            <w:tcW w:type="dxa" w:w="2600"/>
            <w:vAlign w:val="center"/>
          </w:tcPr>
          <w:p>
            <w:r>
              <w:rPr>
                <w:b w:val="false"/>
                <w:bCs w:val="false"/>
                <w:sz w:val="20"/>
                <w:szCs w:val="20"/>
              </w:rPr>
              <w:t xml:space="preserve">50.0</w:t>
            </w:r>
          </w:p>
        </w:tc>
        <w:tc>
          <w:tcPr>
            <w:tcW w:type="dxa" w:w="2600"/>
            <w:vAlign w:val="center"/>
          </w:tcPr>
          <w:p>
            <w:r>
              <w:rPr>
                <w:b w:val="false"/>
                <w:bCs w:val="false"/>
                <w:sz w:val="20"/>
                <w:szCs w:val="20"/>
              </w:rPr>
              <w:t xml:space="preserve">38</w:t>
            </w:r>
          </w:p>
        </w:tc>
      </w:tr>
    </w:tbl>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500"/>
        <w:gridCol w:w="3500"/>
      </w:tblGrid>
      <w:tr>
        <w:trPr>
          <w:tblHeader/>
        </w:trPr>
        <w:tc>
          <w:tcPr>
            <w:tcW w:type="dxa" w:w="4500"/>
            <w:shd w:fill="1F4E5C" w:val="clear"/>
            <w:vAlign w:val="center"/>
          </w:tcPr>
          <w:p>
            <w:r>
              <w:rPr>
                <w:b/>
                <w:bCs/>
                <w:color w:val="FFFFFF"/>
                <w:sz w:val="20"/>
                <w:szCs w:val="20"/>
              </w:rPr>
              <w:t xml:space="preserve">Metric</w:t>
            </w:r>
          </w:p>
        </w:tc>
        <w:tc>
          <w:tcPr>
            <w:tcW w:type="dxa" w:w="3500"/>
            <w:shd w:fill="1F4E5C" w:val="clear"/>
            <w:vAlign w:val="center"/>
          </w:tcPr>
          <w:p>
            <w:r>
              <w:rPr>
                <w:b/>
                <w:bCs/>
                <w:color w:val="FFFFFF"/>
                <w:sz w:val="20"/>
                <w:szCs w:val="20"/>
              </w:rPr>
              <w:t xml:space="preserve">Value</w:t>
            </w:r>
          </w:p>
        </w:tc>
      </w:tr>
      <w:tr>
        <w:tc>
          <w:tcPr>
            <w:tcW w:type="dxa" w:w="4500"/>
            <w:vAlign w:val="center"/>
          </w:tcPr>
          <w:p>
            <w:r>
              <w:rPr>
                <w:b w:val="false"/>
                <w:bCs w:val="false"/>
                <w:sz w:val="20"/>
                <w:szCs w:val="20"/>
              </w:rPr>
              <w:t xml:space="preserve">Baseline Predicted LPG Flow</w:t>
            </w:r>
          </w:p>
        </w:tc>
        <w:tc>
          <w:tcPr>
            <w:tcW w:type="dxa" w:w="3500"/>
            <w:vAlign w:val="center"/>
          </w:tcPr>
          <w:p>
            <w:r>
              <w:rPr>
                <w:b w:val="false"/>
                <w:bCs w:val="false"/>
                <w:sz w:val="20"/>
                <w:szCs w:val="20"/>
              </w:rPr>
              <w:t xml:space="preserve">18.024</w:t>
            </w:r>
          </w:p>
        </w:tc>
      </w:tr>
      <w:tr>
        <w:tc>
          <w:tcPr>
            <w:tcW w:type="dxa" w:w="4500"/>
            <w:shd w:fill="EAF2F4" w:val="clear"/>
            <w:vAlign w:val="center"/>
          </w:tcPr>
          <w:p>
            <w:r>
              <w:rPr>
                <w:b w:val="false"/>
                <w:bCs w:val="false"/>
                <w:sz w:val="20"/>
                <w:szCs w:val="20"/>
              </w:rPr>
              <w:t xml:space="preserve">Optimized Predicted LPG Flow</w:t>
            </w:r>
          </w:p>
        </w:tc>
        <w:tc>
          <w:tcPr>
            <w:tcW w:type="dxa" w:w="3500"/>
            <w:shd w:fill="EAF2F4" w:val="clear"/>
            <w:vAlign w:val="center"/>
          </w:tcPr>
          <w:p>
            <w:r>
              <w:rPr>
                <w:b w:val="false"/>
                <w:bCs w:val="false"/>
                <w:sz w:val="20"/>
                <w:szCs w:val="20"/>
              </w:rPr>
              <w:t xml:space="preserve">19.139</w:t>
            </w:r>
          </w:p>
        </w:tc>
      </w:tr>
      <w:tr>
        <w:tc>
          <w:tcPr>
            <w:tcW w:type="dxa" w:w="4500"/>
            <w:vAlign w:val="center"/>
          </w:tcPr>
          <w:p>
            <w:r>
              <w:rPr>
                <w:b w:val="false"/>
                <w:bCs w:val="false"/>
                <w:sz w:val="20"/>
                <w:szCs w:val="20"/>
              </w:rPr>
              <w:t xml:space="preserve">Improvement</w:t>
            </w:r>
          </w:p>
        </w:tc>
        <w:tc>
          <w:tcPr>
            <w:tcW w:type="dxa" w:w="3500"/>
            <w:vAlign w:val="center"/>
          </w:tcPr>
          <w:p>
            <w:r>
              <w:rPr>
                <w:b w:val="false"/>
                <w:bCs w:val="false"/>
                <w:sz w:val="20"/>
                <w:szCs w:val="20"/>
              </w:rPr>
              <w:t xml:space="preserve">1.115 (+6.18%)</w:t>
            </w:r>
          </w:p>
        </w:tc>
      </w:tr>
    </w:tbl>
    <w:p>
      <w:pPr>
        <w:pStyle w:val="Heading2"/>
        <w:spacing w:after="120" w:before="260"/>
      </w:pPr>
      <w:r>
        <w:t xml:space="preserve">5.4 Conclusion — Optimization</w:t>
      </w:r>
    </w:p>
    <w:p>
      <w:pPr>
        <w:spacing w:after="160"/>
      </w:pPr>
      <w:r>
        <w:t xml:space="preserve">The constrained, five-variable optimum — not the unconstrained one — is the result recommended for consideration, since it respects realistic column capacity, pressure, pump, and level-control limits. As with any black-box model-based recommendation, the notebook stresses these setpoints should be validated against actual plant safety systems and confirmed by a process engineer before being trialed on the real column.</w:t>
      </w:r>
    </w:p>
    <w:p>
      <w:pPr>
        <w:pStyle w:val="Heading1"/>
        <w:spacing w:after="160" w:before="360"/>
      </w:pPr>
      <w:r>
        <w:t xml:space="preserve">6. Overall Conclusions and Recommendations</w:t>
      </w:r>
    </w:p>
    <w:p>
      <w:pPr>
        <w:pStyle w:val="Heading3"/>
        <w:spacing w:after="100" w:before="200"/>
      </w:pPr>
      <w:r>
        <w:t xml:space="preserve">What worked</w:t>
      </w:r>
    </w:p>
    <w:p>
      <w:pPr>
        <w:pStyle w:val="ListParagraph"/>
        <w:numPr>
          <w:ilvl w:val="0"/>
          <w:numId w:val="1"/>
        </w:numPr>
        <w:spacing w:after="80"/>
      </w:pPr>
      <w:r>
        <w:t xml:space="preserve">LPG Flow (quantity) is well predicted by existing process sensors: a 13-feature Random Forest reaches R² ≈ 0.75 (single split) and ≈ 0.67 (cross-validated), and is deployed as a reusable model artifact.</w:t>
      </w:r>
    </w:p>
    <w:p>
      <w:pPr>
        <w:pStyle w:val="ListParagraph"/>
        <w:numPr>
          <w:ilvl w:val="0"/>
          <w:numId w:val="1"/>
        </w:numPr>
        <w:spacing w:after="80"/>
      </w:pPr>
      <w:r>
        <w:t xml:space="preserve">A transparent, constraint-aware grid search on top of this model identifies an operating point predicted to raise LPG Flow by roughly 6% versus the assumed baseline, without violating safety limits.</w:t>
      </w:r>
    </w:p>
    <w:p>
      <w:pPr>
        <w:pStyle w:val="Heading3"/>
        <w:spacing w:after="100" w:before="200"/>
      </w:pPr>
      <w:r>
        <w:t xml:space="preserve">What did not work</w:t>
      </w:r>
    </w:p>
    <w:p>
      <w:pPr>
        <w:pStyle w:val="ListParagraph"/>
        <w:numPr>
          <w:ilvl w:val="0"/>
          <w:numId w:val="1"/>
        </w:numPr>
        <w:spacing w:after="80"/>
      </w:pPr>
      <w:r>
        <w:t xml:space="preserve">Weathering Temperature (quality) remained essentially unpredictable from the available process variables, despite systematic testing of sensor exclusion, time-window splits, time-lag, physics-informed feature grouping, three engineered features, and an algorithm comparison. The best cross-validated R² was only 0.046.</w:t>
      </w:r>
    </w:p>
    <w:p>
      <w:pPr>
        <w:pStyle w:val="Heading3"/>
        <w:spacing w:after="100" w:before="200"/>
      </w:pPr>
      <w:r>
        <w:t xml:space="preserve">Recommendations for Future Work</w:t>
      </w:r>
    </w:p>
    <w:p>
      <w:pPr>
        <w:pStyle w:val="ListParagraph"/>
        <w:numPr>
          <w:ilvl w:val="0"/>
          <w:numId w:val="1"/>
        </w:numPr>
        <w:spacing w:after="80"/>
      </w:pPr>
      <w:r>
        <w:t xml:space="preserve">Treat the LPG Flow model and optimizer as ready for engineering review and staged trial; validate the recommended setpoints against DCS/safety limits before implementation.</w:t>
      </w:r>
    </w:p>
    <w:p>
      <w:pPr>
        <w:pStyle w:val="ListParagraph"/>
        <w:numPr>
          <w:ilvl w:val="0"/>
          <w:numId w:val="1"/>
        </w:numPr>
        <w:spacing w:after="80"/>
      </w:pPr>
      <w:r>
        <w:t xml:space="preserve">Do not deploy a Weathering Temperature model on the current feature set; investigate additional instrumentation, higher-frequency sampling, or laboratory quality data before revisiting this target.</w:t>
      </w:r>
    </w:p>
    <w:p>
      <w:pPr>
        <w:pStyle w:val="ListParagraph"/>
        <w:numPr>
          <w:ilvl w:val="0"/>
          <w:numId w:val="1"/>
        </w:numPr>
        <w:spacing w:after="80"/>
      </w:pPr>
      <w:r>
        <w:t xml:space="preserve">Replace the placeholder baseline operating values in optimizer.ipynb with live historian/DCS readings before using it operationally.</w:t>
      </w:r>
    </w:p>
    <w:p>
      <w:pPr>
        <w:pStyle w:val="ListParagraph"/>
        <w:numPr>
          <w:ilvl w:val="0"/>
          <w:numId w:val="1"/>
        </w:numPr>
        <w:spacing w:after="80"/>
      </w:pPr>
      <w:r>
        <w:t xml:space="preserve">Once a live baseline is available, extend the constrained optimizer to jointly consider LPG Flow and Weathering Temperature (once/if a usable quality model exists), as originally scoped.</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5C" w:sz="6" w:space="4"/>
      </w:pBdr>
      <w:spacing w:after="160" w:before="360"/>
    </w:pPr>
    <w:rPr>
      <w:rFonts w:ascii="Calibri" w:cs="Calibri" w:eastAsia="Calibri" w:hAnsi="Calibri"/>
      <w:b/>
      <w:bCs/>
      <w:color w:val="1F4E5C"/>
      <w:sz w:val="32"/>
      <w:szCs w:val="32"/>
    </w:rPr>
  </w:style>
  <w:style w:type="paragraph" w:styleId="Heading2">
    <w:name w:val="Heading 2"/>
    <w:basedOn w:val="Normal"/>
    <w:next w:val="Normal"/>
    <w:qFormat/>
    <w:pPr>
      <w:spacing w:after="120" w:before="260"/>
    </w:pPr>
    <w:rPr>
      <w:rFonts w:ascii="Calibri" w:cs="Calibri" w:eastAsia="Calibri" w:hAnsi="Calibri"/>
      <w:b/>
      <w:bCs/>
      <w:color w:val="1F4E5C"/>
      <w:sz w:val="26"/>
      <w:szCs w:val="26"/>
    </w:rPr>
  </w:style>
  <w:style w:type="paragraph" w:styleId="Heading3">
    <w:name w:val="Heading 3"/>
    <w:basedOn w:val="Normal"/>
    <w:next w:val="Normal"/>
    <w:qFormat/>
    <w:pPr>
      <w:spacing w:after="100" w:before="200"/>
    </w:pPr>
    <w:rPr>
      <w:rFonts w:ascii="Calibri" w:cs="Calibri" w:eastAsia="Calibri" w:hAnsi="Calibri"/>
      <w:b/>
      <w:bCs/>
      <w:i w:val="false"/>
      <w:iCs w:val="false"/>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2026-07-04T12:32:53.532Z</dcterms:created>
  <dcterms:modified xsi:type="dcterms:W3CDTF">2026-07-04T12:32:53.532Z</dcterms:modified>
</cp:coreProperties>
</file>

<file path=docProps/custom.xml><?xml version="1.0" encoding="utf-8"?>
<Properties xmlns="http://schemas.openxmlformats.org/officeDocument/2006/custom-properties" xmlns:vt="http://schemas.openxmlformats.org/officeDocument/2006/docPropsVTypes"/>
</file>