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6324F"/>
          <w:sz w:val="52"/>
        </w:rPr>
        <w:t>PREDICTIVE ANALYTICS</w:t>
        <w:br/>
        <w:t>FOR FASHION TREND FORECASTING</w:t>
      </w:r>
    </w:p>
    <w:p>
      <w:pPr>
        <w:jc w:val="center"/>
      </w:pPr>
      <w:r>
        <w:rPr>
          <w:i/>
          <w:color w:val="236477"/>
          <w:sz w:val="26"/>
        </w:rPr>
        <w:t>A practical model framework using publicly available data</w:t>
      </w:r>
    </w:p>
    <w:p>
      <w:pPr>
        <w:spacing w:before="500"/>
        <w:jc w:val="center"/>
      </w:pPr>
      <w:r>
        <w:rPr>
          <w:b/>
        </w:rPr>
        <w:t>Prepared: 23 October 2026</w:t>
        <w:br/>
      </w:r>
      <w:r>
        <w:t>Scope: A forecasting approach that can be prototyped without proprietary company data.</w:t>
      </w:r>
    </w:p>
    <w:p>
      <w:r>
        <w:br w:type="page"/>
      </w:r>
    </w:p>
    <w:p>
      <w:pPr>
        <w:pStyle w:val="Heading1"/>
      </w:pPr>
      <w:r>
        <w:t>Executive Summary</w:t>
      </w:r>
    </w:p>
    <w:p>
      <w:r>
        <w:t>Fashion demand changes with seasons, weather, cultural events, promotions, consumer interests and social attention. Predictive analytics can help analysts estimate which trends may persist, when interest may peak, and how category-level demand indicators could change. This report proposes a practical forecasting framework based on publicly accessible signals, with clear limitations: public search interest and trade data are proxies for demand, not a retailer’s actual sales. The recommended first model is a seasonal-naïve baseline followed by exponential smoothing or SARIMA for a stable time series. If sufficient aligned external features are available, a regression or tree-based model can be tested. Models should be evaluated using chronological backtesting and compared with a simple baseline before being used to support business decisions.</w:t>
      </w:r>
    </w:p>
    <w:p>
      <w:pPr>
        <w:pStyle w:val="Heading1"/>
      </w:pPr>
      <w:r>
        <w:t>1. Business Problem and Forecast Target</w:t>
      </w:r>
    </w:p>
    <w:p>
      <w:r>
        <w:t>The business problem is to estimate near-future fashion interest so a planning team can time trend research, content, product experiments and market monitoring. Without proprietary sales or inventory data, the initial target should be a public indicator such as Google Trends’ relative search-interest index for selected fashion terms, or a documented public monthly trade series for apparel/textiles. A search index is not a sales forecast. It measures relative search interest and must be labelled accordingly.</w:t>
      </w:r>
    </w:p>
    <w:p>
      <w:pPr>
        <w:pStyle w:val="Heading2"/>
      </w:pPr>
      <w:r>
        <w:t>Proposed pilot question</w:t>
      </w:r>
    </w:p>
    <w:p>
      <w:r>
        <w:t>“Can monthly public search-interest data for selected fashion terms be forecast 1–3 months ahead more accurately than a seasonal-naïve baseline?”</w:t>
      </w:r>
    </w:p>
    <w:p>
      <w:r>
        <w:t>Define before modelling:</w:t>
      </w:r>
    </w:p>
    <w:p>
      <w:pPr>
        <w:pStyle w:val="ListBullet"/>
      </w:pPr>
      <w:r>
        <w:t>Geography and language (for example, one selected country and a consistent search term set).</w:t>
      </w:r>
    </w:p>
    <w:p>
      <w:pPr>
        <w:pStyle w:val="ListBullet"/>
      </w:pPr>
      <w:r>
        <w:t>Frequency (weekly or monthly) and history length.</w:t>
      </w:r>
    </w:p>
    <w:p>
      <w:pPr>
        <w:pStyle w:val="ListBullet"/>
      </w:pPr>
      <w:r>
        <w:t>Forecast horizon (1–3 periods ahead for the first pilot).</w:t>
      </w:r>
    </w:p>
    <w:p>
      <w:pPr>
        <w:pStyle w:val="ListBullet"/>
      </w:pPr>
      <w:r>
        <w:t>Target definition, source version, data retrieval date and any sampling limitations.</w:t>
      </w:r>
    </w:p>
    <w:p>
      <w:pPr>
        <w:pStyle w:val="ListBullet"/>
      </w:pPr>
      <w:r>
        <w:t>Decision supported: trend monitoring and research prioritisation—not automatic production or inventory orders.</w:t>
      </w:r>
    </w:p>
    <w:p>
      <w:pPr>
        <w:pStyle w:val="Heading1"/>
      </w:pPr>
      <w:r>
        <w:t>2. Public Data Sources and Features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16324F"/>
          </w:tcPr>
          <w:p>
            <w:pPr>
              <w:spacing w:after="20"/>
            </w:pPr>
            <w:r/>
            <w:r>
              <w:rPr>
                <w:rFonts w:ascii="Aptos" w:hAnsi="Aptos"/>
                <w:b/>
                <w:color w:val="FFFFFF"/>
                <w:sz w:val="16"/>
              </w:rPr>
              <w:t>Source</w:t>
            </w:r>
          </w:p>
        </w:tc>
        <w:tc>
          <w:tcPr>
            <w:tcW w:type="dxa" w:w="3360"/>
            <w:vAlign w:val="center"/>
            <w:shd w:fill="16324F"/>
          </w:tcPr>
          <w:p>
            <w:pPr>
              <w:spacing w:after="20"/>
            </w:pPr>
            <w:r/>
            <w:r>
              <w:rPr>
                <w:rFonts w:ascii="Aptos" w:hAnsi="Aptos"/>
                <w:b/>
                <w:color w:val="FFFFFF"/>
                <w:sz w:val="16"/>
              </w:rPr>
              <w:t>Potential use</w:t>
            </w:r>
          </w:p>
        </w:tc>
        <w:tc>
          <w:tcPr>
            <w:tcW w:type="dxa" w:w="3360"/>
            <w:vAlign w:val="center"/>
            <w:shd w:fill="16324F"/>
          </w:tcPr>
          <w:p>
            <w:pPr>
              <w:spacing w:after="20"/>
            </w:pPr>
            <w:r/>
            <w:r>
              <w:rPr>
                <w:rFonts w:ascii="Aptos" w:hAnsi="Aptos"/>
                <w:b/>
                <w:color w:val="FFFFFF"/>
                <w:sz w:val="16"/>
              </w:rPr>
              <w:t>Link</w:t>
            </w:r>
          </w:p>
        </w:tc>
      </w:tr>
      <w:tr>
        <w:tc>
          <w:tcPr>
            <w:tcW w:type="dxa" w:w="3360"/>
            <w:vAlign w:val="center"/>
          </w:tcPr>
          <w:p>
            <w:pPr>
              <w:spacing w:after="20"/>
            </w:pPr>
            <w:r/>
            <w:r>
              <w:rPr>
                <w:rFonts w:ascii="Aptos" w:hAnsi="Aptos"/>
                <w:b w:val="0"/>
                <w:sz w:val="15"/>
              </w:rPr>
              <w:t>Google Trends</w:t>
            </w:r>
          </w:p>
        </w:tc>
        <w:tc>
          <w:tcPr>
            <w:tcW w:type="dxa" w:w="3360"/>
            <w:vAlign w:val="center"/>
          </w:tcPr>
          <w:p>
            <w:pPr>
              <w:spacing w:after="20"/>
            </w:pPr>
            <w:r/>
            <w:r>
              <w:rPr>
                <w:rFonts w:ascii="Aptos" w:hAnsi="Aptos"/>
                <w:b w:val="0"/>
                <w:sz w:val="15"/>
              </w:rPr>
              <w:t>Relative search interest by term, region and time; primary candidate target or predictor. Values are scaled, not absolute search counts.</w:t>
            </w:r>
          </w:p>
        </w:tc>
        <w:tc>
          <w:tcPr>
            <w:tcW w:type="dxa" w:w="3360"/>
            <w:vAlign w:val="center"/>
          </w:tcPr>
          <w:p>
            <w:pPr>
              <w:spacing w:after="20"/>
            </w:pPr>
            <w:r/>
            <w:r>
              <w:rPr>
                <w:rFonts w:ascii="Aptos" w:hAnsi="Aptos"/>
                <w:b w:val="0"/>
                <w:sz w:val="15"/>
              </w:rPr>
              <w:t>https://trends.google.com/trends/</w:t>
            </w:r>
          </w:p>
        </w:tc>
      </w:tr>
      <w:tr>
        <w:tc>
          <w:tcPr>
            <w:tcW w:type="dxa" w:w="3360"/>
            <w:vAlign w:val="center"/>
          </w:tcPr>
          <w:p>
            <w:pPr>
              <w:spacing w:after="20"/>
            </w:pPr>
            <w:r/>
            <w:r>
              <w:rPr>
                <w:rFonts w:ascii="Aptos" w:hAnsi="Aptos"/>
                <w:b w:val="0"/>
                <w:sz w:val="15"/>
              </w:rPr>
              <w:t>UN Comtrade</w:t>
            </w:r>
          </w:p>
        </w:tc>
        <w:tc>
          <w:tcPr>
            <w:tcW w:type="dxa" w:w="3360"/>
            <w:vAlign w:val="center"/>
          </w:tcPr>
          <w:p>
            <w:pPr>
              <w:spacing w:after="20"/>
            </w:pPr>
            <w:r/>
            <w:r>
              <w:rPr>
                <w:rFonts w:ascii="Aptos" w:hAnsi="Aptos"/>
                <w:b w:val="0"/>
                <w:sz w:val="15"/>
              </w:rPr>
              <w:t>Monthly or annual textile/apparel trade flows by country and HS code, subject to availability and reporting lags.</w:t>
            </w:r>
          </w:p>
        </w:tc>
        <w:tc>
          <w:tcPr>
            <w:tcW w:type="dxa" w:w="3360"/>
            <w:vAlign w:val="center"/>
          </w:tcPr>
          <w:p>
            <w:pPr>
              <w:spacing w:after="20"/>
            </w:pPr>
            <w:r/>
            <w:r>
              <w:rPr>
                <w:rFonts w:ascii="Aptos" w:hAnsi="Aptos"/>
                <w:b w:val="0"/>
                <w:sz w:val="15"/>
              </w:rPr>
              <w:t>https://comtradeplus.un.org/</w:t>
            </w:r>
          </w:p>
        </w:tc>
      </w:tr>
      <w:tr>
        <w:tc>
          <w:tcPr>
            <w:tcW w:type="dxa" w:w="3360"/>
            <w:vAlign w:val="center"/>
          </w:tcPr>
          <w:p>
            <w:pPr>
              <w:spacing w:after="20"/>
            </w:pPr>
            <w:r/>
            <w:r>
              <w:rPr>
                <w:rFonts w:ascii="Aptos" w:hAnsi="Aptos"/>
                <w:b w:val="0"/>
                <w:sz w:val="15"/>
              </w:rPr>
              <w:t>World Bank Open Data</w:t>
            </w:r>
          </w:p>
        </w:tc>
        <w:tc>
          <w:tcPr>
            <w:tcW w:type="dxa" w:w="3360"/>
            <w:vAlign w:val="center"/>
          </w:tcPr>
          <w:p>
            <w:pPr>
              <w:spacing w:after="20"/>
            </w:pPr>
            <w:r/>
            <w:r>
              <w:rPr>
                <w:rFonts w:ascii="Aptos" w:hAnsi="Aptos"/>
                <w:b w:val="0"/>
                <w:sz w:val="15"/>
              </w:rPr>
              <w:t>Market context such as population, income and inflation; often lower frequency than search data.</w:t>
            </w:r>
          </w:p>
        </w:tc>
        <w:tc>
          <w:tcPr>
            <w:tcW w:type="dxa" w:w="3360"/>
            <w:vAlign w:val="center"/>
          </w:tcPr>
          <w:p>
            <w:pPr>
              <w:spacing w:after="20"/>
            </w:pPr>
            <w:r/>
            <w:r>
              <w:rPr>
                <w:rFonts w:ascii="Aptos" w:hAnsi="Aptos"/>
                <w:b w:val="0"/>
                <w:sz w:val="15"/>
              </w:rPr>
              <w:t>https://data.worldbank.org/</w:t>
            </w:r>
          </w:p>
        </w:tc>
      </w:tr>
      <w:tr>
        <w:tc>
          <w:tcPr>
            <w:tcW w:type="dxa" w:w="3360"/>
            <w:vAlign w:val="center"/>
          </w:tcPr>
          <w:p>
            <w:pPr>
              <w:spacing w:after="20"/>
            </w:pPr>
            <w:r/>
            <w:r>
              <w:rPr>
                <w:rFonts w:ascii="Aptos" w:hAnsi="Aptos"/>
                <w:b w:val="0"/>
                <w:sz w:val="15"/>
              </w:rPr>
              <w:t>Eurostat</w:t>
            </w:r>
          </w:p>
        </w:tc>
        <w:tc>
          <w:tcPr>
            <w:tcW w:type="dxa" w:w="3360"/>
            <w:vAlign w:val="center"/>
          </w:tcPr>
          <w:p>
            <w:pPr>
              <w:spacing w:after="20"/>
            </w:pPr>
            <w:r/>
            <w:r>
              <w:rPr>
                <w:rFonts w:ascii="Aptos" w:hAnsi="Aptos"/>
                <w:b w:val="0"/>
                <w:sz w:val="15"/>
              </w:rPr>
              <w:t>European trade and economic indicators for market-specific analysis.</w:t>
            </w:r>
          </w:p>
        </w:tc>
        <w:tc>
          <w:tcPr>
            <w:tcW w:type="dxa" w:w="3360"/>
            <w:vAlign w:val="center"/>
          </w:tcPr>
          <w:p>
            <w:pPr>
              <w:spacing w:after="20"/>
            </w:pPr>
            <w:r/>
            <w:r>
              <w:rPr>
                <w:rFonts w:ascii="Aptos" w:hAnsi="Aptos"/>
                <w:b w:val="0"/>
                <w:sz w:val="15"/>
              </w:rPr>
              <w:t>https://ec.europa.eu/eurostat/</w:t>
            </w:r>
          </w:p>
        </w:tc>
      </w:tr>
      <w:tr>
        <w:tc>
          <w:tcPr>
            <w:tcW w:type="dxa" w:w="3360"/>
            <w:vAlign w:val="center"/>
          </w:tcPr>
          <w:p>
            <w:pPr>
              <w:spacing w:after="20"/>
            </w:pPr>
            <w:r/>
            <w:r>
              <w:rPr>
                <w:rFonts w:ascii="Aptos" w:hAnsi="Aptos"/>
                <w:b w:val="0"/>
                <w:sz w:val="15"/>
              </w:rPr>
              <w:t>India Open Government Data</w:t>
            </w:r>
          </w:p>
        </w:tc>
        <w:tc>
          <w:tcPr>
            <w:tcW w:type="dxa" w:w="3360"/>
            <w:vAlign w:val="center"/>
          </w:tcPr>
          <w:p>
            <w:pPr>
              <w:spacing w:after="20"/>
            </w:pPr>
            <w:r/>
            <w:r>
              <w:rPr>
                <w:rFonts w:ascii="Aptos" w:hAnsi="Aptos"/>
                <w:b w:val="0"/>
                <w:sz w:val="15"/>
              </w:rPr>
              <w:t>Potential textile, export or economic datasets published by Indian government bodies.</w:t>
            </w:r>
          </w:p>
        </w:tc>
        <w:tc>
          <w:tcPr>
            <w:tcW w:type="dxa" w:w="3360"/>
            <w:vAlign w:val="center"/>
          </w:tcPr>
          <w:p>
            <w:pPr>
              <w:spacing w:after="20"/>
            </w:pPr>
            <w:r/>
            <w:r>
              <w:rPr>
                <w:rFonts w:ascii="Aptos" w:hAnsi="Aptos"/>
                <w:b w:val="0"/>
                <w:sz w:val="15"/>
              </w:rPr>
              <w:t>https://www.data.gov.in/</w:t>
            </w:r>
          </w:p>
        </w:tc>
      </w:tr>
      <w:tr>
        <w:tc>
          <w:tcPr>
            <w:tcW w:type="dxa" w:w="3360"/>
            <w:vAlign w:val="center"/>
          </w:tcPr>
          <w:p>
            <w:pPr>
              <w:spacing w:after="20"/>
            </w:pPr>
            <w:r/>
            <w:r>
              <w:rPr>
                <w:rFonts w:ascii="Aptos" w:hAnsi="Aptos"/>
                <w:b w:val="0"/>
                <w:sz w:val="15"/>
              </w:rPr>
              <w:t>Open-Meteo</w:t>
            </w:r>
          </w:p>
        </w:tc>
        <w:tc>
          <w:tcPr>
            <w:tcW w:type="dxa" w:w="3360"/>
            <w:vAlign w:val="center"/>
          </w:tcPr>
          <w:p>
            <w:pPr>
              <w:spacing w:after="20"/>
            </w:pPr>
            <w:r/>
            <w:r>
              <w:rPr>
                <w:rFonts w:ascii="Aptos" w:hAnsi="Aptos"/>
                <w:b w:val="0"/>
                <w:sz w:val="15"/>
              </w:rPr>
              <w:t>Historical weather features that may be useful for seasonal categories such as coats, swimwear or rainwear.</w:t>
            </w:r>
          </w:p>
        </w:tc>
        <w:tc>
          <w:tcPr>
            <w:tcW w:type="dxa" w:w="3360"/>
            <w:vAlign w:val="center"/>
          </w:tcPr>
          <w:p>
            <w:pPr>
              <w:spacing w:after="20"/>
            </w:pPr>
            <w:r/>
            <w:r>
              <w:rPr>
                <w:rFonts w:ascii="Aptos" w:hAnsi="Aptos"/>
                <w:b w:val="0"/>
                <w:sz w:val="15"/>
              </w:rPr>
              <w:t>https://open-meteo.com/</w:t>
            </w:r>
          </w:p>
        </w:tc>
      </w:tr>
      <w:tr>
        <w:tc>
          <w:tcPr>
            <w:tcW w:type="dxa" w:w="3360"/>
            <w:vAlign w:val="center"/>
          </w:tcPr>
          <w:p>
            <w:pPr>
              <w:spacing w:after="20"/>
            </w:pPr>
            <w:r/>
            <w:r>
              <w:rPr>
                <w:rFonts w:ascii="Aptos" w:hAnsi="Aptos"/>
                <w:b w:val="0"/>
                <w:sz w:val="15"/>
              </w:rPr>
              <w:t>Public event calendar</w:t>
            </w:r>
          </w:p>
        </w:tc>
        <w:tc>
          <w:tcPr>
            <w:tcW w:type="dxa" w:w="3360"/>
            <w:vAlign w:val="center"/>
          </w:tcPr>
          <w:p>
            <w:pPr>
              <w:spacing w:after="20"/>
            </w:pPr>
            <w:r/>
            <w:r>
              <w:rPr>
                <w:rFonts w:ascii="Aptos" w:hAnsi="Aptos"/>
                <w:b w:val="0"/>
                <w:sz w:val="15"/>
              </w:rPr>
              <w:t>Official holiday and event dates, encoded as calendar flags when relevant to the selected market.</w:t>
            </w:r>
          </w:p>
        </w:tc>
        <w:tc>
          <w:tcPr>
            <w:tcW w:type="dxa" w:w="3360"/>
            <w:vAlign w:val="center"/>
          </w:tcPr>
          <w:p>
            <w:pPr>
              <w:spacing w:after="20"/>
            </w:pPr>
            <w:r/>
            <w:r>
              <w:rPr>
                <w:rFonts w:ascii="Aptos" w:hAnsi="Aptos"/>
                <w:b w:val="0"/>
                <w:sz w:val="15"/>
              </w:rPr>
              <w:t>Use official government/event sources</w:t>
            </w:r>
          </w:p>
        </w:tc>
      </w:tr>
    </w:tbl>
    <w:p>
      <w:r>
        <w:t>Record the source URL, query terms, geography, date range, access date, licence/terms, frequency, missing periods and data revisions. Do not scrape sites in ways that violate their terms or bypass access controls. External variables should only be used if their historical values would have been available at the time of each forecast; otherwise the model risks data leakage.</w:t>
      </w:r>
    </w:p>
    <w:p>
      <w:pPr>
        <w:pStyle w:val="Heading1"/>
      </w:pPr>
      <w:r>
        <w:t>3. Candidate Forecasting Methods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16324F"/>
          </w:tcPr>
          <w:p>
            <w:pPr>
              <w:spacing w:after="20"/>
            </w:pPr>
            <w:r/>
            <w:r>
              <w:rPr>
                <w:rFonts w:ascii="Aptos" w:hAnsi="Aptos"/>
                <w:b/>
                <w:color w:val="FFFFFF"/>
                <w:sz w:val="16"/>
              </w:rPr>
              <w:t>Method</w:t>
            </w:r>
          </w:p>
        </w:tc>
        <w:tc>
          <w:tcPr>
            <w:tcW w:type="dxa" w:w="5040"/>
            <w:vAlign w:val="center"/>
            <w:shd w:fill="16324F"/>
          </w:tcPr>
          <w:p>
            <w:pPr>
              <w:spacing w:after="20"/>
            </w:pPr>
            <w:r/>
            <w:r>
              <w:rPr>
                <w:rFonts w:ascii="Aptos" w:hAnsi="Aptos"/>
                <w:b/>
                <w:color w:val="FFFFFF"/>
                <w:sz w:val="16"/>
              </w:rPr>
              <w:t>Justification and limitations</w:t>
            </w:r>
          </w:p>
        </w:tc>
      </w:tr>
      <w:tr>
        <w:tc>
          <w:tcPr>
            <w:tcW w:type="dxa" w:w="5040"/>
            <w:vAlign w:val="center"/>
          </w:tcPr>
          <w:p>
            <w:pPr>
              <w:spacing w:after="20"/>
            </w:pPr>
            <w:r/>
            <w:r>
              <w:rPr>
                <w:rFonts w:ascii="Aptos" w:hAnsi="Aptos"/>
                <w:b/>
                <w:sz w:val="16"/>
              </w:rPr>
              <w:t>Seasonal-naïve baseline</w:t>
            </w:r>
          </w:p>
        </w:tc>
        <w:tc>
          <w:tcPr>
            <w:tcW w:type="dxa" w:w="5040"/>
            <w:vAlign w:val="center"/>
          </w:tcPr>
          <w:p>
            <w:pPr>
              <w:spacing w:after="20"/>
            </w:pPr>
            <w:r/>
            <w:r>
              <w:rPr>
                <w:rFonts w:ascii="Aptos" w:hAnsi="Aptos"/>
                <w:b w:val="0"/>
                <w:sz w:val="16"/>
              </w:rPr>
              <w:t>Predict the next period using the value from the equivalent season in the prior cycle. Simple, transparent and difficult to beat when seasonality is strong; always include it as a benchmark.</w:t>
            </w:r>
          </w:p>
        </w:tc>
      </w:tr>
      <w:tr>
        <w:tc>
          <w:tcPr>
            <w:tcW w:type="dxa" w:w="5040"/>
            <w:vAlign w:val="center"/>
          </w:tcPr>
          <w:p>
            <w:pPr>
              <w:spacing w:after="20"/>
            </w:pPr>
            <w:r/>
            <w:r>
              <w:rPr>
                <w:rFonts w:ascii="Aptos" w:hAnsi="Aptos"/>
                <w:b/>
                <w:sz w:val="16"/>
              </w:rPr>
              <w:t>Moving average / exponential smoothing (ETS)</w:t>
            </w:r>
          </w:p>
        </w:tc>
        <w:tc>
          <w:tcPr>
            <w:tcW w:type="dxa" w:w="5040"/>
            <w:vAlign w:val="center"/>
          </w:tcPr>
          <w:p>
            <w:pPr>
              <w:spacing w:after="20"/>
            </w:pPr>
            <w:r/>
            <w:r>
              <w:rPr>
                <w:rFonts w:ascii="Aptos" w:hAnsi="Aptos"/>
                <w:b w:val="0"/>
                <w:sz w:val="16"/>
              </w:rPr>
              <w:t>Smooths noise and can represent level, trend and seasonality. Good for short, regularly spaced series and relatively easy to explain.</w:t>
            </w:r>
          </w:p>
        </w:tc>
      </w:tr>
      <w:tr>
        <w:tc>
          <w:tcPr>
            <w:tcW w:type="dxa" w:w="5040"/>
            <w:vAlign w:val="center"/>
          </w:tcPr>
          <w:p>
            <w:pPr>
              <w:spacing w:after="20"/>
            </w:pPr>
            <w:r/>
            <w:r>
              <w:rPr>
                <w:rFonts w:ascii="Aptos" w:hAnsi="Aptos"/>
                <w:b/>
                <w:sz w:val="16"/>
              </w:rPr>
              <w:t>SARIMA</w:t>
            </w:r>
          </w:p>
        </w:tc>
        <w:tc>
          <w:tcPr>
            <w:tcW w:type="dxa" w:w="5040"/>
            <w:vAlign w:val="center"/>
          </w:tcPr>
          <w:p>
            <w:pPr>
              <w:spacing w:after="20"/>
            </w:pPr>
            <w:r/>
            <w:r>
              <w:rPr>
                <w:rFonts w:ascii="Aptos" w:hAnsi="Aptos"/>
                <w:b w:val="0"/>
                <w:sz w:val="16"/>
              </w:rPr>
              <w:t>Models autocorrelation, differencing and seasonal patterns. Useful for a univariate series with enough history and stable seasonal behaviour; requires careful order selection and diagnostics.</w:t>
            </w:r>
          </w:p>
        </w:tc>
      </w:tr>
      <w:tr>
        <w:tc>
          <w:tcPr>
            <w:tcW w:type="dxa" w:w="5040"/>
            <w:vAlign w:val="center"/>
          </w:tcPr>
          <w:p>
            <w:pPr>
              <w:spacing w:after="20"/>
            </w:pPr>
            <w:r/>
            <w:r>
              <w:rPr>
                <w:rFonts w:ascii="Aptos" w:hAnsi="Aptos"/>
                <w:b/>
                <w:sz w:val="16"/>
              </w:rPr>
              <w:t>Regression with calendar/external features</w:t>
            </w:r>
          </w:p>
        </w:tc>
        <w:tc>
          <w:tcPr>
            <w:tcW w:type="dxa" w:w="5040"/>
            <w:vAlign w:val="center"/>
          </w:tcPr>
          <w:p>
            <w:pPr>
              <w:spacing w:after="20"/>
            </w:pPr>
            <w:r/>
            <w:r>
              <w:rPr>
                <w:rFonts w:ascii="Aptos" w:hAnsi="Aptos"/>
                <w:b w:val="0"/>
                <w:sz w:val="16"/>
              </w:rPr>
              <w:t>Uses month, holidays, weather and lagged search values to explain the target. Useful when external drivers are meaningful, but feature availability and leakage must be controlled.</w:t>
            </w:r>
          </w:p>
        </w:tc>
      </w:tr>
      <w:tr>
        <w:tc>
          <w:tcPr>
            <w:tcW w:type="dxa" w:w="5040"/>
            <w:vAlign w:val="center"/>
          </w:tcPr>
          <w:p>
            <w:pPr>
              <w:spacing w:after="20"/>
            </w:pPr>
            <w:r/>
            <w:r>
              <w:rPr>
                <w:rFonts w:ascii="Aptos" w:hAnsi="Aptos"/>
                <w:b/>
                <w:sz w:val="16"/>
              </w:rPr>
              <w:t>Tree-based machine learning (e.g., Random Forest or gradient boosting)</w:t>
            </w:r>
          </w:p>
        </w:tc>
        <w:tc>
          <w:tcPr>
            <w:tcW w:type="dxa" w:w="5040"/>
            <w:vAlign w:val="center"/>
          </w:tcPr>
          <w:p>
            <w:pPr>
              <w:spacing w:after="20"/>
            </w:pPr>
            <w:r/>
            <w:r>
              <w:rPr>
                <w:rFonts w:ascii="Aptos" w:hAnsi="Aptos"/>
                <w:b w:val="0"/>
                <w:sz w:val="16"/>
              </w:rPr>
              <w:t>Can capture non-linear relationships among lagged values and external features, but needs enough observations and disciplined time-based validation. It may overfit small datasets.</w:t>
            </w:r>
          </w:p>
        </w:tc>
      </w:tr>
    </w:tbl>
    <w:p>
      <w:pPr>
        <w:pStyle w:val="Heading1"/>
      </w:pPr>
      <w:r>
        <w:t>4. Recommended Model and Parameters</w:t>
      </w:r>
    </w:p>
    <w:p>
      <w:r>
        <w:t>For a junior analyst, start with a seasonal-naïve baseline, then compare an ETS model and SARIMA. This sequence prioritises interpretability and reduces the risk of choosing a complex model before the data justifies it. For monthly observations with several years of history, test a seasonal period of 12. If using weekly data, seasonality may be 52, but the available history must support it. Do not assume annual seasonality without checking plots and domain context.</w:t>
      </w:r>
    </w:p>
    <w:p>
      <w:pPr>
        <w:pStyle w:val="Heading2"/>
      </w:pPr>
      <w:r>
        <w:t>Suggested initial configuration</w:t>
      </w:r>
    </w:p>
    <w:p>
      <w:pPr>
        <w:pStyle w:val="ListBullet"/>
      </w:pPr>
      <w:r>
        <w:t>Frequency: monthly; forecast horizon: 1, 2 and 3 months ahead.</w:t>
      </w:r>
    </w:p>
    <w:p>
      <w:pPr>
        <w:pStyle w:val="ListBullet"/>
      </w:pPr>
      <w:r>
        <w:t>Baseline: seasonal-naïve forecast using the value 12 months earlier, where available.</w:t>
      </w:r>
    </w:p>
    <w:p>
      <w:pPr>
        <w:pStyle w:val="ListBullet"/>
      </w:pPr>
      <w:r>
        <w:t>ETS: compare additive versus multiplicative seasonality only when the series scale and positivity support the choice; inspect trend and damped-trend variants.</w:t>
      </w:r>
    </w:p>
    <w:p>
      <w:pPr>
        <w:pStyle w:val="ListBullet"/>
      </w:pPr>
      <w:r>
        <w:t>SARIMA: begin with a small, constrained search over non-seasonal orders p,d,q and seasonal orders P,D,Q with s=12; use AIC/BIC only within training data and confirm by backtesting.</w:t>
      </w:r>
    </w:p>
    <w:p>
      <w:pPr>
        <w:pStyle w:val="ListBullet"/>
      </w:pPr>
      <w:r>
        <w:t>Exogenous features: month-of-year, official holiday flags and weather summaries only when historically available and aligned to the same geography and period.</w:t>
      </w:r>
    </w:p>
    <w:p>
      <w:pPr>
        <w:pStyle w:val="ListBullet"/>
      </w:pPr>
      <w:r>
        <w:t>Transformations: consider log transformation only for positive, right-skewed values; handle Google Trends’ bounded 0–100 scale carefully and do not interpret it as a count.</w:t>
      </w:r>
    </w:p>
    <w:p>
      <w:pPr>
        <w:pStyle w:val="ListBullet"/>
      </w:pPr>
      <w:r>
        <w:t>Uncertainty: report prediction intervals where supported and avoid presenting a single point forecast as certain.</w:t>
      </w:r>
    </w:p>
    <w:p>
      <w:pPr>
        <w:pStyle w:val="Heading1"/>
      </w:pPr>
      <w:r>
        <w:t>5. End-to-End Implementation Framework</w:t>
      </w:r>
    </w:p>
    <w:p>
      <w:pPr>
        <w:pStyle w:val="Heading2"/>
      </w:pPr>
      <w:r>
        <w:t>Step 1 — Define the target</w:t>
      </w:r>
    </w:p>
    <w:p>
      <w:r>
        <w:t>Choose one fashion search term or a small, documented set of terms; choose a geography, frequency, forecast horizon and intended decision.</w:t>
      </w:r>
    </w:p>
    <w:p>
      <w:pPr>
        <w:pStyle w:val="Heading2"/>
      </w:pPr>
      <w:r>
        <w:t>Step 2 — Acquire data</w:t>
      </w:r>
    </w:p>
    <w:p>
      <w:r>
        <w:t>Download or query public historical observations. Save raw files unchanged and record query settings, access date, source terms and revisions.</w:t>
      </w:r>
    </w:p>
    <w:p>
      <w:pPr>
        <w:pStyle w:val="Heading2"/>
      </w:pPr>
      <w:r>
        <w:t>Step 3 — Prepare the time series</w:t>
      </w:r>
    </w:p>
    <w:p>
      <w:r>
        <w:t>Parse dates, sort chronologically, enforce one record per period, align the calendar, inspect missing periods and document how any gaps are handled. Do not automatically fill a missing month with zero.</w:t>
      </w:r>
    </w:p>
    <w:p>
      <w:pPr>
        <w:pStyle w:val="Heading2"/>
      </w:pPr>
      <w:r>
        <w:t>Step 4 — Explore the series</w:t>
      </w:r>
    </w:p>
    <w:p>
      <w:r>
        <w:t>Plot the series; inspect trend, seasonality, structural breaks, outliers and changes in variance. Compare seasonal subseries and use domain knowledge to explain major spikes.</w:t>
      </w:r>
    </w:p>
    <w:p>
      <w:pPr>
        <w:pStyle w:val="Heading2"/>
      </w:pPr>
      <w:r>
        <w:t>Step 5 — Split chronologically</w:t>
      </w:r>
    </w:p>
    <w:p>
      <w:r>
        <w:t>Reserve the latest periods as a final test set. Do not randomly shuffle time-series data. Use rolling-origin or expanding-window validation on earlier periods.</w:t>
      </w:r>
    </w:p>
    <w:p>
      <w:pPr>
        <w:pStyle w:val="Heading2"/>
      </w:pPr>
      <w:r>
        <w:t>Step 6 — Train baselines and candidate models</w:t>
      </w:r>
    </w:p>
    <w:p>
      <w:r>
        <w:t>Fit the seasonal-naïve baseline first, then ETS/SARIMA. Add regression or machine learning only if data volume and external features justify it.</w:t>
      </w:r>
    </w:p>
    <w:p>
      <w:pPr>
        <w:pStyle w:val="Heading2"/>
      </w:pPr>
      <w:r>
        <w:t>Step 7 — Tune parameters</w:t>
      </w:r>
    </w:p>
    <w:p>
      <w:r>
        <w:t>Select a small candidate set using training-window diagnostics and validation error. Avoid tuning against the final test period.</w:t>
      </w:r>
    </w:p>
    <w:p>
      <w:pPr>
        <w:pStyle w:val="Heading2"/>
      </w:pPr>
      <w:r>
        <w:t>Step 8 — Evaluate and compare</w:t>
      </w:r>
    </w:p>
    <w:p>
      <w:r>
        <w:t>Calculate MAE and RMSE; use WAPE or sMAPE when appropriate. MAPE can behave badly when actual values are zero or close to zero. Report errors by horizon and compare each model with the baseline.</w:t>
      </w:r>
    </w:p>
    <w:p>
      <w:pPr>
        <w:pStyle w:val="Heading2"/>
      </w:pPr>
      <w:r>
        <w:t>Step 9 — Interpret and communicate</w:t>
      </w:r>
    </w:p>
    <w:p>
      <w:r>
        <w:t>Show actual versus forecast values, prediction intervals, error metrics, known limitations and a clear explanation of what the forecast does and does not represent.</w:t>
      </w:r>
    </w:p>
    <w:p>
      <w:pPr>
        <w:pStyle w:val="Heading2"/>
      </w:pPr>
      <w:r>
        <w:t>Step 10 — Monitor and update</w:t>
      </w:r>
    </w:p>
    <w:p>
      <w:r>
        <w:t>Refresh data on a schedule, monitor missingness and forecast errors, compare against the baseline, investigate drift, and retrain only under a documented rule.</w:t>
      </w:r>
    </w:p>
    <w:p>
      <w:pPr>
        <w:pStyle w:val="Heading1"/>
      </w:pPr>
      <w:r>
        <w:t>6. Validation Metrics and Selection Rules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16324F"/>
          </w:tcPr>
          <w:p>
            <w:pPr>
              <w:spacing w:after="20"/>
            </w:pPr>
            <w:r/>
            <w:r>
              <w:rPr>
                <w:rFonts w:ascii="Aptos" w:hAnsi="Aptos"/>
                <w:b/>
                <w:color w:val="FFFFFF"/>
                <w:sz w:val="16"/>
              </w:rPr>
              <w:t>Metric</w:t>
            </w:r>
          </w:p>
        </w:tc>
        <w:tc>
          <w:tcPr>
            <w:tcW w:type="dxa" w:w="3360"/>
            <w:vAlign w:val="center"/>
            <w:shd w:fill="16324F"/>
          </w:tcPr>
          <w:p>
            <w:pPr>
              <w:spacing w:after="20"/>
            </w:pPr>
            <w:r/>
            <w:r>
              <w:rPr>
                <w:rFonts w:ascii="Aptos" w:hAnsi="Aptos"/>
                <w:b/>
                <w:color w:val="FFFFFF"/>
                <w:sz w:val="16"/>
              </w:rPr>
              <w:t>What it measures</w:t>
            </w:r>
          </w:p>
        </w:tc>
        <w:tc>
          <w:tcPr>
            <w:tcW w:type="dxa" w:w="3360"/>
            <w:vAlign w:val="center"/>
            <w:shd w:fill="16324F"/>
          </w:tcPr>
          <w:p>
            <w:pPr>
              <w:spacing w:after="20"/>
            </w:pPr>
            <w:r/>
            <w:r>
              <w:rPr>
                <w:rFonts w:ascii="Aptos" w:hAnsi="Aptos"/>
                <w:b/>
                <w:color w:val="FFFFFF"/>
                <w:sz w:val="16"/>
              </w:rPr>
              <w:t>Caution</w:t>
            </w:r>
          </w:p>
        </w:tc>
      </w:tr>
      <w:tr>
        <w:tc>
          <w:tcPr>
            <w:tcW w:type="dxa" w:w="3360"/>
            <w:vAlign w:val="center"/>
          </w:tcPr>
          <w:p>
            <w:pPr>
              <w:spacing w:after="20"/>
            </w:pPr>
            <w:r/>
            <w:r>
              <w:rPr>
                <w:rFonts w:ascii="Aptos" w:hAnsi="Aptos"/>
                <w:b w:val="0"/>
                <w:sz w:val="16"/>
              </w:rPr>
              <w:t>MAE</w:t>
            </w:r>
          </w:p>
        </w:tc>
        <w:tc>
          <w:tcPr>
            <w:tcW w:type="dxa" w:w="3360"/>
            <w:vAlign w:val="center"/>
          </w:tcPr>
          <w:p>
            <w:pPr>
              <w:spacing w:after="20"/>
            </w:pPr>
            <w:r/>
            <w:r>
              <w:rPr>
                <w:rFonts w:ascii="Aptos" w:hAnsi="Aptos"/>
                <w:b w:val="0"/>
                <w:sz w:val="16"/>
              </w:rPr>
              <w:t>Average absolute error in the target’s units.</w:t>
            </w:r>
          </w:p>
        </w:tc>
        <w:tc>
          <w:tcPr>
            <w:tcW w:type="dxa" w:w="3360"/>
            <w:vAlign w:val="center"/>
          </w:tcPr>
          <w:p>
            <w:pPr>
              <w:spacing w:after="20"/>
            </w:pPr>
            <w:r/>
            <w:r>
              <w:rPr>
                <w:rFonts w:ascii="Aptos" w:hAnsi="Aptos"/>
                <w:b w:val="0"/>
                <w:sz w:val="16"/>
              </w:rPr>
              <w:t>Easy to explain; scale-dependent.</w:t>
            </w:r>
          </w:p>
        </w:tc>
      </w:tr>
      <w:tr>
        <w:tc>
          <w:tcPr>
            <w:tcW w:type="dxa" w:w="3360"/>
            <w:vAlign w:val="center"/>
          </w:tcPr>
          <w:p>
            <w:pPr>
              <w:spacing w:after="20"/>
            </w:pPr>
            <w:r/>
            <w:r>
              <w:rPr>
                <w:rFonts w:ascii="Aptos" w:hAnsi="Aptos"/>
                <w:b w:val="0"/>
                <w:sz w:val="16"/>
              </w:rPr>
              <w:t>RMSE</w:t>
            </w:r>
          </w:p>
        </w:tc>
        <w:tc>
          <w:tcPr>
            <w:tcW w:type="dxa" w:w="3360"/>
            <w:vAlign w:val="center"/>
          </w:tcPr>
          <w:p>
            <w:pPr>
              <w:spacing w:after="20"/>
            </w:pPr>
            <w:r/>
            <w:r>
              <w:rPr>
                <w:rFonts w:ascii="Aptos" w:hAnsi="Aptos"/>
                <w:b w:val="0"/>
                <w:sz w:val="16"/>
              </w:rPr>
              <w:t>Penalises large errors more strongly.</w:t>
            </w:r>
          </w:p>
        </w:tc>
        <w:tc>
          <w:tcPr>
            <w:tcW w:type="dxa" w:w="3360"/>
            <w:vAlign w:val="center"/>
          </w:tcPr>
          <w:p>
            <w:pPr>
              <w:spacing w:after="20"/>
            </w:pPr>
            <w:r/>
            <w:r>
              <w:rPr>
                <w:rFonts w:ascii="Aptos" w:hAnsi="Aptos"/>
                <w:b w:val="0"/>
                <w:sz w:val="16"/>
              </w:rPr>
              <w:t>Can be dominated by a few spikes.</w:t>
            </w:r>
          </w:p>
        </w:tc>
      </w:tr>
      <w:tr>
        <w:tc>
          <w:tcPr>
            <w:tcW w:type="dxa" w:w="3360"/>
            <w:vAlign w:val="center"/>
          </w:tcPr>
          <w:p>
            <w:pPr>
              <w:spacing w:after="20"/>
            </w:pPr>
            <w:r/>
            <w:r>
              <w:rPr>
                <w:rFonts w:ascii="Aptos" w:hAnsi="Aptos"/>
                <w:b w:val="0"/>
                <w:sz w:val="16"/>
              </w:rPr>
              <w:t>WAPE</w:t>
            </w:r>
          </w:p>
        </w:tc>
        <w:tc>
          <w:tcPr>
            <w:tcW w:type="dxa" w:w="3360"/>
            <w:vAlign w:val="center"/>
          </w:tcPr>
          <w:p>
            <w:pPr>
              <w:spacing w:after="20"/>
            </w:pPr>
            <w:r/>
            <w:r>
              <w:rPr>
                <w:rFonts w:ascii="Aptos" w:hAnsi="Aptos"/>
                <w:b w:val="0"/>
                <w:sz w:val="16"/>
              </w:rPr>
              <w:t>Total absolute error divided by total absolute actual values.</w:t>
            </w:r>
          </w:p>
        </w:tc>
        <w:tc>
          <w:tcPr>
            <w:tcW w:type="dxa" w:w="3360"/>
            <w:vAlign w:val="center"/>
          </w:tcPr>
          <w:p>
            <w:pPr>
              <w:spacing w:after="20"/>
            </w:pPr>
            <w:r/>
            <w:r>
              <w:rPr>
                <w:rFonts w:ascii="Aptos" w:hAnsi="Aptos"/>
                <w:b w:val="0"/>
                <w:sz w:val="16"/>
              </w:rPr>
              <w:t>Unstable if the denominator is zero or tiny.</w:t>
            </w:r>
          </w:p>
        </w:tc>
      </w:tr>
      <w:tr>
        <w:tc>
          <w:tcPr>
            <w:tcW w:type="dxa" w:w="3360"/>
            <w:vAlign w:val="center"/>
          </w:tcPr>
          <w:p>
            <w:pPr>
              <w:spacing w:after="20"/>
            </w:pPr>
            <w:r/>
            <w:r>
              <w:rPr>
                <w:rFonts w:ascii="Aptos" w:hAnsi="Aptos"/>
                <w:b w:val="0"/>
                <w:sz w:val="16"/>
              </w:rPr>
              <w:t>sMAPE</w:t>
            </w:r>
          </w:p>
        </w:tc>
        <w:tc>
          <w:tcPr>
            <w:tcW w:type="dxa" w:w="3360"/>
            <w:vAlign w:val="center"/>
          </w:tcPr>
          <w:p>
            <w:pPr>
              <w:spacing w:after="20"/>
            </w:pPr>
            <w:r/>
            <w:r>
              <w:rPr>
                <w:rFonts w:ascii="Aptos" w:hAnsi="Aptos"/>
                <w:b w:val="0"/>
                <w:sz w:val="16"/>
              </w:rPr>
              <w:t>Symmetric percentage-style error measure.</w:t>
            </w:r>
          </w:p>
        </w:tc>
        <w:tc>
          <w:tcPr>
            <w:tcW w:type="dxa" w:w="3360"/>
            <w:vAlign w:val="center"/>
          </w:tcPr>
          <w:p>
            <w:pPr>
              <w:spacing w:after="20"/>
            </w:pPr>
            <w:r/>
            <w:r>
              <w:rPr>
                <w:rFonts w:ascii="Aptos" w:hAnsi="Aptos"/>
                <w:b w:val="0"/>
                <w:sz w:val="16"/>
              </w:rPr>
              <w:t>Still has interpretation limitations near zero.</w:t>
            </w:r>
          </w:p>
        </w:tc>
      </w:tr>
      <w:tr>
        <w:tc>
          <w:tcPr>
            <w:tcW w:type="dxa" w:w="3360"/>
            <w:vAlign w:val="center"/>
          </w:tcPr>
          <w:p>
            <w:pPr>
              <w:spacing w:after="20"/>
            </w:pPr>
            <w:r/>
            <w:r>
              <w:rPr>
                <w:rFonts w:ascii="Aptos" w:hAnsi="Aptos"/>
                <w:b w:val="0"/>
                <w:sz w:val="16"/>
              </w:rPr>
              <w:t>Bias / mean error</w:t>
            </w:r>
          </w:p>
        </w:tc>
        <w:tc>
          <w:tcPr>
            <w:tcW w:type="dxa" w:w="3360"/>
            <w:vAlign w:val="center"/>
          </w:tcPr>
          <w:p>
            <w:pPr>
              <w:spacing w:after="20"/>
            </w:pPr>
            <w:r/>
            <w:r>
              <w:rPr>
                <w:rFonts w:ascii="Aptos" w:hAnsi="Aptos"/>
                <w:b w:val="0"/>
                <w:sz w:val="16"/>
              </w:rPr>
              <w:t>Whether forecasts systematically over- or under-predict.</w:t>
            </w:r>
          </w:p>
        </w:tc>
        <w:tc>
          <w:tcPr>
            <w:tcW w:type="dxa" w:w="3360"/>
            <w:vAlign w:val="center"/>
          </w:tcPr>
          <w:p>
            <w:pPr>
              <w:spacing w:after="20"/>
            </w:pPr>
            <w:r/>
            <w:r>
              <w:rPr>
                <w:rFonts w:ascii="Aptos" w:hAnsi="Aptos"/>
                <w:b w:val="0"/>
                <w:sz w:val="16"/>
              </w:rPr>
              <w:t>Review alongside absolute error.</w:t>
            </w:r>
          </w:p>
        </w:tc>
      </w:tr>
    </w:tbl>
    <w:p>
      <w:r>
        <w:t>Select the model that consistently improves on the baseline across rolling validation windows and the relevant forecast horizons, not the model with the best result on one split. If a complex model does not produce a reliable improvement, retain the simpler model.</w:t>
      </w:r>
    </w:p>
    <w:p>
      <w:pPr>
        <w:pStyle w:val="Heading1"/>
      </w:pPr>
      <w:r>
        <w:t>7. Expected Outputs</w:t>
      </w:r>
    </w:p>
    <w:p>
      <w:pPr>
        <w:pStyle w:val="ListBullet"/>
      </w:pPr>
      <w:r>
        <w:t>A documented public-data source register and cleaned time-series dataset.</w:t>
      </w:r>
    </w:p>
    <w:p>
      <w:pPr>
        <w:pStyle w:val="ListBullet"/>
      </w:pPr>
      <w:r>
        <w:t>A notebook or script that reproduces data preparation, training, validation and forecasts.</w:t>
      </w:r>
    </w:p>
    <w:p>
      <w:pPr>
        <w:pStyle w:val="ListBullet"/>
      </w:pPr>
      <w:r>
        <w:t>A comparison table of baseline, ETS/SARIMA and optional feature-based models.</w:t>
      </w:r>
    </w:p>
    <w:p>
      <w:pPr>
        <w:pStyle w:val="ListBullet"/>
      </w:pPr>
      <w:r>
        <w:t>An actual-versus-forecast line chart with prediction intervals where available.</w:t>
      </w:r>
    </w:p>
    <w:p>
      <w:pPr>
        <w:pStyle w:val="ListBullet"/>
      </w:pPr>
      <w:r>
        <w:t>A metrics table by forecast horizon, residual diagnostics and a record of model parameters.</w:t>
      </w:r>
    </w:p>
    <w:p>
      <w:pPr>
        <w:pStyle w:val="ListBullet"/>
      </w:pPr>
      <w:r>
        <w:t>A concise trend brief describing expected direction, uncertainty, caveats and suggested low-risk follow-up tests.</w:t>
      </w:r>
    </w:p>
    <w:p>
      <w:pPr>
        <w:pStyle w:val="Heading1"/>
      </w:pPr>
      <w:r>
        <w:t>8. Potential Problems and Error Handling</w:t>
      </w:r>
    </w:p>
    <w:p>
      <w:pPr>
        <w:pStyle w:val="ListBullet"/>
      </w:pPr>
      <w:r>
        <w:t>Missing periods or API failures: retry with backoff where appropriate, log failures, validate row counts and stop the pipeline if required data is absent.</w:t>
      </w:r>
    </w:p>
    <w:p>
      <w:pPr>
        <w:pStyle w:val="ListBullet"/>
      </w:pPr>
      <w:r>
        <w:t>Google Trends sampling or scaling changes: record query parameters and access dates; avoid treating indices from unrelated queries as directly comparable without a consistent method.</w:t>
      </w:r>
    </w:p>
    <w:p>
      <w:pPr>
        <w:pStyle w:val="ListBullet"/>
      </w:pPr>
      <w:r>
        <w:t>Outliers or viral spikes: investigate rather than delete automatically; compare robust baselines and document event effects.</w:t>
      </w:r>
    </w:p>
    <w:p>
      <w:pPr>
        <w:pStyle w:val="ListBullet"/>
      </w:pPr>
      <w:r>
        <w:t>Short history: avoid complex seasonal models; use simple baselines and state that confidence is limited.</w:t>
      </w:r>
    </w:p>
    <w:p>
      <w:pPr>
        <w:pStyle w:val="ListBullet"/>
      </w:pPr>
      <w:r>
        <w:t>Data leakage: use only information available at forecast time and fit transformations within each training window.</w:t>
      </w:r>
    </w:p>
    <w:p>
      <w:pPr>
        <w:pStyle w:val="ListBullet"/>
      </w:pPr>
      <w:r>
        <w:t>Model drift: monitor rolling errors and trigger review when the model persistently underperforms the baseline.</w:t>
      </w:r>
    </w:p>
    <w:p>
      <w:pPr>
        <w:pStyle w:val="ListBullet"/>
      </w:pPr>
      <w:r>
        <w:t>Forecast uncertainty: report intervals, assumptions and limitations; do not convert a search-interest forecast directly into production quantities without sales, inventory and lead-time evidence.</w:t>
      </w:r>
    </w:p>
    <w:p>
      <w:pPr>
        <w:pStyle w:val="Heading1"/>
      </w:pPr>
      <w:r>
        <w:t>9. Deployment and Governance</w:t>
      </w:r>
    </w:p>
    <w:p>
      <w:r>
        <w:t>For a prototype, run the forecast in a Jupyter notebook or scheduled Python script and export a CSV plus a chart. A production workflow would require approved hosting, source monitoring, version control, access control, logs, alerting, and a named owner. Keep a model card describing intended use, data sources, forecast horizon, validation method, known failure cases and retraining rules. Human review should remain part of any decision with financial or inventory consequences.</w:t>
      </w:r>
    </w:p>
    <w:p>
      <w:pPr>
        <w:pStyle w:val="Heading1"/>
      </w:pPr>
      <w:r>
        <w:t>10. Conclusion</w:t>
      </w:r>
    </w:p>
    <w:p>
      <w:r>
        <w:t>A robust fashion forecasting exercise begins with a carefully defined target and honest use of public data. A seasonal-naïve baseline, ETS and SARIMA provide an interpretable starting point; regression or tree-based methods can be added when sufficient aligned history and external features are available. Chronological backtesting, suitable error metrics, prediction intervals and explicit data limitations are essential. The result is a reproducible forecasting prototype for tracking public fashion-interest signals—not a claim about a retailer’s actual future sales.</w:t>
      </w:r>
    </w:p>
    <w:p>
      <w:pPr>
        <w:pStyle w:val="Heading1"/>
      </w:pPr>
      <w:r>
        <w:t>References and Data Sources</w:t>
      </w:r>
    </w:p>
    <w:p>
      <w:pPr>
        <w:pStyle w:val="ListBullet"/>
      </w:pPr>
      <w:r>
        <w:t>Google Trends — https://trends.google.com/trends/</w:t>
      </w:r>
    </w:p>
    <w:p>
      <w:pPr>
        <w:pStyle w:val="ListBullet"/>
      </w:pPr>
      <w:r>
        <w:t>UN Comtrade — https://comtradeplus.un.org/</w:t>
      </w:r>
    </w:p>
    <w:p>
      <w:pPr>
        <w:pStyle w:val="ListBullet"/>
      </w:pPr>
      <w:r>
        <w:t>World Bank Open Data — https://data.worldbank.org/</w:t>
      </w:r>
    </w:p>
    <w:p>
      <w:pPr>
        <w:pStyle w:val="ListBullet"/>
      </w:pPr>
      <w:r>
        <w:t>Eurostat — https://ec.europa.eu/eurostat/</w:t>
      </w:r>
    </w:p>
    <w:p>
      <w:pPr>
        <w:pStyle w:val="ListBullet"/>
      </w:pPr>
      <w:r>
        <w:t>India Open Government Data Platform — https://www.data.gov.in/</w:t>
      </w:r>
    </w:p>
    <w:p>
      <w:pPr>
        <w:pStyle w:val="ListBullet"/>
      </w:pPr>
      <w:r>
        <w:t>Open-Meteo — https://open-meteo.com/</w:t>
      </w:r>
    </w:p>
    <w:p>
      <w:pPr>
        <w:pStyle w:val="ListBullet"/>
      </w:pPr>
      <w:r>
        <w:t>Statsmodels time-series analysis documentation — https://www.statsmodels.org/stable/tsa.html</w:t>
      </w:r>
    </w:p>
    <w:p>
      <w:pPr>
        <w:pStyle w:val="ListBullet"/>
      </w:pPr>
      <w:r>
        <w:t>Scikit-learn model evaluation documentation — https://scikit-learn.org/stable/modules/model_evaluation.html</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Predictive analysis framework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FASHION ANALYTICS  |  PREDICTIVE FORECASTING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647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