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DATA QUALITY &amp;</w:t>
        <w:br/>
        <w:t>ERROR HANDLING</w:t>
      </w:r>
    </w:p>
    <w:p>
      <w:pPr>
        <w:jc w:val="center"/>
      </w:pPr>
      <w:r>
        <w:rPr>
          <w:b/>
          <w:color w:val="2F5597"/>
          <w:sz w:val="30"/>
        </w:rPr>
        <w:t>A Practical Guide for Apparel, Textiles and Fashion Analytics</w:t>
      </w:r>
    </w:p>
    <w:p>
      <w:r>
        <w:br/>
      </w:r>
    </w:p>
    <w:p>
      <w:pPr>
        <w:jc w:val="center"/>
      </w:pPr>
      <w:r>
        <w:t>Assessing integrity • Detecting anomalies • Correcting errors • Monitoring quality</w:t>
      </w:r>
    </w:p>
    <w:p>
      <w:r>
        <w:br/>
        <w:br/>
      </w:r>
    </w:p>
    <w:p>
      <w:pPr>
        <w:jc w:val="center"/>
      </w:pPr>
      <w:r>
        <w:t>Prepared as an applied methodology report</w:t>
        <w:br/>
      </w:r>
      <w:r>
        <w:t>Illustrative examples are simulated; validate findings against the selected source dataset.</w:t>
      </w:r>
    </w:p>
    <w:p>
      <w:r>
        <w:br w:type="page"/>
      </w:r>
    </w:p>
    <w:p>
      <w:pPr>
        <w:pStyle w:val="Heading1"/>
      </w:pPr>
      <w:r>
        <w:t>Executive Summary</w:t>
      </w:r>
    </w:p>
    <w:p>
      <w:r>
        <w:t>Fashion analytics depends on reliable information about products, sizes, colours, materials, suppliers, prices, inventory, returns, production and customer demand. Poor-quality data can create misleading sales forecasts, inaccurate size curves, incorrect sustainability claims, excess inventory and avoidable markdowns. This guide presents a practical framework for measuring data quality, identifying common errors in public or simulated datasets, correcting defects without destroying useful evidence, and establishing continuous controls. The central principle is that cleaning should be rule-based, traceable and proportionate to business risk: an unusual value is a signal to investigate, not automatic proof that the value is wrong.</w:t>
      </w:r>
    </w:p>
    <w:p>
      <w:pPr>
        <w:pStyle w:val="Heading1"/>
      </w:pPr>
      <w:r>
        <w:t>1. Objectives and Scope</w:t>
      </w:r>
    </w:p>
    <w:p>
      <w:pPr>
        <w:pStyle w:val="ListBullet"/>
      </w:pPr>
      <w:r>
        <w:t>Define measurable data-quality dimensions and translate them into checks that can be repeated.</w:t>
      </w:r>
    </w:p>
    <w:p>
      <w:pPr>
        <w:pStyle w:val="ListBullet"/>
      </w:pPr>
      <w:r>
        <w:t>Identify common apparel and textile data defects using profiling, business rules, distributions and cross-field checks.</w:t>
      </w:r>
    </w:p>
    <w:p>
      <w:pPr>
        <w:pStyle w:val="ListBullet"/>
      </w:pPr>
      <w:r>
        <w:t>Choose suitable correction methods for missing values, duplicates, inconsistent categories, invalid values and outliers.</w:t>
      </w:r>
    </w:p>
    <w:p>
      <w:pPr>
        <w:pStyle w:val="ListBullet"/>
      </w:pPr>
      <w:r>
        <w:t>Document decisions, retain raw data, measure improvement and prevent recurring defects at the point of capture.</w:t>
      </w:r>
    </w:p>
    <w:p>
      <w:r>
        <w:t>The approach applies to product catalogues, e-commerce listings, retail transactions, inventory snapshots, textile test results, supplier records, returns, production logs and public trend datasets. Public datasets may have different definitions, sampling methods, update schedules and licensing conditions; these limitations must be recorded before analysis.</w:t>
      </w:r>
    </w:p>
    <w:p>
      <w:pPr>
        <w:pStyle w:val="Heading1"/>
      </w:pPr>
      <w:r>
        <w:t>2. Data Quality Metrics</w:t>
      </w:r>
    </w:p>
    <w:p>
      <w:r>
        <w:t>Metrics should be calculated at dataset level and, where useful, by source, supplier, product category, date, region and channel. A single overall score can hide severe defects in a high-risk field such as size or fibre content.</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Dimension</w:t>
            </w:r>
          </w:p>
        </w:tc>
        <w:tc>
          <w:tcPr>
            <w:tcW w:type="dxa" w:w="2484"/>
          </w:tcPr>
          <w:p>
            <w:r>
              <w:t>Meaning</w:t>
            </w:r>
          </w:p>
        </w:tc>
        <w:tc>
          <w:tcPr>
            <w:tcW w:type="dxa" w:w="2484"/>
          </w:tcPr>
          <w:p>
            <w:r>
              <w:t>Example metric / test</w:t>
            </w:r>
          </w:p>
        </w:tc>
        <w:tc>
          <w:tcPr>
            <w:tcW w:type="dxa" w:w="2484"/>
          </w:tcPr>
          <w:p>
            <w:r>
              <w:t>Fashion impact</w:t>
            </w:r>
          </w:p>
        </w:tc>
      </w:tr>
      <w:tr>
        <w:tc>
          <w:tcPr>
            <w:tcW w:type="dxa" w:w="2484"/>
          </w:tcPr>
          <w:p>
            <w:r>
              <w:t>Completeness</w:t>
            </w:r>
          </w:p>
        </w:tc>
        <w:tc>
          <w:tcPr>
            <w:tcW w:type="dxa" w:w="2484"/>
          </w:tcPr>
          <w:p>
            <w:r>
              <w:t>Required values are present.</w:t>
            </w:r>
          </w:p>
        </w:tc>
        <w:tc>
          <w:tcPr>
            <w:tcW w:type="dxa" w:w="2484"/>
          </w:tcPr>
          <w:p>
            <w:r>
              <w:t>Non-null rate = populated required cells / all required cells × 100.</w:t>
            </w:r>
          </w:p>
        </w:tc>
        <w:tc>
          <w:tcPr>
            <w:tcW w:type="dxa" w:w="2484"/>
          </w:tcPr>
          <w:p>
            <w:r>
              <w:t>Missing size or composition makes a listing unusable or misleading.</w:t>
            </w:r>
          </w:p>
        </w:tc>
      </w:tr>
      <w:tr>
        <w:tc>
          <w:tcPr>
            <w:tcW w:type="dxa" w:w="2484"/>
          </w:tcPr>
          <w:p>
            <w:r>
              <w:t>Validity</w:t>
            </w:r>
          </w:p>
        </w:tc>
        <w:tc>
          <w:tcPr>
            <w:tcW w:type="dxa" w:w="2484"/>
          </w:tcPr>
          <w:p>
            <w:r>
              <w:t>Values follow allowed formats, ranges and categories.</w:t>
            </w:r>
          </w:p>
        </w:tc>
        <w:tc>
          <w:tcPr>
            <w:tcW w:type="dxa" w:w="2484"/>
          </w:tcPr>
          <w:p>
            <w:r>
              <w:t>Share of records passing schema and domain rules.</w:t>
            </w:r>
          </w:p>
        </w:tc>
        <w:tc>
          <w:tcPr>
            <w:tcW w:type="dxa" w:w="2484"/>
          </w:tcPr>
          <w:p>
            <w:r>
              <w:t>A size of 'XXXL?' or negative fabric weight fails a rule.</w:t>
            </w:r>
          </w:p>
        </w:tc>
      </w:tr>
      <w:tr>
        <w:tc>
          <w:tcPr>
            <w:tcW w:type="dxa" w:w="2484"/>
          </w:tcPr>
          <w:p>
            <w:r>
              <w:t>Accuracy</w:t>
            </w:r>
          </w:p>
        </w:tc>
        <w:tc>
          <w:tcPr>
            <w:tcW w:type="dxa" w:w="2484"/>
          </w:tcPr>
          <w:p>
            <w:r>
              <w:t>Values match the real-world item or trusted source.</w:t>
            </w:r>
          </w:p>
        </w:tc>
        <w:tc>
          <w:tcPr>
            <w:tcW w:type="dxa" w:w="2484"/>
          </w:tcPr>
          <w:p>
            <w:r>
              <w:t>Audited match rate against product label, supplier spec or verified record.</w:t>
            </w:r>
          </w:p>
        </w:tc>
        <w:tc>
          <w:tcPr>
            <w:tcW w:type="dxa" w:w="2484"/>
          </w:tcPr>
          <w:p>
            <w:r>
              <w:t>Incorrect fibre content can mislead customers and compliance teams.</w:t>
            </w:r>
          </w:p>
        </w:tc>
      </w:tr>
      <w:tr>
        <w:tc>
          <w:tcPr>
            <w:tcW w:type="dxa" w:w="2484"/>
          </w:tcPr>
          <w:p>
            <w:r>
              <w:t>Consistency</w:t>
            </w:r>
          </w:p>
        </w:tc>
        <w:tc>
          <w:tcPr>
            <w:tcW w:type="dxa" w:w="2484"/>
          </w:tcPr>
          <w:p>
            <w:r>
              <w:t>Related fields and systems agree.</w:t>
            </w:r>
          </w:p>
        </w:tc>
        <w:tc>
          <w:tcPr>
            <w:tcW w:type="dxa" w:w="2484"/>
          </w:tcPr>
          <w:p>
            <w:r>
              <w:t>Share passing cross-field and cross-system rules.</w:t>
            </w:r>
          </w:p>
        </w:tc>
        <w:tc>
          <w:tcPr>
            <w:tcW w:type="dxa" w:w="2484"/>
          </w:tcPr>
          <w:p>
            <w:r>
              <w:t>Product page says cotton while supplier master says polyester.</w:t>
            </w:r>
          </w:p>
        </w:tc>
      </w:tr>
      <w:tr>
        <w:tc>
          <w:tcPr>
            <w:tcW w:type="dxa" w:w="2484"/>
          </w:tcPr>
          <w:p>
            <w:r>
              <w:t>Uniqueness</w:t>
            </w:r>
          </w:p>
        </w:tc>
        <w:tc>
          <w:tcPr>
            <w:tcW w:type="dxa" w:w="2484"/>
          </w:tcPr>
          <w:p>
            <w:r>
              <w:t>Entities and events are not unintentionally duplicated.</w:t>
            </w:r>
          </w:p>
        </w:tc>
        <w:tc>
          <w:tcPr>
            <w:tcW w:type="dxa" w:w="2484"/>
          </w:tcPr>
          <w:p>
            <w:r>
              <w:t>Duplicate rate by business key.</w:t>
            </w:r>
          </w:p>
        </w:tc>
        <w:tc>
          <w:tcPr>
            <w:tcW w:type="dxa" w:w="2484"/>
          </w:tcPr>
          <w:p>
            <w:r>
              <w:t>Duplicate SKUs inflate assortment and inventory counts.</w:t>
            </w:r>
          </w:p>
        </w:tc>
      </w:tr>
      <w:tr>
        <w:tc>
          <w:tcPr>
            <w:tcW w:type="dxa" w:w="2484"/>
          </w:tcPr>
          <w:p>
            <w:r>
              <w:t>Timeliness</w:t>
            </w:r>
          </w:p>
        </w:tc>
        <w:tc>
          <w:tcPr>
            <w:tcW w:type="dxa" w:w="2484"/>
          </w:tcPr>
          <w:p>
            <w:r>
              <w:t>Data is current enough for its intended use.</w:t>
            </w:r>
          </w:p>
        </w:tc>
        <w:tc>
          <w:tcPr>
            <w:tcW w:type="dxa" w:w="2484"/>
          </w:tcPr>
          <w:p>
            <w:r>
              <w:t>Age of latest update; percentage updated within SLA.</w:t>
            </w:r>
          </w:p>
        </w:tc>
        <w:tc>
          <w:tcPr>
            <w:tcW w:type="dxa" w:w="2484"/>
          </w:tcPr>
          <w:p>
            <w:r>
              <w:t>Stale stock data may cause overselling.</w:t>
            </w:r>
          </w:p>
        </w:tc>
      </w:tr>
      <w:tr>
        <w:tc>
          <w:tcPr>
            <w:tcW w:type="dxa" w:w="2484"/>
          </w:tcPr>
          <w:p>
            <w:r>
              <w:t>Integrity</w:t>
            </w:r>
          </w:p>
        </w:tc>
        <w:tc>
          <w:tcPr>
            <w:tcW w:type="dxa" w:w="2484"/>
          </w:tcPr>
          <w:p>
            <w:r>
              <w:t>Relationships and required dependencies hold.</w:t>
            </w:r>
          </w:p>
        </w:tc>
        <w:tc>
          <w:tcPr>
            <w:tcW w:type="dxa" w:w="2484"/>
          </w:tcPr>
          <w:p>
            <w:r>
              <w:t>Foreign-key / referential-integrity pass rate.</w:t>
            </w:r>
          </w:p>
        </w:tc>
        <w:tc>
          <w:tcPr>
            <w:tcW w:type="dxa" w:w="2484"/>
          </w:tcPr>
          <w:p>
            <w:r>
              <w:t>A transaction references a missing product or supplier.</w:t>
            </w:r>
          </w:p>
        </w:tc>
      </w:tr>
      <w:tr>
        <w:tc>
          <w:tcPr>
            <w:tcW w:type="dxa" w:w="2484"/>
          </w:tcPr>
          <w:p>
            <w:r>
              <w:t>Conformity</w:t>
            </w:r>
          </w:p>
        </w:tc>
        <w:tc>
          <w:tcPr>
            <w:tcW w:type="dxa" w:w="2484"/>
          </w:tcPr>
          <w:p>
            <w:r>
              <w:t>Representation follows agreed standards.</w:t>
            </w:r>
          </w:p>
        </w:tc>
        <w:tc>
          <w:tcPr>
            <w:tcW w:type="dxa" w:w="2484"/>
          </w:tcPr>
          <w:p>
            <w:r>
              <w:t>Percentage following approved units, naming and code lists.</w:t>
            </w:r>
          </w:p>
        </w:tc>
        <w:tc>
          <w:tcPr>
            <w:tcW w:type="dxa" w:w="2484"/>
          </w:tcPr>
          <w:p>
            <w:r>
              <w:t>Colour, size and fabric labels fragment reporting.</w:t>
            </w:r>
          </w:p>
        </w:tc>
      </w:tr>
    </w:tbl>
    <w:p>
      <w:r>
        <w:t>Example: if 920 of 1,000 product records contain a valid size, size completeness is 92%. If 35 records fail a defined validity rule, validity is 96.5% only when the denominator is the same 1,000 records and the rule is record-level. State denominators explicitly and distinguish missingness from invalidity.</w:t>
      </w:r>
    </w:p>
    <w:p>
      <w:pPr>
        <w:pStyle w:val="Heading1"/>
      </w:pPr>
      <w:r>
        <w:t>3. Common Data Issues and How to Detect Them</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Issue</w:t>
            </w:r>
          </w:p>
        </w:tc>
        <w:tc>
          <w:tcPr>
            <w:tcW w:type="dxa" w:w="3312"/>
          </w:tcPr>
          <w:p>
            <w:r>
              <w:t>Fashion-specific example</w:t>
            </w:r>
          </w:p>
        </w:tc>
        <w:tc>
          <w:tcPr>
            <w:tcW w:type="dxa" w:w="3312"/>
          </w:tcPr>
          <w:p>
            <w:r>
              <w:t>Detection approach</w:t>
            </w:r>
          </w:p>
        </w:tc>
      </w:tr>
      <w:tr>
        <w:tc>
          <w:tcPr>
            <w:tcW w:type="dxa" w:w="3312"/>
          </w:tcPr>
          <w:p>
            <w:r>
              <w:t>Missing values</w:t>
            </w:r>
          </w:p>
        </w:tc>
        <w:tc>
          <w:tcPr>
            <w:tcW w:type="dxa" w:w="3312"/>
          </w:tcPr>
          <w:p>
            <w:r>
              <w:t>Blank size, colour, unit cost or fibre composition.</w:t>
            </w:r>
          </w:p>
        </w:tc>
        <w:tc>
          <w:tcPr>
            <w:tcW w:type="dxa" w:w="3312"/>
          </w:tcPr>
          <w:p>
            <w:r>
              <w:t>Null counts and percentages by column/category; check whether missingness clusters by supplier or time.</w:t>
            </w:r>
          </w:p>
        </w:tc>
      </w:tr>
      <w:tr>
        <w:tc>
          <w:tcPr>
            <w:tcW w:type="dxa" w:w="3312"/>
          </w:tcPr>
          <w:p>
            <w:r>
              <w:t>Duplicate records</w:t>
            </w:r>
          </w:p>
        </w:tc>
        <w:tc>
          <w:tcPr>
            <w:tcW w:type="dxa" w:w="3312"/>
          </w:tcPr>
          <w:p>
            <w:r>
              <w:t>Same SKU loaded twice or same order line repeated.</w:t>
            </w:r>
          </w:p>
        </w:tc>
        <w:tc>
          <w:tcPr>
            <w:tcW w:type="dxa" w:w="3312"/>
          </w:tcPr>
          <w:p>
            <w:r>
              <w:t>Exact duplicates; duplicate business keys such as order_id + line_id; compare timestamps and source IDs.</w:t>
            </w:r>
          </w:p>
        </w:tc>
      </w:tr>
      <w:tr>
        <w:tc>
          <w:tcPr>
            <w:tcW w:type="dxa" w:w="3312"/>
          </w:tcPr>
          <w:p>
            <w:r>
              <w:t>Inconsistent labels</w:t>
            </w:r>
          </w:p>
        </w:tc>
        <w:tc>
          <w:tcPr>
            <w:tcW w:type="dxa" w:w="3312"/>
          </w:tcPr>
          <w:p>
            <w:r>
              <w:t>'Navy', 'navy blue', 'NVY'; 'T-shirt' vs 'T shirt'.</w:t>
            </w:r>
          </w:p>
        </w:tc>
        <w:tc>
          <w:tcPr>
            <w:tcW w:type="dxa" w:w="3312"/>
          </w:tcPr>
          <w:p>
            <w:r>
              <w:t>Value-frequency tables, whitespace/case normalization, approved reference dictionaries and fuzzy matching for review.</w:t>
            </w:r>
          </w:p>
        </w:tc>
      </w:tr>
      <w:tr>
        <w:tc>
          <w:tcPr>
            <w:tcW w:type="dxa" w:w="3312"/>
          </w:tcPr>
          <w:p>
            <w:r>
              <w:t>Invalid ranges</w:t>
            </w:r>
          </w:p>
        </w:tc>
        <w:tc>
          <w:tcPr>
            <w:tcW w:type="dxa" w:w="3312"/>
          </w:tcPr>
          <w:p>
            <w:r>
              <w:t>Negative garment weight, impossible discount, stock below zero where not allowed.</w:t>
            </w:r>
          </w:p>
        </w:tc>
        <w:tc>
          <w:tcPr>
            <w:tcW w:type="dxa" w:w="3312"/>
          </w:tcPr>
          <w:p>
            <w:r>
              <w:t>Domain constraints, min/max checks and validation rules agreed with domain owners.</w:t>
            </w:r>
          </w:p>
        </w:tc>
      </w:tr>
      <w:tr>
        <w:tc>
          <w:tcPr>
            <w:tcW w:type="dxa" w:w="3312"/>
          </w:tcPr>
          <w:p>
            <w:r>
              <w:t>Unit mismatches</w:t>
            </w:r>
          </w:p>
        </w:tc>
        <w:tc>
          <w:tcPr>
            <w:tcW w:type="dxa" w:w="3312"/>
          </w:tcPr>
          <w:p>
            <w:r>
              <w:t>Fabric weight recorded as 180 GSM in one source and 180 oz/yd² in another.</w:t>
            </w:r>
          </w:p>
        </w:tc>
        <w:tc>
          <w:tcPr>
            <w:tcW w:type="dxa" w:w="3312"/>
          </w:tcPr>
          <w:p>
            <w:r>
              <w:t>Inspect metadata and units; compare magnitude distributions; convert only after the original unit is confirmed.</w:t>
            </w:r>
          </w:p>
        </w:tc>
      </w:tr>
      <w:tr>
        <w:tc>
          <w:tcPr>
            <w:tcW w:type="dxa" w:w="3312"/>
          </w:tcPr>
          <w:p>
            <w:r>
              <w:t>Date/time errors</w:t>
            </w:r>
          </w:p>
        </w:tc>
        <w:tc>
          <w:tcPr>
            <w:tcW w:type="dxa" w:w="3312"/>
          </w:tcPr>
          <w:p>
            <w:r>
              <w:t>Delivery date before purchase date; mixed day/month formats.</w:t>
            </w:r>
          </w:p>
        </w:tc>
        <w:tc>
          <w:tcPr>
            <w:tcW w:type="dxa" w:w="3312"/>
          </w:tcPr>
          <w:p>
            <w:r>
              <w:t>Parse with explicit formats, count parse failures, check event sequence and timezone assumptions.</w:t>
            </w:r>
          </w:p>
        </w:tc>
      </w:tr>
      <w:tr>
        <w:tc>
          <w:tcPr>
            <w:tcW w:type="dxa" w:w="3312"/>
          </w:tcPr>
          <w:p>
            <w:r>
              <w:t>Outliers</w:t>
            </w:r>
          </w:p>
        </w:tc>
        <w:tc>
          <w:tcPr>
            <w:tcW w:type="dxa" w:w="3312"/>
          </w:tcPr>
          <w:p>
            <w:r>
              <w:t>A price far above similar products or unusually high return rate.</w:t>
            </w:r>
          </w:p>
        </w:tc>
        <w:tc>
          <w:tcPr>
            <w:tcW w:type="dxa" w:w="3312"/>
          </w:tcPr>
          <w:p>
            <w:r>
              <w:t>Box plots, IQR, robust z-scores, percentile checks and category/season comparisons.</w:t>
            </w:r>
          </w:p>
        </w:tc>
      </w:tr>
      <w:tr>
        <w:tc>
          <w:tcPr>
            <w:tcW w:type="dxa" w:w="3312"/>
          </w:tcPr>
          <w:p>
            <w:r>
              <w:t>Contradictory fields</w:t>
            </w:r>
          </w:p>
        </w:tc>
        <w:tc>
          <w:tcPr>
            <w:tcW w:type="dxa" w:w="3312"/>
          </w:tcPr>
          <w:p>
            <w:r>
              <w:t>Product marked '100% cotton' but composition sums to 70%; sale price exceeds list price unexpectedly.</w:t>
            </w:r>
          </w:p>
        </w:tc>
        <w:tc>
          <w:tcPr>
            <w:tcW w:type="dxa" w:w="3312"/>
          </w:tcPr>
          <w:p>
            <w:r>
              <w:t>Cross-field rules, composition totals, reference lookups and exception reports.</w:t>
            </w:r>
          </w:p>
        </w:tc>
      </w:tr>
      <w:tr>
        <w:tc>
          <w:tcPr>
            <w:tcW w:type="dxa" w:w="3312"/>
          </w:tcPr>
          <w:p>
            <w:r>
              <w:t>Schema drift</w:t>
            </w:r>
          </w:p>
        </w:tc>
        <w:tc>
          <w:tcPr>
            <w:tcW w:type="dxa" w:w="3312"/>
          </w:tcPr>
          <w:p>
            <w:r>
              <w:t>A supplier changes 'colour_name' to 'color' or alters a field type.</w:t>
            </w:r>
          </w:p>
        </w:tc>
        <w:tc>
          <w:tcPr>
            <w:tcW w:type="dxa" w:w="3312"/>
          </w:tcPr>
          <w:p>
            <w:r>
              <w:t>Compare current schema with a versioned contract; monitor new, missing or type-changed columns.</w:t>
            </w:r>
          </w:p>
        </w:tc>
      </w:tr>
      <w:tr>
        <w:tc>
          <w:tcPr>
            <w:tcW w:type="dxa" w:w="3312"/>
          </w:tcPr>
          <w:p>
            <w:r>
              <w:t>Stale or biased data</w:t>
            </w:r>
          </w:p>
        </w:tc>
        <w:tc>
          <w:tcPr>
            <w:tcW w:type="dxa" w:w="3312"/>
          </w:tcPr>
          <w:p>
            <w:r>
              <w:t>Inventory snapshot is weeks old; trend dataset covers only one marketplace.</w:t>
            </w:r>
          </w:p>
        </w:tc>
        <w:tc>
          <w:tcPr>
            <w:tcW w:type="dxa" w:w="3312"/>
          </w:tcPr>
          <w:p>
            <w:r>
              <w:t>Freshness checks, source coverage, collection date and known sampling/selection limitations.</w:t>
            </w:r>
          </w:p>
        </w:tc>
      </w:tr>
      <w:tr>
        <w:tc>
          <w:tcPr>
            <w:tcW w:type="dxa" w:w="3312"/>
          </w:tcPr>
          <w:p>
            <w:r>
              <w:t>Text and encoding problems</w:t>
            </w:r>
          </w:p>
        </w:tc>
        <w:tc>
          <w:tcPr>
            <w:tcW w:type="dxa" w:w="3312"/>
          </w:tcPr>
          <w:p>
            <w:r>
              <w:t>Broken symbols in product names or inconsistent size characters.</w:t>
            </w:r>
          </w:p>
        </w:tc>
        <w:tc>
          <w:tcPr>
            <w:tcW w:type="dxa" w:w="3312"/>
          </w:tcPr>
          <w:p>
            <w:r>
              <w:t>Encoding validation, non-printable-character scans and inspection of suspicious text.</w:t>
            </w:r>
          </w:p>
        </w:tc>
      </w:tr>
    </w:tbl>
    <w:p>
      <w:pPr>
        <w:pStyle w:val="Heading1"/>
      </w:pPr>
      <w:r>
        <w:t>4. Profiling and Problem Identification Workflow</w:t>
      </w:r>
    </w:p>
    <w:p>
      <w:pPr>
        <w:pStyle w:val="ListNumber"/>
      </w:pPr>
      <w:r>
        <w:t>Inventory the source: record source URL or provider, licence, retrieval date, dataset version, row count, field definitions, units and known limitations.</w:t>
      </w:r>
    </w:p>
    <w:p>
      <w:pPr>
        <w:pStyle w:val="ListNumber"/>
      </w:pPr>
      <w:r>
        <w:t>Preserve an immutable raw copy. Never overwrite the original file during cleaning; write transformed data to a separate location.</w:t>
      </w:r>
    </w:p>
    <w:p>
      <w:pPr>
        <w:pStyle w:val="ListNumber"/>
      </w:pPr>
      <w:r>
        <w:t>Profile each column: data type, missingness, distinct values, frequency distribution, minimum/maximum, quantiles and suspicious formats.</w:t>
      </w:r>
    </w:p>
    <w:p>
      <w:pPr>
        <w:pStyle w:val="ListNumber"/>
      </w:pPr>
      <w:r>
        <w:t>Define business rules with context: e.g., list price must be non-negative; a product's size must be in its category's allowed size set; textile composition percentages should total approximately 100% within a documented tolerance.</w:t>
      </w:r>
    </w:p>
    <w:p>
      <w:pPr>
        <w:pStyle w:val="ListNumber"/>
      </w:pPr>
      <w:r>
        <w:t>Run cross-field and relationship checks: product-to-supplier references, order dates, quantity × unit price, discount calculations and product-composition totals.</w:t>
      </w:r>
    </w:p>
    <w:p>
      <w:pPr>
        <w:pStyle w:val="ListNumber"/>
      </w:pPr>
      <w:r>
        <w:t>Rank issues by severity, scope, likelihood of recurrence and business impact. Prioritize defects that could affect safety, legal declarations, customer trust or financial reporting.</w:t>
      </w:r>
    </w:p>
    <w:p>
      <w:pPr>
        <w:pStyle w:val="ListNumber"/>
      </w:pPr>
      <w:r>
        <w:t>Create an exception table with record identifier, rule name, original value, detected issue, proposed action, confidence and review status.</w:t>
      </w:r>
    </w:p>
    <w:p>
      <w:pPr>
        <w:pStyle w:val="Heading1"/>
      </w:pPr>
      <w:r>
        <w:t>5. Error Correction and Mitigation Techniques</w:t>
      </w:r>
    </w:p>
    <w:p>
      <w:pPr>
        <w:pStyle w:val="Heading2"/>
      </w:pPr>
      <w:r>
        <w:t>5.1 Missing values</w:t>
      </w:r>
    </w:p>
    <w:p>
      <w:pPr>
        <w:pStyle w:val="ListBullet"/>
      </w:pPr>
      <w:r>
        <w:t>First determine why values are missing: not collected, not applicable, unavailable from the source or lost during ingestion. These meanings should not be collapsed into one generic value.</w:t>
      </w:r>
    </w:p>
    <w:p>
      <w:pPr>
        <w:pStyle w:val="ListBullet"/>
      </w:pPr>
      <w:r>
        <w:t>For descriptive reporting, report missingness explicitly and consider a documented 'Unknown' category where semantically appropriate.</w:t>
      </w:r>
    </w:p>
    <w:p>
      <w:pPr>
        <w:pStyle w:val="ListBullet"/>
      </w:pPr>
      <w:r>
        <w:t>For numerical features, median imputation is often more robust than mean imputation for skewed prices or lead times. Use group-wise medians only when groups are sufficiently large and logically comparable.</w:t>
      </w:r>
    </w:p>
    <w:p>
      <w:pPr>
        <w:pStyle w:val="ListBullet"/>
      </w:pPr>
      <w:r>
        <w:t>For time series, forward-fill or interpolation may be appropriate for short gaps in regularly sampled data, but not automatically across seasonal boundaries or long outages.</w:t>
      </w:r>
    </w:p>
    <w:p>
      <w:pPr>
        <w:pStyle w:val="ListBullet"/>
      </w:pPr>
      <w:r>
        <w:t>Do not infer legally or commercially important product claims—such as fibre composition—from unrelated fields. Seek authoritative source correction or leave the field unresolved.</w:t>
      </w:r>
    </w:p>
    <w:p>
      <w:pPr>
        <w:pStyle w:val="Heading2"/>
      </w:pPr>
      <w:r>
        <w:t>5.2 Duplicates and entity resolution</w:t>
      </w:r>
    </w:p>
    <w:p>
      <w:pPr>
        <w:pStyle w:val="ListBullet"/>
      </w:pPr>
      <w:r>
        <w:t>Remove exact duplicates only after verifying that repeated rows are not legitimate repeated events.</w:t>
      </w:r>
    </w:p>
    <w:p>
      <w:pPr>
        <w:pStyle w:val="ListBullet"/>
      </w:pPr>
      <w:r>
        <w:t>Use business keys (for example, SKU + market + effective date) and source identifiers to detect near-duplicates. Keep the surviving record-selection rule explicit, such as verified source priority or latest valid update.</w:t>
      </w:r>
    </w:p>
    <w:p>
      <w:pPr>
        <w:pStyle w:val="ListBullet"/>
      </w:pPr>
      <w:r>
        <w:t>For fuzzy matches, generate candidate pairs and require review when a merge could combine different colours, sizes, markets or product versions.</w:t>
      </w:r>
    </w:p>
    <w:p>
      <w:pPr>
        <w:pStyle w:val="Heading2"/>
      </w:pPr>
      <w:r>
        <w:t>5.3 Standardization and normalization</w:t>
      </w:r>
    </w:p>
    <w:p>
      <w:pPr>
        <w:pStyle w:val="ListBullet"/>
      </w:pPr>
      <w:r>
        <w:t>Trim whitespace, standardize casing, normalize punctuation and map synonyms to controlled vocabularies while retaining the original field.</w:t>
      </w:r>
    </w:p>
    <w:p>
      <w:pPr>
        <w:pStyle w:val="ListBullet"/>
      </w:pPr>
      <w:r>
        <w:t>Convert units only when the source unit is known; preserve both original value/unit and standardized value/unit.</w:t>
      </w:r>
    </w:p>
    <w:p>
      <w:pPr>
        <w:pStyle w:val="ListBullet"/>
      </w:pPr>
      <w:r>
        <w:t>For analytical features, min-max scaling or z-score standardization can support some machine-learning models. This is not the same as correcting erroneous source data and should be fitted on training data only to avoid leakage.</w:t>
      </w:r>
    </w:p>
    <w:p>
      <w:pPr>
        <w:pStyle w:val="Heading2"/>
      </w:pPr>
      <w:r>
        <w:t>5.4 Outliers and impossible values</w:t>
      </w:r>
    </w:p>
    <w:p>
      <w:pPr>
        <w:pStyle w:val="ListBullet"/>
      </w:pPr>
      <w:r>
        <w:t>Use the interquartile range (IQR): flag values below Q1 − 1.5 × IQR or above Q3 + 1.5 × IQR as potential outliers. Apply within meaningful groups such as product category, currency, season or material.</w:t>
      </w:r>
    </w:p>
    <w:p>
      <w:pPr>
        <w:pStyle w:val="ListBullet"/>
      </w:pPr>
      <w:r>
        <w:t>Use robust z-scores or percentile thresholds for heavily skewed data. Visualize distributions and compare flagged records with source documentation.</w:t>
      </w:r>
    </w:p>
    <w:p>
      <w:pPr>
        <w:pStyle w:val="ListBullet"/>
      </w:pPr>
      <w:r>
        <w:t>Correct a value only when there is evidence of a transcription, unit or system error. Otherwise retain genuine extremes, add a flag, use robust statistics, or analyze with and without the flagged records.</w:t>
      </w:r>
    </w:p>
    <w:p>
      <w:pPr>
        <w:pStyle w:val="ListBullet"/>
      </w:pPr>
      <w:r>
        <w:t>Winsorization or capping can be useful for a clearly justified modelling objective, but document thresholds and retain uncapped source values for auditability.</w:t>
      </w:r>
    </w:p>
    <w:p>
      <w:pPr>
        <w:pStyle w:val="Heading2"/>
      </w:pPr>
      <w:r>
        <w:t>5.5 Category, date and relationship errors</w:t>
      </w:r>
    </w:p>
    <w:p>
      <w:pPr>
        <w:pStyle w:val="ListBullet"/>
      </w:pPr>
      <w:r>
        <w:t>Map labels through an approved dictionary; send ambiguous mappings to review instead of guessing.</w:t>
      </w:r>
    </w:p>
    <w:p>
      <w:pPr>
        <w:pStyle w:val="ListBullet"/>
      </w:pPr>
      <w:r>
        <w:t>Parse dates with explicit formats and locale assumptions; quarantine failed parses and validate chronological order.</w:t>
      </w:r>
    </w:p>
    <w:p>
      <w:pPr>
        <w:pStyle w:val="ListBullet"/>
      </w:pPr>
      <w:r>
        <w:t>Check referential integrity against product, supplier, order and material master tables. Resolve orphan records from authoritative sources or retain them in an exception queue.</w:t>
      </w:r>
    </w:p>
    <w:p>
      <w:pPr>
        <w:pStyle w:val="ListBullet"/>
      </w:pPr>
      <w:r>
        <w:t>Recalculate derived fields such as net price or margin only after confirming business definitions, tax treatment, currency and rounding rules.</w:t>
      </w:r>
    </w:p>
    <w:p>
      <w:pPr>
        <w:pStyle w:val="Heading1"/>
      </w:pPr>
      <w:r>
        <w:t>6. Illustrative Detection Examples</w:t>
      </w:r>
    </w:p>
    <w:p>
      <w:r>
        <w:t>The examples below are simulated and demonstrate the logic; they are not findings from a specific public dataset.</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Record / field</w:t>
            </w:r>
          </w:p>
        </w:tc>
        <w:tc>
          <w:tcPr>
            <w:tcW w:type="dxa" w:w="2484"/>
          </w:tcPr>
          <w:p>
            <w:r>
              <w:t>Observed value</w:t>
            </w:r>
          </w:p>
        </w:tc>
        <w:tc>
          <w:tcPr>
            <w:tcW w:type="dxa" w:w="2484"/>
          </w:tcPr>
          <w:p>
            <w:r>
              <w:t>Rule / detection</w:t>
            </w:r>
          </w:p>
        </w:tc>
        <w:tc>
          <w:tcPr>
            <w:tcW w:type="dxa" w:w="2484"/>
          </w:tcPr>
          <w:p>
            <w:r>
              <w:t>Recommended action</w:t>
            </w:r>
          </w:p>
        </w:tc>
      </w:tr>
      <w:tr>
        <w:tc>
          <w:tcPr>
            <w:tcW w:type="dxa" w:w="2484"/>
          </w:tcPr>
          <w:p>
            <w:r>
              <w:t>SKU F-101 / size</w:t>
            </w:r>
          </w:p>
        </w:tc>
        <w:tc>
          <w:tcPr>
            <w:tcW w:type="dxa" w:w="2484"/>
          </w:tcPr>
          <w:p>
            <w:r>
              <w:t>Blank</w:t>
            </w:r>
          </w:p>
        </w:tc>
        <w:tc>
          <w:tcPr>
            <w:tcW w:type="dxa" w:w="2484"/>
          </w:tcPr>
          <w:p>
            <w:r>
              <w:t>Required size missing for sellable apparel.</w:t>
            </w:r>
          </w:p>
        </w:tc>
        <w:tc>
          <w:tcPr>
            <w:tcW w:type="dxa" w:w="2484"/>
          </w:tcPr>
          <w:p>
            <w:r>
              <w:t>Check product master or supplier source; otherwise retain as unresolved and exclude from size-specific analysis.</w:t>
            </w:r>
          </w:p>
        </w:tc>
      </w:tr>
      <w:tr>
        <w:tc>
          <w:tcPr>
            <w:tcW w:type="dxa" w:w="2484"/>
          </w:tcPr>
          <w:p>
            <w:r>
              <w:t>SKU F-205 / fibre share</w:t>
            </w:r>
          </w:p>
        </w:tc>
        <w:tc>
          <w:tcPr>
            <w:tcW w:type="dxa" w:w="2484"/>
          </w:tcPr>
          <w:p>
            <w:r>
              <w:t>Cotton 60%, polyester 55%</w:t>
            </w:r>
          </w:p>
        </w:tc>
        <w:tc>
          <w:tcPr>
            <w:tcW w:type="dxa" w:w="2484"/>
          </w:tcPr>
          <w:p>
            <w:r>
              <w:t>Composition totals 115%, exceeding the accepted tolerance.</w:t>
            </w:r>
          </w:p>
        </w:tc>
        <w:tc>
          <w:tcPr>
            <w:tcW w:type="dxa" w:w="2484"/>
          </w:tcPr>
          <w:p>
            <w:r>
              <w:t>Flag for source verification; do not automatically rescale percentages.</w:t>
            </w:r>
          </w:p>
        </w:tc>
      </w:tr>
      <w:tr>
        <w:tc>
          <w:tcPr>
            <w:tcW w:type="dxa" w:w="2484"/>
          </w:tcPr>
          <w:p>
            <w:r>
              <w:t>SKU F-310 / price</w:t>
            </w:r>
          </w:p>
        </w:tc>
        <w:tc>
          <w:tcPr>
            <w:tcW w:type="dxa" w:w="2484"/>
          </w:tcPr>
          <w:p>
            <w:r>
              <w:t>-₹799</w:t>
            </w:r>
          </w:p>
        </w:tc>
        <w:tc>
          <w:tcPr>
            <w:tcW w:type="dxa" w:w="2484"/>
          </w:tcPr>
          <w:p>
            <w:r>
              <w:t>Retail price cannot be negative under the agreed data contract.</w:t>
            </w:r>
          </w:p>
        </w:tc>
        <w:tc>
          <w:tcPr>
            <w:tcW w:type="dxa" w:w="2484"/>
          </w:tcPr>
          <w:p>
            <w:r>
              <w:t>Inspect refund/credit semantics and source mapping before correcting.</w:t>
            </w:r>
          </w:p>
        </w:tc>
      </w:tr>
      <w:tr>
        <w:tc>
          <w:tcPr>
            <w:tcW w:type="dxa" w:w="2484"/>
          </w:tcPr>
          <w:p>
            <w:r>
              <w:t>SKU F-411 / colour</w:t>
            </w:r>
          </w:p>
        </w:tc>
        <w:tc>
          <w:tcPr>
            <w:tcW w:type="dxa" w:w="2484"/>
          </w:tcPr>
          <w:p>
            <w:r>
              <w:t>Navy / navy blue</w:t>
            </w:r>
          </w:p>
        </w:tc>
        <w:tc>
          <w:tcPr>
            <w:tcW w:type="dxa" w:w="2484"/>
          </w:tcPr>
          <w:p>
            <w:r>
              <w:t>Controlled vocabulary mismatch.</w:t>
            </w:r>
          </w:p>
        </w:tc>
        <w:tc>
          <w:tcPr>
            <w:tcW w:type="dxa" w:w="2484"/>
          </w:tcPr>
          <w:p>
            <w:r>
              <w:t>Map only if product evidence confirms equivalence; retain original label.</w:t>
            </w:r>
          </w:p>
        </w:tc>
      </w:tr>
      <w:tr>
        <w:tc>
          <w:tcPr>
            <w:tcW w:type="dxa" w:w="2484"/>
          </w:tcPr>
          <w:p>
            <w:r>
              <w:t>Order line 8842</w:t>
            </w:r>
          </w:p>
        </w:tc>
        <w:tc>
          <w:tcPr>
            <w:tcW w:type="dxa" w:w="2484"/>
          </w:tcPr>
          <w:p>
            <w:r>
              <w:t>Appears twice</w:t>
            </w:r>
          </w:p>
        </w:tc>
        <w:tc>
          <w:tcPr>
            <w:tcW w:type="dxa" w:w="2484"/>
          </w:tcPr>
          <w:p>
            <w:r>
              <w:t>Same order ID + line ID + product key.</w:t>
            </w:r>
          </w:p>
        </w:tc>
        <w:tc>
          <w:tcPr>
            <w:tcW w:type="dxa" w:w="2484"/>
          </w:tcPr>
          <w:p>
            <w:r>
              <w:t>Check event/source IDs; deduplicate only if it is an ingestion duplicate.</w:t>
            </w:r>
          </w:p>
        </w:tc>
      </w:tr>
      <w:tr>
        <w:tc>
          <w:tcPr>
            <w:tcW w:type="dxa" w:w="2484"/>
          </w:tcPr>
          <w:p>
            <w:r>
              <w:t>Fabric lot 52 / GSM</w:t>
            </w:r>
          </w:p>
        </w:tc>
        <w:tc>
          <w:tcPr>
            <w:tcW w:type="dxa" w:w="2484"/>
          </w:tcPr>
          <w:p>
            <w:r>
              <w:t>18,000</w:t>
            </w:r>
          </w:p>
        </w:tc>
        <w:tc>
          <w:tcPr>
            <w:tcW w:type="dxa" w:w="2484"/>
          </w:tcPr>
          <w:p>
            <w:r>
              <w:t>Extreme value relative to product and instrument range.</w:t>
            </w:r>
          </w:p>
        </w:tc>
        <w:tc>
          <w:tcPr>
            <w:tcW w:type="dxa" w:w="2484"/>
          </w:tcPr>
          <w:p>
            <w:r>
              <w:t>Check decimal placement and unit; quarantine until verified.</w:t>
            </w:r>
          </w:p>
        </w:tc>
      </w:tr>
    </w:tbl>
    <w:p>
      <w:pPr>
        <w:pStyle w:val="Heading1"/>
      </w:pPr>
      <w:r>
        <w:t>7. Phased Error-Correction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Phase</w:t>
            </w:r>
          </w:p>
        </w:tc>
        <w:tc>
          <w:tcPr>
            <w:tcW w:type="dxa" w:w="3312"/>
          </w:tcPr>
          <w:p>
            <w:r>
              <w:t>Actions</w:t>
            </w:r>
          </w:p>
        </w:tc>
        <w:tc>
          <w:tcPr>
            <w:tcW w:type="dxa" w:w="3312"/>
          </w:tcPr>
          <w:p>
            <w:r>
              <w:t>Output / exit criteria</w:t>
            </w:r>
          </w:p>
        </w:tc>
      </w:tr>
      <w:tr>
        <w:tc>
          <w:tcPr>
            <w:tcW w:type="dxa" w:w="3312"/>
          </w:tcPr>
          <w:p>
            <w:r>
              <w:t>1. Discover</w:t>
            </w:r>
          </w:p>
        </w:tc>
        <w:tc>
          <w:tcPr>
            <w:tcW w:type="dxa" w:w="3312"/>
          </w:tcPr>
          <w:p>
            <w:r>
              <w:t>Identify sources, owners, schemas, permitted use and business-critical fields.</w:t>
            </w:r>
          </w:p>
        </w:tc>
        <w:tc>
          <w:tcPr>
            <w:tcW w:type="dxa" w:w="3312"/>
          </w:tcPr>
          <w:p>
            <w:r>
              <w:t>Source inventory and data dictionary approved.</w:t>
            </w:r>
          </w:p>
        </w:tc>
      </w:tr>
      <w:tr>
        <w:tc>
          <w:tcPr>
            <w:tcW w:type="dxa" w:w="3312"/>
          </w:tcPr>
          <w:p>
            <w:r>
              <w:t>2. Baseline</w:t>
            </w:r>
          </w:p>
        </w:tc>
        <w:tc>
          <w:tcPr>
            <w:tcW w:type="dxa" w:w="3312"/>
          </w:tcPr>
          <w:p>
            <w:r>
              <w:t>Profile nulls, duplicates, domains, distributions, relationships and freshness.</w:t>
            </w:r>
          </w:p>
        </w:tc>
        <w:tc>
          <w:tcPr>
            <w:tcW w:type="dxa" w:w="3312"/>
          </w:tcPr>
          <w:p>
            <w:r>
              <w:t>Baseline scorecard with denominators and rule definitions.</w:t>
            </w:r>
          </w:p>
        </w:tc>
      </w:tr>
      <w:tr>
        <w:tc>
          <w:tcPr>
            <w:tcW w:type="dxa" w:w="3312"/>
          </w:tcPr>
          <w:p>
            <w:r>
              <w:t>3. Prioritize</w:t>
            </w:r>
          </w:p>
        </w:tc>
        <w:tc>
          <w:tcPr>
            <w:tcW w:type="dxa" w:w="3312"/>
          </w:tcPr>
          <w:p>
            <w:r>
              <w:t>Score defects by impact, frequency, confidence and remediation effort.</w:t>
            </w:r>
          </w:p>
        </w:tc>
        <w:tc>
          <w:tcPr>
            <w:tcW w:type="dxa" w:w="3312"/>
          </w:tcPr>
          <w:p>
            <w:r>
              <w:t>Ranked issue register with owners and due dates.</w:t>
            </w:r>
          </w:p>
        </w:tc>
      </w:tr>
      <w:tr>
        <w:tc>
          <w:tcPr>
            <w:tcW w:type="dxa" w:w="3312"/>
          </w:tcPr>
          <w:p>
            <w:r>
              <w:t>4. Correct</w:t>
            </w:r>
          </w:p>
        </w:tc>
        <w:tc>
          <w:tcPr>
            <w:tcW w:type="dxa" w:w="3312"/>
          </w:tcPr>
          <w:p>
            <w:r>
              <w:t>Apply version-controlled rules; use authoritative lookup or human review for ambiguous cases.</w:t>
            </w:r>
          </w:p>
        </w:tc>
        <w:tc>
          <w:tcPr>
            <w:tcW w:type="dxa" w:w="3312"/>
          </w:tcPr>
          <w:p>
            <w:r>
              <w:t>Clean dataset plus transformation log and unresolved exceptions.</w:t>
            </w:r>
          </w:p>
        </w:tc>
      </w:tr>
      <w:tr>
        <w:tc>
          <w:tcPr>
            <w:tcW w:type="dxa" w:w="3312"/>
          </w:tcPr>
          <w:p>
            <w:r>
              <w:t>5. Validate</w:t>
            </w:r>
          </w:p>
        </w:tc>
        <w:tc>
          <w:tcPr>
            <w:tcW w:type="dxa" w:w="3312"/>
          </w:tcPr>
          <w:p>
            <w:r>
              <w:t>Re-run checks; compare before/after metrics; sample records against original sources.</w:t>
            </w:r>
          </w:p>
        </w:tc>
        <w:tc>
          <w:tcPr>
            <w:tcW w:type="dxa" w:w="3312"/>
          </w:tcPr>
          <w:p>
            <w:r>
              <w:t>Acceptance thresholds met or exceptions formally accepted.</w:t>
            </w:r>
          </w:p>
        </w:tc>
      </w:tr>
      <w:tr>
        <w:tc>
          <w:tcPr>
            <w:tcW w:type="dxa" w:w="3312"/>
          </w:tcPr>
          <w:p>
            <w:r>
              <w:t>6. Release</w:t>
            </w:r>
          </w:p>
        </w:tc>
        <w:tc>
          <w:tcPr>
            <w:tcW w:type="dxa" w:w="3312"/>
          </w:tcPr>
          <w:p>
            <w:r>
              <w:t>Publish versioned output, code, documentation and known limitations.</w:t>
            </w:r>
          </w:p>
        </w:tc>
        <w:tc>
          <w:tcPr>
            <w:tcW w:type="dxa" w:w="3312"/>
          </w:tcPr>
          <w:p>
            <w:r>
              <w:t>Reproducible dataset release with changelog.</w:t>
            </w:r>
          </w:p>
        </w:tc>
      </w:tr>
      <w:tr>
        <w:tc>
          <w:tcPr>
            <w:tcW w:type="dxa" w:w="3312"/>
          </w:tcPr>
          <w:p>
            <w:r>
              <w:t>7. Monitor</w:t>
            </w:r>
          </w:p>
        </w:tc>
        <w:tc>
          <w:tcPr>
            <w:tcW w:type="dxa" w:w="3312"/>
          </w:tcPr>
          <w:p>
            <w:r>
              <w:t>Run scheduled checks and alert on threshold breaches or schema changes.</w:t>
            </w:r>
          </w:p>
        </w:tc>
        <w:tc>
          <w:tcPr>
            <w:tcW w:type="dxa" w:w="3312"/>
          </w:tcPr>
          <w:p>
            <w:r>
              <w:t>Trend dashboard, incident workflow and periodic rule review.</w:t>
            </w:r>
          </w:p>
        </w:tc>
      </w:tr>
    </w:tbl>
    <w:p>
      <w:r>
        <w:t>A useful issue log includes: issue ID, dataset/version, field, rule, affected record count, severity, root cause, correction, approver, timestamp, code version and post-fix test result. For material corrections, retain before/after values where privacy and policy allow.</w:t>
      </w:r>
    </w:p>
    <w:p>
      <w:pPr>
        <w:pStyle w:val="Heading1"/>
      </w:pPr>
      <w:r>
        <w:t>8. Ongoing Monitoring and Prevention</w:t>
      </w:r>
    </w:p>
    <w:p>
      <w:pPr>
        <w:pStyle w:val="ListBullet"/>
      </w:pPr>
      <w:r>
        <w:t>Validate at ingestion: required columns, types, allowed values, primary keys, units, and basic range rules.</w:t>
      </w:r>
    </w:p>
    <w:p>
      <w:pPr>
        <w:pStyle w:val="ListBullet"/>
      </w:pPr>
      <w:r>
        <w:t>Use a versioned data contract and controlled vocabularies for SKU, size, colour, material, supplier and currency.</w:t>
      </w:r>
    </w:p>
    <w:p>
      <w:pPr>
        <w:pStyle w:val="ListBullet"/>
      </w:pPr>
      <w:r>
        <w:t>Track metrics over time by source and business area; alert on sudden changes rather than relying only on a static quality score.</w:t>
      </w:r>
    </w:p>
    <w:p>
      <w:pPr>
        <w:pStyle w:val="ListBullet"/>
      </w:pPr>
      <w:r>
        <w:t>Add tests to the data pipeline and run them automatically before publishing downstream tables or dashboards.</w:t>
      </w:r>
    </w:p>
    <w:p>
      <w:pPr>
        <w:pStyle w:val="ListBullet"/>
      </w:pPr>
      <w:r>
        <w:t>Use source-level feedback loops: send recurring errors to the supplier, product-content team or integration owner responsible for the original defect.</w:t>
      </w:r>
    </w:p>
    <w:p>
      <w:pPr>
        <w:pStyle w:val="ListBullet"/>
      </w:pPr>
      <w:r>
        <w:t>Separate errors from legitimate business events, such as negative adjustments, product relaunches or extreme luxury prices, by documenting semantics.</w:t>
      </w:r>
    </w:p>
    <w:p>
      <w:pPr>
        <w:pStyle w:val="ListBullet"/>
      </w:pPr>
      <w:r>
        <w:t>Review high-risk rules with domain experts and maintain an audit trail of rule changes, overrides and accepted exceptions.</w:t>
      </w:r>
    </w:p>
    <w:p>
      <w:pPr>
        <w:pStyle w:val="ListBullet"/>
      </w:pPr>
      <w:r>
        <w:t>For public datasets, document licence, source, collection date, geography, coverage, sampling bias and known revisions; never describe simulated data as real observations.</w:t>
      </w:r>
    </w:p>
    <w:p>
      <w:pPr>
        <w:pStyle w:val="Heading1"/>
      </w:pPr>
      <w:r>
        <w:t>9. Suggested Quality Scorecard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Example target (set to suit use case)</w:t>
            </w:r>
          </w:p>
        </w:tc>
        <w:tc>
          <w:tcPr>
            <w:tcW w:type="dxa" w:w="3312"/>
          </w:tcPr>
          <w:p>
            <w:r>
              <w:t>Monitoring cadence</w:t>
            </w:r>
          </w:p>
        </w:tc>
      </w:tr>
      <w:tr>
        <w:tc>
          <w:tcPr>
            <w:tcW w:type="dxa" w:w="3312"/>
          </w:tcPr>
          <w:p>
            <w:r>
              <w:t>Required-field completeness</w:t>
            </w:r>
          </w:p>
        </w:tc>
        <w:tc>
          <w:tcPr>
            <w:tcW w:type="dxa" w:w="3312"/>
          </w:tcPr>
          <w:p>
            <w:r>
              <w:t>≥ 98% for critical fields; exceptions tracked.</w:t>
            </w:r>
          </w:p>
        </w:tc>
        <w:tc>
          <w:tcPr>
            <w:tcW w:type="dxa" w:w="3312"/>
          </w:tcPr>
          <w:p>
            <w:r>
              <w:t>Each ingestion</w:t>
            </w:r>
          </w:p>
        </w:tc>
      </w:tr>
      <w:tr>
        <w:tc>
          <w:tcPr>
            <w:tcW w:type="dxa" w:w="3312"/>
          </w:tcPr>
          <w:p>
            <w:r>
              <w:t>Domain validity</w:t>
            </w:r>
          </w:p>
        </w:tc>
        <w:tc>
          <w:tcPr>
            <w:tcW w:type="dxa" w:w="3312"/>
          </w:tcPr>
          <w:p>
            <w:r>
              <w:t>≥ 99% of records pass agreed rules.</w:t>
            </w:r>
          </w:p>
        </w:tc>
        <w:tc>
          <w:tcPr>
            <w:tcW w:type="dxa" w:w="3312"/>
          </w:tcPr>
          <w:p>
            <w:r>
              <w:t>Each ingestion</w:t>
            </w:r>
          </w:p>
        </w:tc>
      </w:tr>
      <w:tr>
        <w:tc>
          <w:tcPr>
            <w:tcW w:type="dxa" w:w="3312"/>
          </w:tcPr>
          <w:p>
            <w:r>
              <w:t>Duplicate business keys</w:t>
            </w:r>
          </w:p>
        </w:tc>
        <w:tc>
          <w:tcPr>
            <w:tcW w:type="dxa" w:w="3312"/>
          </w:tcPr>
          <w:p>
            <w:r>
              <w:t>0 unexplained duplicates in published transactional data.</w:t>
            </w:r>
          </w:p>
        </w:tc>
        <w:tc>
          <w:tcPr>
            <w:tcW w:type="dxa" w:w="3312"/>
          </w:tcPr>
          <w:p>
            <w:r>
              <w:t>Each ingestion</w:t>
            </w:r>
          </w:p>
        </w:tc>
      </w:tr>
      <w:tr>
        <w:tc>
          <w:tcPr>
            <w:tcW w:type="dxa" w:w="3312"/>
          </w:tcPr>
          <w:p>
            <w:r>
              <w:t>Referential integrity</w:t>
            </w:r>
          </w:p>
        </w:tc>
        <w:tc>
          <w:tcPr>
            <w:tcW w:type="dxa" w:w="3312"/>
          </w:tcPr>
          <w:p>
            <w:r>
              <w:t>100% for mandatory product/supplier references.</w:t>
            </w:r>
          </w:p>
        </w:tc>
        <w:tc>
          <w:tcPr>
            <w:tcW w:type="dxa" w:w="3312"/>
          </w:tcPr>
          <w:p>
            <w:r>
              <w:t>Each ingestion</w:t>
            </w:r>
          </w:p>
        </w:tc>
      </w:tr>
      <w:tr>
        <w:tc>
          <w:tcPr>
            <w:tcW w:type="dxa" w:w="3312"/>
          </w:tcPr>
          <w:p>
            <w:r>
              <w:t>Freshness</w:t>
            </w:r>
          </w:p>
        </w:tc>
        <w:tc>
          <w:tcPr>
            <w:tcW w:type="dxa" w:w="3312"/>
          </w:tcPr>
          <w:p>
            <w:r>
              <w:t>Data arrives within agreed SLA.</w:t>
            </w:r>
          </w:p>
        </w:tc>
        <w:tc>
          <w:tcPr>
            <w:tcW w:type="dxa" w:w="3312"/>
          </w:tcPr>
          <w:p>
            <w:r>
              <w:t>Daily or per source schedule</w:t>
            </w:r>
          </w:p>
        </w:tc>
      </w:tr>
      <w:tr>
        <w:tc>
          <w:tcPr>
            <w:tcW w:type="dxa" w:w="3312"/>
          </w:tcPr>
          <w:p>
            <w:r>
              <w:t>Critical composition/label conflicts</w:t>
            </w:r>
          </w:p>
        </w:tc>
        <w:tc>
          <w:tcPr>
            <w:tcW w:type="dxa" w:w="3312"/>
          </w:tcPr>
          <w:p>
            <w:r>
              <w:t>0 unresolved conflicts in customer-facing claims.</w:t>
            </w:r>
          </w:p>
        </w:tc>
        <w:tc>
          <w:tcPr>
            <w:tcW w:type="dxa" w:w="3312"/>
          </w:tcPr>
          <w:p>
            <w:r>
              <w:t>Before publication</w:t>
            </w:r>
          </w:p>
        </w:tc>
      </w:tr>
      <w:tr>
        <w:tc>
          <w:tcPr>
            <w:tcW w:type="dxa" w:w="3312"/>
          </w:tcPr>
          <w:p>
            <w:r>
              <w:t>Correction traceability</w:t>
            </w:r>
          </w:p>
        </w:tc>
        <w:tc>
          <w:tcPr>
            <w:tcW w:type="dxa" w:w="3312"/>
          </w:tcPr>
          <w:p>
            <w:r>
              <w:t>100% of applied corrections logged.</w:t>
            </w:r>
          </w:p>
        </w:tc>
        <w:tc>
          <w:tcPr>
            <w:tcW w:type="dxa" w:w="3312"/>
          </w:tcPr>
          <w:p>
            <w:r>
              <w:t>Each release</w:t>
            </w:r>
          </w:p>
        </w:tc>
      </w:tr>
    </w:tbl>
    <w:p>
      <w:r>
        <w:t>These targets are examples, not universal standards. Choose thresholds based on business risk, source capability and the consequences of incorrect data. A lower completeness rate may be acceptable for optional marketing attributes but unacceptable for mandatory product safety or composition declarations.</w:t>
      </w:r>
    </w:p>
    <w:p>
      <w:pPr>
        <w:pStyle w:val="Heading1"/>
      </w:pPr>
      <w:r>
        <w:t>10. Reproducible Python Checks (Illustrative)</w:t>
      </w:r>
    </w:p>
    <w:p>
      <w:r>
        <w:rPr>
          <w:rFonts w:ascii="Consolas" w:hAnsi="Consolas"/>
          <w:sz w:val="16"/>
        </w:rPr>
        <w:t>import pandas as pd</w:t>
        <w:br/>
        <w:br/>
        <w:t>df = pd.read_csv("fashion_products.csv")</w:t>
        <w:br/>
        <w:t>required = ["sku", "category", "size", "price", "currency"]</w:t>
        <w:br/>
        <w:br/>
        <w:t># Completeness</w:t>
        <w:br/>
        <w:t>completeness = df[required].notna().mean().mul(100).round(2)</w:t>
        <w:br/>
        <w:br/>
        <w:t># Exact duplicate rows and duplicate business keys</w:t>
        <w:br/>
        <w:t>exact_duplicates = int(df.duplicated().sum())</w:t>
        <w:br/>
        <w:t>duplicate_skus = int(df["sku"].duplicated(keep=False).sum())</w:t>
        <w:br/>
        <w:br/>
        <w:t># Basic validity checks (adapt rules to the dataset contract)</w:t>
        <w:br/>
        <w:t>negative_prices = df.loc[df["price"].notna() &amp; (df["price"] &lt; 0)]</w:t>
        <w:br/>
        <w:t>missing_skus = df.loc[df["sku"].isna() | df["sku"].astype(str).str.strip().eq("")]</w:t>
        <w:br/>
        <w:br/>
        <w:t># Keep flagged records for investigation rather than silently deleting them</w:t>
        <w:br/>
        <w:t>quality_issues = {</w:t>
        <w:br/>
        <w:t xml:space="preserve">    "completeness_percent": completeness.to_dict(),</w:t>
        <w:br/>
        <w:t xml:space="preserve">    "exact_duplicate_rows": exact_duplicates,</w:t>
        <w:br/>
        <w:t xml:space="preserve">    "rows_with_duplicate_sku": duplicate_skus,</w:t>
        <w:br/>
        <w:t xml:space="preserve">    "negative_price_rows": len(negative_prices),</w:t>
        <w:br/>
        <w:t xml:space="preserve">    "missing_sku_rows": len(missing_skus),</w:t>
        <w:br/>
        <w:t>}</w:t>
        <w:br/>
        <w:t>print(quality_issues)</w:t>
        <w:br/>
      </w:r>
    </w:p>
    <w:p>
      <w:r>
        <w:t>Production note: SKU may legitimately repeat across sizes, markets or time periods. Replace the example duplicate check with a documented business key. Validate column names and business rules before running this code on a new source.</w:t>
      </w:r>
    </w:p>
    <w:p>
      <w:pPr>
        <w:pStyle w:val="Heading1"/>
      </w:pPr>
      <w:r>
        <w:t>11. Conclusion</w:t>
      </w:r>
    </w:p>
    <w:p>
      <w:r>
        <w:t>High-quality fashion data is not achieved through a one-time cleaning operation. It requires measurable standards, domain-aware detection, careful correction, reproducible documentation and controls that prevent the same defects from recurring. The most important operational safeguards are preserving raw data, distinguishing unusual values from true errors, using authoritative evidence for corrections, recording every transformation, and measuring quality before and after remediation. When these practices are embedded in the data lifecycle, fashion teams can make more reliable decisions about demand, assortment, inventory, pricing, product information and supplier performance.</w:t>
      </w:r>
    </w:p>
    <w:p>
      <w:pPr>
        <w:pStyle w:val="Heading1"/>
      </w:pPr>
      <w:r>
        <w:t>References and Further Reading</w:t>
      </w:r>
    </w:p>
    <w:p>
      <w:pPr>
        <w:pStyle w:val="ListBullet"/>
      </w:pPr>
      <w:r>
        <w:t>ISO 8000 series — Data quality concepts and requirements. Consult the relevant current standard through ISO.</w:t>
      </w:r>
    </w:p>
    <w:p>
      <w:pPr>
        <w:pStyle w:val="ListBullet"/>
      </w:pPr>
      <w:r>
        <w:t>ISO/IEC 25012: Data quality model. Consult the official ISO catalogue for the current edition and scope.</w:t>
      </w:r>
    </w:p>
    <w:p>
      <w:pPr>
        <w:pStyle w:val="ListBullet"/>
      </w:pPr>
      <w:r>
        <w:t>DAMA International — DAMA-DMBOK: Data Management Body of Knowledge (data quality and governance concepts).</w:t>
      </w:r>
    </w:p>
    <w:p>
      <w:pPr>
        <w:pStyle w:val="ListBullet"/>
      </w:pPr>
      <w:r>
        <w:t>Great Expectations documentation — https://docs.greatexpectations.io/ (data validation concepts and automated checks).</w:t>
      </w:r>
    </w:p>
    <w:p>
      <w:pPr>
        <w:pStyle w:val="ListBullet"/>
      </w:pPr>
      <w:r>
        <w:t>Pandera documentation — https://pandera.readthedocs.io/ (schema and dataframe validation for Python).</w:t>
      </w:r>
    </w:p>
    <w:p>
      <w:pPr>
        <w:pStyle w:val="ListBullet"/>
      </w:pPr>
      <w:r>
        <w:t>Pandas documentation — https://pandas.pydata.org/docs/ (missing data, duplicates, types and data transformations).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Data Quality &amp; Error Handling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FASHION &amp; TEXTILES DATA ANALYTICS | DATA QUALITY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