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6324F"/>
          <w:sz w:val="50"/>
        </w:rPr>
        <w:t>DATA ACQUISITION &amp; PREPROCESSING</w:t>
        <w:br/>
        <w:t>FOR FASHION AND APPAREL ANALYTICS</w:t>
      </w:r>
    </w:p>
    <w:p>
      <w:pPr>
        <w:jc w:val="center"/>
      </w:pPr>
      <w:r>
        <w:rPr>
          <w:i/>
          <w:color w:val="236477"/>
          <w:sz w:val="26"/>
        </w:rPr>
        <w:t>A reproducible, step-by-step guide for junior data science analysts</w:t>
      </w:r>
    </w:p>
    <w:p>
      <w:pPr>
        <w:spacing w:before="480"/>
        <w:jc w:val="center"/>
      </w:pPr>
      <w:r>
        <w:rPr>
          <w:b/>
        </w:rPr>
        <w:t>Prepared: 23 October 2026</w:t>
        <w:br/>
      </w:r>
      <w:r>
        <w:t>Scope: Public and permitted datasets for fashion trends, consumer behaviour, retail, and textiles.</w:t>
      </w:r>
    </w:p>
    <w:p>
      <w:r>
        <w:br w:type="page"/>
      </w:r>
    </w:p>
    <w:p>
      <w:pPr>
        <w:pStyle w:val="Heading1"/>
      </w:pPr>
      <w:r>
        <w:t>1. Purpose and Scope</w:t>
      </w:r>
    </w:p>
    <w:p>
      <w:r>
        <w:t>Reliable analysis begins with data that is relevant, legally obtained, well understood, and consistently prepared. In fashion and apparel, data may describe product attributes, sales, prices, customer reviews, search interest, textile trade, weather, or consumer demographics. These sources often use different units, date formats, product categories, geographic boundaries, and update schedules. This guide gives a junior analyst a reproducible workflow for discovering public data, acquiring it responsibly, profiling its quality, cleaning defects, engineering features, and preparing a documented analytical dataset. Public datasets are useful for learning and prototypes, but they should not be treated as a substitute for a retailer's confidential transaction or inventory data.</w:t>
      </w:r>
    </w:p>
    <w:p>
      <w:pPr>
        <w:pStyle w:val="Heading1"/>
      </w:pPr>
      <w:r>
        <w:t>2. Identify the Business Question Before Collecting Data</w:t>
      </w:r>
    </w:p>
    <w:p>
      <w:r>
        <w:t>Start by writing one decision-oriented question. Examples include:</w:t>
      </w:r>
    </w:p>
    <w:p>
      <w:pPr>
        <w:pStyle w:val="ListBullet"/>
      </w:pPr>
      <w:r>
        <w:t>Which apparel categories show rising search interest in a selected country?</w:t>
      </w:r>
    </w:p>
    <w:p>
      <w:pPr>
        <w:pStyle w:val="ListBullet"/>
      </w:pPr>
      <w:r>
        <w:t>How do product prices and ratings vary by category in a public product dataset?</w:t>
      </w:r>
    </w:p>
    <w:p>
      <w:pPr>
        <w:pStyle w:val="ListBullet"/>
      </w:pPr>
      <w:r>
        <w:t>How do textile and apparel import/export patterns change over time?</w:t>
      </w:r>
    </w:p>
    <w:p>
      <w:pPr>
        <w:pStyle w:val="ListBullet"/>
      </w:pPr>
      <w:r>
        <w:t>Which product attributes are associated with higher ratings or fewer negative reviews?</w:t>
      </w:r>
    </w:p>
    <w:p>
      <w:r>
        <w:t>Record the target population, geography, time period, unit of analysis (for example, one product, review, month, or trade flow), required fields, and intended output. This prevents collecting large amounts of irrelevant data.</w:t>
      </w:r>
    </w:p>
    <w:p>
      <w:pPr>
        <w:pStyle w:val="Heading1"/>
      </w:pPr>
      <w:r>
        <w:t>3. Public Data Sources</w:t>
      </w:r>
    </w:p>
    <w:p>
      <w:r>
        <w:t>The following sources are useful starting points. Check current access methods, licence terms, permitted reuse, geographic coverage, and refresh dates before using a dataset.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6324F"/>
          </w:tcPr>
          <w:p>
            <w:pPr>
              <w:spacing w:after="20"/>
            </w:pPr>
            <w:r/>
            <w:r>
              <w:rPr>
                <w:rFonts w:ascii="Aptos" w:hAnsi="Aptos"/>
                <w:b/>
                <w:color w:val="FFFFFF"/>
                <w:sz w:val="16"/>
              </w:rPr>
              <w:t>Source</w:t>
            </w:r>
          </w:p>
        </w:tc>
        <w:tc>
          <w:tcPr>
            <w:tcW w:type="dxa" w:w="3360"/>
            <w:vAlign w:val="center"/>
            <w:shd w:fill="16324F"/>
          </w:tcPr>
          <w:p>
            <w:pPr>
              <w:spacing w:after="20"/>
            </w:pPr>
            <w:r/>
            <w:r>
              <w:rPr>
                <w:rFonts w:ascii="Aptos" w:hAnsi="Aptos"/>
                <w:b/>
                <w:color w:val="FFFFFF"/>
                <w:sz w:val="16"/>
              </w:rPr>
              <w:t>Potential fields / analytical use</w:t>
            </w:r>
          </w:p>
        </w:tc>
        <w:tc>
          <w:tcPr>
            <w:tcW w:type="dxa" w:w="3360"/>
            <w:vAlign w:val="center"/>
            <w:shd w:fill="16324F"/>
          </w:tcPr>
          <w:p>
            <w:pPr>
              <w:spacing w:after="20"/>
            </w:pPr>
            <w:r/>
            <w:r>
              <w:rPr>
                <w:rFonts w:ascii="Aptos" w:hAnsi="Aptos"/>
                <w:b/>
                <w:color w:val="FFFFFF"/>
                <w:sz w:val="16"/>
              </w:rPr>
              <w:t>Website</w:t>
            </w:r>
          </w:p>
        </w:tc>
      </w:tr>
      <w:tr>
        <w:tc>
          <w:tcPr>
            <w:tcW w:type="dxa" w:w="3360"/>
            <w:vAlign w:val="center"/>
          </w:tcPr>
          <w:p>
            <w:pPr>
              <w:spacing w:after="20"/>
            </w:pPr>
            <w:r/>
            <w:r>
              <w:rPr>
                <w:rFonts w:ascii="Aptos" w:hAnsi="Aptos"/>
                <w:b w:val="0"/>
                <w:sz w:val="15"/>
              </w:rPr>
              <w:t>Google Trends</w:t>
            </w:r>
          </w:p>
        </w:tc>
        <w:tc>
          <w:tcPr>
            <w:tcW w:type="dxa" w:w="3360"/>
            <w:vAlign w:val="center"/>
          </w:tcPr>
          <w:p>
            <w:pPr>
              <w:spacing w:after="20"/>
            </w:pPr>
            <w:r/>
            <w:r>
              <w:rPr>
                <w:rFonts w:ascii="Aptos" w:hAnsi="Aptos"/>
                <w:b w:val="0"/>
                <w:sz w:val="15"/>
              </w:rPr>
              <w:t>Search-interest index by topic, region, and time; useful for trend momentum and seasonality. Values are relative and sampled, not absolute search counts.</w:t>
            </w:r>
          </w:p>
        </w:tc>
        <w:tc>
          <w:tcPr>
            <w:tcW w:type="dxa" w:w="3360"/>
            <w:vAlign w:val="center"/>
          </w:tcPr>
          <w:p>
            <w:pPr>
              <w:spacing w:after="20"/>
            </w:pPr>
            <w:r/>
            <w:r>
              <w:rPr>
                <w:rFonts w:ascii="Aptos" w:hAnsi="Aptos"/>
                <w:b w:val="0"/>
                <w:sz w:val="15"/>
              </w:rPr>
              <w:t>https://trends.google.com/trends/</w:t>
            </w:r>
          </w:p>
        </w:tc>
      </w:tr>
      <w:tr>
        <w:tc>
          <w:tcPr>
            <w:tcW w:type="dxa" w:w="3360"/>
            <w:vAlign w:val="center"/>
          </w:tcPr>
          <w:p>
            <w:pPr>
              <w:spacing w:after="20"/>
            </w:pPr>
            <w:r/>
            <w:r>
              <w:rPr>
                <w:rFonts w:ascii="Aptos" w:hAnsi="Aptos"/>
                <w:b w:val="0"/>
                <w:sz w:val="15"/>
              </w:rPr>
              <w:t>UN Comtrade</w:t>
            </w:r>
          </w:p>
        </w:tc>
        <w:tc>
          <w:tcPr>
            <w:tcW w:type="dxa" w:w="3360"/>
            <w:vAlign w:val="center"/>
          </w:tcPr>
          <w:p>
            <w:pPr>
              <w:spacing w:after="20"/>
            </w:pPr>
            <w:r/>
            <w:r>
              <w:rPr>
                <w:rFonts w:ascii="Aptos" w:hAnsi="Aptos"/>
                <w:b w:val="0"/>
                <w:sz w:val="15"/>
              </w:rPr>
              <w:t>Official reported merchandise trade data; analyse apparel/textile import and export flows using relevant HS codes. Reporting delays and code revisions may apply.</w:t>
            </w:r>
          </w:p>
        </w:tc>
        <w:tc>
          <w:tcPr>
            <w:tcW w:type="dxa" w:w="3360"/>
            <w:vAlign w:val="center"/>
          </w:tcPr>
          <w:p>
            <w:pPr>
              <w:spacing w:after="20"/>
            </w:pPr>
            <w:r/>
            <w:r>
              <w:rPr>
                <w:rFonts w:ascii="Aptos" w:hAnsi="Aptos"/>
                <w:b w:val="0"/>
                <w:sz w:val="15"/>
              </w:rPr>
              <w:t>https://comtradeplus.un.org/</w:t>
            </w:r>
          </w:p>
        </w:tc>
      </w:tr>
      <w:tr>
        <w:tc>
          <w:tcPr>
            <w:tcW w:type="dxa" w:w="3360"/>
            <w:vAlign w:val="center"/>
          </w:tcPr>
          <w:p>
            <w:pPr>
              <w:spacing w:after="20"/>
            </w:pPr>
            <w:r/>
            <w:r>
              <w:rPr>
                <w:rFonts w:ascii="Aptos" w:hAnsi="Aptos"/>
                <w:b w:val="0"/>
                <w:sz w:val="15"/>
              </w:rPr>
              <w:t>World Bank Open Data</w:t>
            </w:r>
          </w:p>
        </w:tc>
        <w:tc>
          <w:tcPr>
            <w:tcW w:type="dxa" w:w="3360"/>
            <w:vAlign w:val="center"/>
          </w:tcPr>
          <w:p>
            <w:pPr>
              <w:spacing w:after="20"/>
            </w:pPr>
            <w:r/>
            <w:r>
              <w:rPr>
                <w:rFonts w:ascii="Aptos" w:hAnsi="Aptos"/>
                <w:b w:val="0"/>
                <w:sz w:val="15"/>
              </w:rPr>
              <w:t>Population, income, inflation, and macroeconomic context for comparing markets and purchasing-power conditions.</w:t>
            </w:r>
          </w:p>
        </w:tc>
        <w:tc>
          <w:tcPr>
            <w:tcW w:type="dxa" w:w="3360"/>
            <w:vAlign w:val="center"/>
          </w:tcPr>
          <w:p>
            <w:pPr>
              <w:spacing w:after="20"/>
            </w:pPr>
            <w:r/>
            <w:r>
              <w:rPr>
                <w:rFonts w:ascii="Aptos" w:hAnsi="Aptos"/>
                <w:b w:val="0"/>
                <w:sz w:val="15"/>
              </w:rPr>
              <w:t>https://data.worldbank.org/</w:t>
            </w:r>
          </w:p>
        </w:tc>
      </w:tr>
      <w:tr>
        <w:tc>
          <w:tcPr>
            <w:tcW w:type="dxa" w:w="3360"/>
            <w:vAlign w:val="center"/>
          </w:tcPr>
          <w:p>
            <w:pPr>
              <w:spacing w:after="20"/>
            </w:pPr>
            <w:r/>
            <w:r>
              <w:rPr>
                <w:rFonts w:ascii="Aptos" w:hAnsi="Aptos"/>
                <w:b w:val="0"/>
                <w:sz w:val="15"/>
              </w:rPr>
              <w:t>Eurostat</w:t>
            </w:r>
          </w:p>
        </w:tc>
        <w:tc>
          <w:tcPr>
            <w:tcW w:type="dxa" w:w="3360"/>
            <w:vAlign w:val="center"/>
          </w:tcPr>
          <w:p>
            <w:pPr>
              <w:spacing w:after="20"/>
            </w:pPr>
            <w:r/>
            <w:r>
              <w:rPr>
                <w:rFonts w:ascii="Aptos" w:hAnsi="Aptos"/>
                <w:b w:val="0"/>
                <w:sz w:val="15"/>
              </w:rPr>
              <w:t>European trade and economic statistics, including useful context for apparel and textile market analysis.</w:t>
            </w:r>
          </w:p>
        </w:tc>
        <w:tc>
          <w:tcPr>
            <w:tcW w:type="dxa" w:w="3360"/>
            <w:vAlign w:val="center"/>
          </w:tcPr>
          <w:p>
            <w:pPr>
              <w:spacing w:after="20"/>
            </w:pPr>
            <w:r/>
            <w:r>
              <w:rPr>
                <w:rFonts w:ascii="Aptos" w:hAnsi="Aptos"/>
                <w:b w:val="0"/>
                <w:sz w:val="15"/>
              </w:rPr>
              <w:t>https://ec.europa.eu/eurostat/</w:t>
            </w:r>
          </w:p>
        </w:tc>
      </w:tr>
      <w:tr>
        <w:tc>
          <w:tcPr>
            <w:tcW w:type="dxa" w:w="3360"/>
            <w:vAlign w:val="center"/>
          </w:tcPr>
          <w:p>
            <w:pPr>
              <w:spacing w:after="20"/>
            </w:pPr>
            <w:r/>
            <w:r>
              <w:rPr>
                <w:rFonts w:ascii="Aptos" w:hAnsi="Aptos"/>
                <w:b w:val="0"/>
                <w:sz w:val="15"/>
              </w:rPr>
              <w:t>India Open Government Data</w:t>
            </w:r>
          </w:p>
        </w:tc>
        <w:tc>
          <w:tcPr>
            <w:tcW w:type="dxa" w:w="3360"/>
            <w:vAlign w:val="center"/>
          </w:tcPr>
          <w:p>
            <w:pPr>
              <w:spacing w:after="20"/>
            </w:pPr>
            <w:r/>
            <w:r>
              <w:rPr>
                <w:rFonts w:ascii="Aptos" w:hAnsi="Aptos"/>
                <w:b w:val="0"/>
                <w:sz w:val="15"/>
              </w:rPr>
              <w:t>Search for Indian government datasets related to textiles, exports, industrial activity, demographics, and regional indicators.</w:t>
            </w:r>
          </w:p>
        </w:tc>
        <w:tc>
          <w:tcPr>
            <w:tcW w:type="dxa" w:w="3360"/>
            <w:vAlign w:val="center"/>
          </w:tcPr>
          <w:p>
            <w:pPr>
              <w:spacing w:after="20"/>
            </w:pPr>
            <w:r/>
            <w:r>
              <w:rPr>
                <w:rFonts w:ascii="Aptos" w:hAnsi="Aptos"/>
                <w:b w:val="0"/>
                <w:sz w:val="15"/>
              </w:rPr>
              <w:t>https://www.data.gov.in/</w:t>
            </w:r>
          </w:p>
        </w:tc>
      </w:tr>
      <w:tr>
        <w:tc>
          <w:tcPr>
            <w:tcW w:type="dxa" w:w="3360"/>
            <w:vAlign w:val="center"/>
          </w:tcPr>
          <w:p>
            <w:pPr>
              <w:spacing w:after="20"/>
            </w:pPr>
            <w:r/>
            <w:r>
              <w:rPr>
                <w:rFonts w:ascii="Aptos" w:hAnsi="Aptos"/>
                <w:b w:val="0"/>
                <w:sz w:val="15"/>
              </w:rPr>
              <w:t>Kaggle Datasets</w:t>
            </w:r>
          </w:p>
        </w:tc>
        <w:tc>
          <w:tcPr>
            <w:tcW w:type="dxa" w:w="3360"/>
            <w:vAlign w:val="center"/>
          </w:tcPr>
          <w:p>
            <w:pPr>
              <w:spacing w:after="20"/>
            </w:pPr>
            <w:r/>
            <w:r>
              <w:rPr>
                <w:rFonts w:ascii="Aptos" w:hAnsi="Aptos"/>
                <w:b w:val="0"/>
                <w:sz w:val="15"/>
              </w:rPr>
              <w:t>Practice datasets for retail transactions, product attributes, fashion images, reviews, and demand prediction. Validate provenance, licence, and representativeness.</w:t>
            </w:r>
          </w:p>
        </w:tc>
        <w:tc>
          <w:tcPr>
            <w:tcW w:type="dxa" w:w="3360"/>
            <w:vAlign w:val="center"/>
          </w:tcPr>
          <w:p>
            <w:pPr>
              <w:spacing w:after="20"/>
            </w:pPr>
            <w:r/>
            <w:r>
              <w:rPr>
                <w:rFonts w:ascii="Aptos" w:hAnsi="Aptos"/>
                <w:b w:val="0"/>
                <w:sz w:val="15"/>
              </w:rPr>
              <w:t>https://www.kaggle.com/datasets</w:t>
            </w:r>
          </w:p>
        </w:tc>
      </w:tr>
      <w:tr>
        <w:tc>
          <w:tcPr>
            <w:tcW w:type="dxa" w:w="3360"/>
            <w:vAlign w:val="center"/>
          </w:tcPr>
          <w:p>
            <w:pPr>
              <w:spacing w:after="20"/>
            </w:pPr>
            <w:r/>
            <w:r>
              <w:rPr>
                <w:rFonts w:ascii="Aptos" w:hAnsi="Aptos"/>
                <w:b w:val="0"/>
                <w:sz w:val="15"/>
              </w:rPr>
              <w:t>Hugging Face Datasets</w:t>
            </w:r>
          </w:p>
        </w:tc>
        <w:tc>
          <w:tcPr>
            <w:tcW w:type="dxa" w:w="3360"/>
            <w:vAlign w:val="center"/>
          </w:tcPr>
          <w:p>
            <w:pPr>
              <w:spacing w:after="20"/>
            </w:pPr>
            <w:r/>
            <w:r>
              <w:rPr>
                <w:rFonts w:ascii="Aptos" w:hAnsi="Aptos"/>
                <w:b w:val="0"/>
                <w:sz w:val="15"/>
              </w:rPr>
              <w:t>Community datasets, including image and text datasets that may support product classification or review analysis. Check each dataset card and licence.</w:t>
            </w:r>
          </w:p>
        </w:tc>
        <w:tc>
          <w:tcPr>
            <w:tcW w:type="dxa" w:w="3360"/>
            <w:vAlign w:val="center"/>
          </w:tcPr>
          <w:p>
            <w:pPr>
              <w:spacing w:after="20"/>
            </w:pPr>
            <w:r/>
            <w:r>
              <w:rPr>
                <w:rFonts w:ascii="Aptos" w:hAnsi="Aptos"/>
                <w:b w:val="0"/>
                <w:sz w:val="15"/>
              </w:rPr>
              <w:t>https://huggingface.co/datasets</w:t>
            </w:r>
          </w:p>
        </w:tc>
      </w:tr>
      <w:tr>
        <w:tc>
          <w:tcPr>
            <w:tcW w:type="dxa" w:w="3360"/>
            <w:vAlign w:val="center"/>
          </w:tcPr>
          <w:p>
            <w:pPr>
              <w:spacing w:after="20"/>
            </w:pPr>
            <w:r/>
            <w:r>
              <w:rPr>
                <w:rFonts w:ascii="Aptos" w:hAnsi="Aptos"/>
                <w:b w:val="0"/>
                <w:sz w:val="15"/>
              </w:rPr>
              <w:t>Open-Meteo</w:t>
            </w:r>
          </w:p>
        </w:tc>
        <w:tc>
          <w:tcPr>
            <w:tcW w:type="dxa" w:w="3360"/>
            <w:vAlign w:val="center"/>
          </w:tcPr>
          <w:p>
            <w:pPr>
              <w:spacing w:after="20"/>
            </w:pPr>
            <w:r/>
            <w:r>
              <w:rPr>
                <w:rFonts w:ascii="Aptos" w:hAnsi="Aptos"/>
                <w:b w:val="0"/>
                <w:sz w:val="15"/>
              </w:rPr>
              <w:t>Historical and current weather variables that can be joined to regional/date-level demand research where the use case supports it.</w:t>
            </w:r>
          </w:p>
        </w:tc>
        <w:tc>
          <w:tcPr>
            <w:tcW w:type="dxa" w:w="3360"/>
            <w:vAlign w:val="center"/>
          </w:tcPr>
          <w:p>
            <w:pPr>
              <w:spacing w:after="20"/>
            </w:pPr>
            <w:r/>
            <w:r>
              <w:rPr>
                <w:rFonts w:ascii="Aptos" w:hAnsi="Aptos"/>
                <w:b w:val="0"/>
                <w:sz w:val="15"/>
              </w:rPr>
              <w:t>https://open-meteo.com/</w:t>
            </w:r>
          </w:p>
        </w:tc>
      </w:tr>
      <w:tr>
        <w:tc>
          <w:tcPr>
            <w:tcW w:type="dxa" w:w="3360"/>
            <w:vAlign w:val="center"/>
          </w:tcPr>
          <w:p>
            <w:pPr>
              <w:spacing w:after="20"/>
            </w:pPr>
            <w:r/>
            <w:r>
              <w:rPr>
                <w:rFonts w:ascii="Aptos" w:hAnsi="Aptos"/>
                <w:b w:val="0"/>
                <w:sz w:val="15"/>
              </w:rPr>
              <w:t>WGSN (commercial)</w:t>
            </w:r>
          </w:p>
        </w:tc>
        <w:tc>
          <w:tcPr>
            <w:tcW w:type="dxa" w:w="3360"/>
            <w:vAlign w:val="center"/>
          </w:tcPr>
          <w:p>
            <w:pPr>
              <w:spacing w:after="20"/>
            </w:pPr>
            <w:r/>
            <w:r>
              <w:rPr>
                <w:rFonts w:ascii="Aptos" w:hAnsi="Aptos"/>
                <w:b w:val="0"/>
                <w:sz w:val="15"/>
              </w:rPr>
              <w:t>Professional fashion trend forecasting and consumer insights; a paid source rather than a freely reusable public dataset. Use only with a valid licence.</w:t>
            </w:r>
          </w:p>
        </w:tc>
        <w:tc>
          <w:tcPr>
            <w:tcW w:type="dxa" w:w="3360"/>
            <w:vAlign w:val="center"/>
          </w:tcPr>
          <w:p>
            <w:pPr>
              <w:spacing w:after="20"/>
            </w:pPr>
            <w:r/>
            <w:r>
              <w:rPr>
                <w:rFonts w:ascii="Aptos" w:hAnsi="Aptos"/>
                <w:b w:val="0"/>
                <w:sz w:val="15"/>
              </w:rPr>
              <w:t>https://www.wgsn.com/</w:t>
            </w:r>
          </w:p>
        </w:tc>
      </w:tr>
      <w:tr>
        <w:tc>
          <w:tcPr>
            <w:tcW w:type="dxa" w:w="3360"/>
            <w:vAlign w:val="center"/>
          </w:tcPr>
          <w:p>
            <w:pPr>
              <w:spacing w:after="20"/>
            </w:pPr>
            <w:r/>
            <w:r>
              <w:rPr>
                <w:rFonts w:ascii="Aptos" w:hAnsi="Aptos"/>
                <w:b w:val="0"/>
                <w:sz w:val="15"/>
              </w:rPr>
              <w:t>Retailer/marketplace websites</w:t>
            </w:r>
          </w:p>
        </w:tc>
        <w:tc>
          <w:tcPr>
            <w:tcW w:type="dxa" w:w="3360"/>
            <w:vAlign w:val="center"/>
          </w:tcPr>
          <w:p>
            <w:pPr>
              <w:spacing w:after="20"/>
            </w:pPr>
            <w:r/>
            <w:r>
              <w:rPr>
                <w:rFonts w:ascii="Aptos" w:hAnsi="Aptos"/>
                <w:b w:val="0"/>
                <w:sz w:val="15"/>
              </w:rPr>
              <w:t>Public product pages may expose prices, descriptions, sizes, and availability, but access terms vary. Prefer official APIs or downloads and do not bypass access controls.</w:t>
            </w:r>
          </w:p>
        </w:tc>
        <w:tc>
          <w:tcPr>
            <w:tcW w:type="dxa" w:w="3360"/>
            <w:vAlign w:val="center"/>
          </w:tcPr>
          <w:p>
            <w:pPr>
              <w:spacing w:after="20"/>
            </w:pPr>
            <w:r/>
            <w:r>
              <w:rPr>
                <w:rFonts w:ascii="Aptos" w:hAnsi="Aptos"/>
                <w:b w:val="0"/>
                <w:sz w:val="15"/>
              </w:rPr>
              <w:t>Use the official website and its terms</w:t>
            </w:r>
          </w:p>
        </w:tc>
      </w:tr>
    </w:tbl>
    <w:p>
      <w:pPr>
        <w:pStyle w:val="Heading1"/>
      </w:pPr>
      <w:r>
        <w:t>4. Step-by-Step Data Acquisition Workflow</w:t>
      </w:r>
    </w:p>
    <w:p>
      <w:pPr>
        <w:pStyle w:val="Heading2"/>
      </w:pPr>
      <w:r>
        <w:t>Step 1 — Create a source register</w:t>
      </w:r>
    </w:p>
    <w:p>
      <w:r>
        <w:t>For each source, record dataset name, publisher, URL, owner, licence/terms, date accessed, geographic coverage, time range, file/API format, refresh frequency, and known limitations.</w:t>
      </w:r>
    </w:p>
    <w:p>
      <w:pPr>
        <w:pStyle w:val="Heading2"/>
      </w:pPr>
      <w:r>
        <w:t>Step 2 — Confirm legal and ethical access</w:t>
      </w:r>
    </w:p>
    <w:p>
      <w:r>
        <w:t>Read the licence, terms of service, robots/access guidance where applicable, and privacy notices. Prefer official downloads and documented APIs. Do not bypass logins, paywalls, rate limits, or technical access controls. Avoid collecting personal information unless there is a lawful, necessary and approved basis.</w:t>
      </w:r>
    </w:p>
    <w:p>
      <w:pPr>
        <w:pStyle w:val="Heading2"/>
      </w:pPr>
      <w:r>
        <w:t>Step 3 — Download or query the data</w:t>
      </w:r>
    </w:p>
    <w:p>
      <w:r>
        <w:t>Save the original file unchanged in a read-only raw/ folder. Record the exact download date, query parameters, API endpoint, filters, and version. For APIs, use pagination and respectful request rates; keep credentials out of notebooks and version control.</w:t>
      </w:r>
    </w:p>
    <w:p>
      <w:pPr>
        <w:pStyle w:val="Heading2"/>
      </w:pPr>
      <w:r>
        <w:t>Step 4 — Verify the file</w:t>
      </w:r>
    </w:p>
    <w:p>
      <w:r>
        <w:t>Check file size, format, encoding, delimiter, number of rows, column names, and whether the download is complete. For CSV, inspect quoting and delimiter issues; for JSON, validate its structure; for images, verify extensions and file integrity.</w:t>
      </w:r>
    </w:p>
    <w:p>
      <w:pPr>
        <w:pStyle w:val="Heading2"/>
      </w:pPr>
      <w:r>
        <w:t>Step 5 — Preserve raw data and create a working copy</w:t>
      </w:r>
    </w:p>
    <w:p>
      <w:r>
        <w:t>Use a clear folder structure such as raw/, interim/, processed/, notebooks/, scripts/, and reports/. Never overwrite raw files. Store transformations in code so another analyst can rerun them.</w:t>
      </w:r>
    </w:p>
    <w:p>
      <w:pPr>
        <w:pStyle w:val="Heading2"/>
      </w:pPr>
      <w:r>
        <w:t>Step 6 — Profile before cleaning</w:t>
      </w:r>
    </w:p>
    <w:p>
      <w:r>
        <w:t>Inspect schema, data types, row counts, unique counts, missing-value percentages, duplicate rows, numeric ranges, date ranges, category frequencies, and impossible values. Save a profiling report as a baseline.</w:t>
      </w:r>
    </w:p>
    <w:p>
      <w:pPr>
        <w:pStyle w:val="Heading2"/>
      </w:pPr>
      <w:r>
        <w:t>Step 7 — Create a data dictionary</w:t>
      </w:r>
    </w:p>
    <w:p>
      <w:r>
        <w:t>Define each column, business meaning, unit, expected type, allowed values, source, and treatment of missing or invalid entries. Standardise product IDs and category definitions before combining datasets.</w:t>
      </w:r>
    </w:p>
    <w:p>
      <w:pPr>
        <w:pStyle w:val="Heading1"/>
      </w:pPr>
      <w:r>
        <w:t>5. Data Cleaning and Quality Rules</w:t>
      </w:r>
    </w:p>
    <w:p>
      <w:pPr>
        <w:pStyle w:val="Heading2"/>
      </w:pPr>
      <w:r>
        <w:t>5.1 Missing values</w:t>
      </w:r>
    </w:p>
    <w:p>
      <w:r>
        <w:t>First measure missingness by column, row, product category, time period, and source. Determine whether a value is truly absent, not applicable, suppressed, or recorded using a special code such as “N/A” or “-”. Do not replace all missing values with zero: zero may mean a real quantity, while missing means unknown.</w:t>
      </w:r>
    </w:p>
    <w:p>
      <w:pPr>
        <w:pStyle w:val="ListBullet"/>
      </w:pPr>
      <w:r>
        <w:t>Drop a row or column only when the missingness is substantial and the removal will not bias the analysis; document the threshold and rationale.</w:t>
      </w:r>
    </w:p>
    <w:p>
      <w:pPr>
        <w:pStyle w:val="ListBullet"/>
      </w:pPr>
      <w:r>
        <w:t>For numerical features, consider median imputation when appropriate; the mean may be sensitive to outliers. For categorical features, use an explicit “Unknown” category or a justified mode imputation.</w:t>
      </w:r>
    </w:p>
    <w:p>
      <w:pPr>
        <w:pStyle w:val="ListBullet"/>
      </w:pPr>
      <w:r>
        <w:t>For time series, consider forward/backward fill or interpolation only when the time sequence and business meaning justify it. Do not fill future values into the past in a forecasting evaluation.</w:t>
      </w:r>
    </w:p>
    <w:p>
      <w:pPr>
        <w:pStyle w:val="ListBullet"/>
      </w:pPr>
      <w:r>
        <w:t>For model-based imputation, fit the imputer on training data only, then apply it to validation/test data to prevent data leakage.</w:t>
      </w:r>
    </w:p>
    <w:p>
      <w:pPr>
        <w:pStyle w:val="ListBullet"/>
      </w:pPr>
      <w:r>
        <w:t>Add a missingness indicator where the fact that a value is missing may itself be informative.</w:t>
      </w:r>
    </w:p>
    <w:p>
      <w:pPr>
        <w:pStyle w:val="Heading2"/>
      </w:pPr>
      <w:r>
        <w:t>5.2 Duplicate records</w:t>
      </w:r>
    </w:p>
    <w:p>
      <w:r>
        <w:t>Check both exact duplicate rows and key-based duplicates. A product table might expect one row per product ID, while a review table may allow many reviews per product. Define the intended grain before deleting records. For near-duplicates, standardise text and identifiers, compare timestamps or source IDs, and review ambiguous cases. Keep a record of how many rows were removed and why.</w:t>
      </w:r>
    </w:p>
    <w:p>
      <w:pPr>
        <w:pStyle w:val="Heading2"/>
      </w:pPr>
      <w:r>
        <w:t>5.3 Inconsistent values and types</w:t>
      </w:r>
    </w:p>
    <w:p>
      <w:pPr>
        <w:pStyle w:val="ListBullet"/>
      </w:pPr>
      <w:r>
        <w:t>Convert dates to a consistent ISO format and timezone where relevant; parse failed dates into a review list rather than silently dropping them.</w:t>
      </w:r>
    </w:p>
    <w:p>
      <w:pPr>
        <w:pStyle w:val="ListBullet"/>
      </w:pPr>
      <w:r>
        <w:t>Standardise text using trimming, consistent casing, Unicode normalisation, and carefully controlled category mappings (for example, “T-shirt”, “T shirt”, and “tee”). Preserve the original value in an audit column when practical.</w:t>
      </w:r>
    </w:p>
    <w:p>
      <w:pPr>
        <w:pStyle w:val="ListBullet"/>
      </w:pPr>
      <w:r>
        <w:t>Convert numeric strings to numeric types; remove currency symbols and thousands separators only after identifying the currency and locale. Keep currency codes and convert currencies only with a documented exchange-rate source and date.</w:t>
      </w:r>
    </w:p>
    <w:p>
      <w:pPr>
        <w:pStyle w:val="ListBullet"/>
      </w:pPr>
      <w:r>
        <w:t>Validate ranges and business rules: non-negative quantities where expected, valid rating scales, plausible dates, and sale price not exceeding list price unless the data definition explains otherwise.</w:t>
      </w:r>
    </w:p>
    <w:p>
      <w:pPr>
        <w:pStyle w:val="ListBullet"/>
      </w:pPr>
      <w:r>
        <w:t>Check units before merging, such as centimetres versus inches, kilograms versus pounds, and local currency versus a common reporting currency.</w:t>
      </w:r>
    </w:p>
    <w:p>
      <w:pPr>
        <w:pStyle w:val="ListBullet"/>
      </w:pPr>
      <w:r>
        <w:t>Use referential checks for joins: confirm product IDs and geographic codes match, measure unmatched records, and avoid accidental many-to-many joins that multiply rows.</w:t>
      </w:r>
    </w:p>
    <w:p>
      <w:pPr>
        <w:pStyle w:val="Heading2"/>
      </w:pPr>
      <w:r>
        <w:t>5.4 Outliers</w:t>
      </w:r>
    </w:p>
    <w:p>
      <w:r>
        <w:t>Detect unusual values using domain rules, quantiles, boxplots, or robust methods such as the interquartile range. An unusually high price may be a data-entry error, but it may also be a luxury product. Investigate before capping or removing values. If winsorisation or filtering is needed, record the rule and compare results with and without the treatment.</w:t>
      </w:r>
    </w:p>
    <w:p>
      <w:pPr>
        <w:pStyle w:val="Heading1"/>
      </w:pPr>
      <w:r>
        <w:t>6. Normalisation, Transformation and Feature Engineering</w:t>
      </w:r>
    </w:p>
    <w:p>
      <w:pPr>
        <w:pStyle w:val="Heading2"/>
      </w:pPr>
      <w:r>
        <w:t>6.1 Scaling and normalisation</w:t>
      </w:r>
    </w:p>
    <w:p>
      <w:r>
        <w:t>Choose scaling based on the analytical method. Min-max scaling maps a numeric feature to a specified range, often 0–1; standardisation subtracts the training-set mean and divides by its standard deviation. Scaling is commonly useful for distance-based methods such as K-means and K-nearest neighbours, but usually unnecessary for many tree-based models. Fit scalers on training data only.</w:t>
      </w:r>
    </w:p>
    <w:p>
      <w:pPr>
        <w:pStyle w:val="Heading2"/>
      </w:pPr>
      <w:r>
        <w:t>6.2 Useful fashion features</w:t>
      </w:r>
    </w:p>
    <w:p>
      <w:pPr>
        <w:pStyle w:val="ListBullet"/>
      </w:pPr>
      <w:r>
        <w:t>Calendar: year, month, week, day-of-week, holiday indicator, season, and days until a promotion or event.</w:t>
      </w:r>
    </w:p>
    <w:p>
      <w:pPr>
        <w:pStyle w:val="ListBullet"/>
      </w:pPr>
      <w:r>
        <w:t>Product: category, subcategory, colour family, material, sleeve type, fit, size, price band, discount percentage, and product age since launch.</w:t>
      </w:r>
    </w:p>
    <w:p>
      <w:pPr>
        <w:pStyle w:val="ListBullet"/>
      </w:pPr>
      <w:r>
        <w:t>Trend: change in Google Trends index, rolling mean, week-over-week change, and persistence over several periods. Document that search index values are relative.</w:t>
      </w:r>
    </w:p>
    <w:p>
      <w:pPr>
        <w:pStyle w:val="ListBullet"/>
      </w:pPr>
      <w:r>
        <w:t>Retail (if authorised data later becomes available): sales per SKU/week, sell-through rate, stock cover, return rate, average selling price, and gross margin.</w:t>
      </w:r>
    </w:p>
    <w:p>
      <w:pPr>
        <w:pStyle w:val="ListBullet"/>
      </w:pPr>
      <w:r>
        <w:t>Text and reviews: tokenisation, language detection, sentiment features, and topic labels, with manual validation for fashion-specific terms and sarcasm.</w:t>
      </w:r>
    </w:p>
    <w:p>
      <w:pPr>
        <w:pStyle w:val="ListBullet"/>
      </w:pPr>
      <w:r>
        <w:t>Images: resize and standardise image format for computer-vision tasks; use labels and splits that prevent the same product or near-identical image from leaking into both training and test sets.</w:t>
      </w:r>
    </w:p>
    <w:p>
      <w:pPr>
        <w:pStyle w:val="Heading2"/>
      </w:pPr>
      <w:r>
        <w:t>6.3 Data transformation and joining</w:t>
      </w:r>
    </w:p>
    <w:p>
      <w:r>
        <w:t>Aggregate records to the grain required by the question, such as category-month or product-week. When combining sources, join on documented keys and aligned time/geography definitions. Use left joins when preserving the primary dataset is important, then inspect unmatched rows. Avoid joining datasets with incompatible time periods without an explicit aggregation rule. Keep raw and transformed columns distinct where auditability matters.</w:t>
      </w:r>
    </w:p>
    <w:p>
      <w:pPr>
        <w:pStyle w:val="Heading1"/>
      </w:pPr>
      <w:r>
        <w:t>7. Reproducible Project Structure and Example Workflow</w:t>
      </w:r>
    </w:p>
    <w:p>
      <w:r>
        <w:t>Recommended project structure:</w:t>
      </w:r>
    </w:p>
    <w:p>
      <w:pPr>
        <w:pStyle w:val="ListBullet"/>
      </w:pPr>
      <w:r>
        <w:t>project/ raw/ — original downloads, unchanged</w:t>
      </w:r>
    </w:p>
    <w:p>
      <w:pPr>
        <w:pStyle w:val="ListBullet"/>
      </w:pPr>
      <w:r>
        <w:t>project/ interim/ — parsed and standardised intermediate data</w:t>
      </w:r>
    </w:p>
    <w:p>
      <w:pPr>
        <w:pStyle w:val="ListBullet"/>
      </w:pPr>
      <w:r>
        <w:t>project/ processed/ — analysis-ready tables</w:t>
      </w:r>
    </w:p>
    <w:p>
      <w:pPr>
        <w:pStyle w:val="ListBullet"/>
      </w:pPr>
      <w:r>
        <w:t>project/ scripts/ — acquisition, cleaning, validation and feature-engineering scripts</w:t>
      </w:r>
    </w:p>
    <w:p>
      <w:pPr>
        <w:pStyle w:val="ListBullet"/>
      </w:pPr>
      <w:r>
        <w:t>project/ notebooks/ — exploration and visual checks</w:t>
      </w:r>
    </w:p>
    <w:p>
      <w:pPr>
        <w:pStyle w:val="ListBullet"/>
      </w:pPr>
      <w:r>
        <w:t>project/ reports/ — data-quality summaries and final documentation</w:t>
      </w:r>
    </w:p>
    <w:p>
      <w:pPr>
        <w:pStyle w:val="ListBullet"/>
      </w:pPr>
      <w:r>
        <w:t>project/ README.md — setup, run order, source licences, assumptions and known limitations</w:t>
      </w:r>
    </w:p>
    <w:p>
      <w:r>
        <w:t>Suggested run order:</w:t>
      </w:r>
    </w:p>
    <w:p>
      <w:pPr>
        <w:pStyle w:val="ListBullet"/>
      </w:pPr>
      <w:r>
        <w:t>01_acquire.py: download or load source files and write acquisition metadata.</w:t>
      </w:r>
    </w:p>
    <w:p>
      <w:pPr>
        <w:pStyle w:val="ListBullet"/>
      </w:pPr>
      <w:r>
        <w:t>02_profile.py: generate row counts, schema, missingness, duplicates, ranges, and category summaries.</w:t>
      </w:r>
    </w:p>
    <w:p>
      <w:pPr>
        <w:pStyle w:val="ListBullet"/>
      </w:pPr>
      <w:r>
        <w:t>03_clean.py: apply documented cleaning rules and export a cleaned intermediate dataset.</w:t>
      </w:r>
    </w:p>
    <w:p>
      <w:pPr>
        <w:pStyle w:val="ListBullet"/>
      </w:pPr>
      <w:r>
        <w:t>04_features.py: create features and analysis-ready aggregates.</w:t>
      </w:r>
    </w:p>
    <w:p>
      <w:pPr>
        <w:pStyle w:val="ListBullet"/>
      </w:pPr>
      <w:r>
        <w:t>05_validate.py: assert schema, key uniqueness, allowed ranges, row-count expectations, and join quality.</w:t>
      </w:r>
    </w:p>
    <w:p>
      <w:pPr>
        <w:pStyle w:val="ListBullet"/>
      </w:pPr>
      <w:r>
        <w:t>06_analysis.ipynb: conduct exploration and visualisation using the validated processed data.</w:t>
      </w:r>
    </w:p>
    <w:p>
      <w:r>
        <w:t>Illustrative pandas checks (adapt column names to the selected dataset):</w:t>
      </w:r>
    </w:p>
    <w:p>
      <w:r>
        <w:rPr>
          <w:rFonts w:ascii="Consolas" w:hAnsi="Consolas"/>
          <w:sz w:val="16"/>
        </w:rPr>
        <w:t>import pandas as pd</w:t>
        <w:br/>
        <w:br/>
        <w:t>df = pd.read_csv("raw/products.csv")</w:t>
        <w:br/>
        <w:br/>
        <w:t>print(df.shape)</w:t>
        <w:br/>
        <w:t>print(df.dtypes)</w:t>
        <w:br/>
        <w:t>print(df.isna().mean().sort_values(ascending=False))</w:t>
        <w:br/>
        <w:t>print("Exact duplicate rows:", df.duplicated().sum())</w:t>
        <w:br/>
        <w:br/>
        <w:t># Standardise column names and selected text fields</w:t>
        <w:br/>
        <w:t>df.columns = (df.columns.str.strip().str.lower()</w:t>
        <w:br/>
        <w:t xml:space="preserve">              .str.replace(" ", "_", regex=False))</w:t>
        <w:br/>
        <w:t>if "category" in df.columns:</w:t>
        <w:br/>
        <w:t xml:space="preserve">    df["category_original"] = df["category"]</w:t>
        <w:br/>
        <w:t xml:space="preserve">    df["category"] = df["category"].astype("string").str.strip().str.lower()</w:t>
        <w:br/>
        <w:br/>
        <w:t># Example only: validate, do not blindly delete, duplicate product IDs</w:t>
        <w:br/>
        <w:t>if "product_id" in df.columns:</w:t>
        <w:br/>
        <w:t xml:space="preserve">    print("Duplicate product IDs:", df["product_id"].duplicated().sum())</w:t>
        <w:br/>
        <w:br/>
        <w:t># Parse dates with failures made visible for review</w:t>
        <w:br/>
        <w:t>if "date" in df.columns:</w:t>
        <w:br/>
        <w:t xml:space="preserve">    df["date_parsed"] = pd.to_datetime(df["date"], errors="coerce")</w:t>
        <w:br/>
        <w:t xml:space="preserve">    print("Unparsed dates:", df["date_parsed"].isna().sum())</w:t>
        <w:br/>
        <w:br/>
        <w:t>df.to_csv("interim/products_profiled.csv", index=False)</w:t>
      </w:r>
    </w:p>
    <w:p>
      <w:r>
        <w:t>For a production workflow, add automated assertions and tests. For example, assert required columns exist, IDs meet uniqueness rules at the correct grain, values fall within permitted ranges, and no unexpected row multiplication occurs after joins.</w:t>
      </w:r>
    </w:p>
    <w:p>
      <w:pPr>
        <w:pStyle w:val="Heading1"/>
      </w:pPr>
      <w:r>
        <w:t>8. Validation and Readiness Checklist</w:t>
      </w:r>
    </w:p>
    <w:p>
      <w:pPr>
        <w:pStyle w:val="ListBullet"/>
      </w:pPr>
      <w:r>
        <w:t>The business question, unit of analysis, geography, and time period are documented.</w:t>
      </w:r>
    </w:p>
    <w:p>
      <w:pPr>
        <w:pStyle w:val="ListBullet"/>
      </w:pPr>
      <w:r>
        <w:t>The source, access date, licence, version, and acquisition parameters are recorded.</w:t>
      </w:r>
    </w:p>
    <w:p>
      <w:pPr>
        <w:pStyle w:val="ListBullet"/>
      </w:pPr>
      <w:r>
        <w:t>Raw files remain unchanged and the workflow can be rerun from a clean environment.</w:t>
      </w:r>
    </w:p>
    <w:p>
      <w:pPr>
        <w:pStyle w:val="ListBullet"/>
      </w:pPr>
      <w:r>
        <w:t>Missing values, duplicates, invalid dates, inconsistent categories, and outliers have been quantified and treated with documented rules.</w:t>
      </w:r>
    </w:p>
    <w:p>
      <w:pPr>
        <w:pStyle w:val="ListBullet"/>
      </w:pPr>
      <w:r>
        <w:t>Join keys, units, currencies, time zones, and category mappings are consistent.</w:t>
      </w:r>
    </w:p>
    <w:p>
      <w:pPr>
        <w:pStyle w:val="ListBullet"/>
      </w:pPr>
      <w:r>
        <w:t>Feature engineering avoids target leakage; training-only transformations are fitted without using test data.</w:t>
      </w:r>
    </w:p>
    <w:p>
      <w:pPr>
        <w:pStyle w:val="ListBullet"/>
      </w:pPr>
      <w:r>
        <w:t>Final schema, row counts, key uniqueness, ranges, and join quality pass validation checks.</w:t>
      </w:r>
    </w:p>
    <w:p>
      <w:pPr>
        <w:pStyle w:val="ListBullet"/>
      </w:pPr>
      <w:r>
        <w:t>The README explains dependencies, commands, assumptions, limitations, and the expected output files.</w:t>
      </w:r>
    </w:p>
    <w:p>
      <w:pPr>
        <w:pStyle w:val="Heading1"/>
      </w:pPr>
      <w:r>
        <w:t>9. Challenges and Mitigation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6324F"/>
          </w:tcPr>
          <w:p>
            <w:pPr>
              <w:spacing w:after="20"/>
            </w:pPr>
            <w:r/>
            <w:r>
              <w:rPr>
                <w:rFonts w:ascii="Aptos" w:hAnsi="Aptos"/>
                <w:b/>
                <w:color w:val="FFFFFF"/>
                <w:sz w:val="18"/>
              </w:rPr>
              <w:t>Challenge</w:t>
            </w:r>
          </w:p>
        </w:tc>
        <w:tc>
          <w:tcPr>
            <w:tcW w:type="dxa" w:w="5040"/>
            <w:vAlign w:val="center"/>
            <w:shd w:fill="16324F"/>
          </w:tcPr>
          <w:p>
            <w:pPr>
              <w:spacing w:after="20"/>
            </w:pPr>
            <w:r/>
            <w:r>
              <w:rPr>
                <w:rFonts w:ascii="Aptos" w:hAnsi="Aptos"/>
                <w:b/>
                <w:color w:val="FFFFFF"/>
                <w:sz w:val="18"/>
              </w:rPr>
              <w:t>Mitigation</w:t>
            </w:r>
          </w:p>
        </w:tc>
      </w:tr>
      <w:tr>
        <w:tc>
          <w:tcPr>
            <w:tcW w:type="dxa" w:w="5040"/>
            <w:vAlign w:val="center"/>
          </w:tcPr>
          <w:p>
            <w:pPr>
              <w:spacing w:after="20"/>
            </w:pPr>
            <w:r/>
            <w:r>
              <w:rPr>
                <w:rFonts w:ascii="Aptos" w:hAnsi="Aptos"/>
                <w:b w:val="0"/>
                <w:sz w:val="16"/>
              </w:rPr>
              <w:t>Different formats and definitions</w:t>
            </w:r>
          </w:p>
        </w:tc>
        <w:tc>
          <w:tcPr>
            <w:tcW w:type="dxa" w:w="5040"/>
            <w:vAlign w:val="center"/>
          </w:tcPr>
          <w:p>
            <w:pPr>
              <w:spacing w:after="20"/>
            </w:pPr>
            <w:r/>
            <w:r>
              <w:rPr>
                <w:rFonts w:ascii="Aptos" w:hAnsi="Aptos"/>
                <w:b w:val="0"/>
                <w:sz w:val="16"/>
              </w:rPr>
              <w:t>Use a data dictionary, explicit type conversion, standard units, and documented mapping tables.</w:t>
            </w:r>
          </w:p>
        </w:tc>
      </w:tr>
      <w:tr>
        <w:tc>
          <w:tcPr>
            <w:tcW w:type="dxa" w:w="5040"/>
            <w:vAlign w:val="center"/>
          </w:tcPr>
          <w:p>
            <w:pPr>
              <w:spacing w:after="20"/>
            </w:pPr>
            <w:r/>
            <w:r>
              <w:rPr>
                <w:rFonts w:ascii="Aptos" w:hAnsi="Aptos"/>
                <w:b w:val="0"/>
                <w:sz w:val="16"/>
              </w:rPr>
              <w:t>Biased or unrepresentative public data</w:t>
            </w:r>
          </w:p>
        </w:tc>
        <w:tc>
          <w:tcPr>
            <w:tcW w:type="dxa" w:w="5040"/>
            <w:vAlign w:val="center"/>
          </w:tcPr>
          <w:p>
            <w:pPr>
              <w:spacing w:after="20"/>
            </w:pPr>
            <w:r/>
            <w:r>
              <w:rPr>
                <w:rFonts w:ascii="Aptos" w:hAnsi="Aptos"/>
                <w:b w:val="0"/>
                <w:sz w:val="16"/>
              </w:rPr>
              <w:t>State coverage limitations; compare sources; avoid claiming results represent all consumers or a specific retailer.</w:t>
            </w:r>
          </w:p>
        </w:tc>
      </w:tr>
      <w:tr>
        <w:tc>
          <w:tcPr>
            <w:tcW w:type="dxa" w:w="5040"/>
            <w:vAlign w:val="center"/>
          </w:tcPr>
          <w:p>
            <w:pPr>
              <w:spacing w:after="20"/>
            </w:pPr>
            <w:r/>
            <w:r>
              <w:rPr>
                <w:rFonts w:ascii="Aptos" w:hAnsi="Aptos"/>
                <w:b w:val="0"/>
                <w:sz w:val="16"/>
              </w:rPr>
              <w:t>Missing or delayed observations</w:t>
            </w:r>
          </w:p>
        </w:tc>
        <w:tc>
          <w:tcPr>
            <w:tcW w:type="dxa" w:w="5040"/>
            <w:vAlign w:val="center"/>
          </w:tcPr>
          <w:p>
            <w:pPr>
              <w:spacing w:after="20"/>
            </w:pPr>
            <w:r/>
            <w:r>
              <w:rPr>
                <w:rFonts w:ascii="Aptos" w:hAnsi="Aptos"/>
                <w:b w:val="0"/>
                <w:sz w:val="16"/>
              </w:rPr>
              <w:t>Track source freshness and missingness; avoid unsupported interpolation; choose a suitable baseline and explain uncertainty.</w:t>
            </w:r>
          </w:p>
        </w:tc>
      </w:tr>
      <w:tr>
        <w:tc>
          <w:tcPr>
            <w:tcW w:type="dxa" w:w="5040"/>
            <w:vAlign w:val="center"/>
          </w:tcPr>
          <w:p>
            <w:pPr>
              <w:spacing w:after="20"/>
            </w:pPr>
            <w:r/>
            <w:r>
              <w:rPr>
                <w:rFonts w:ascii="Aptos" w:hAnsi="Aptos"/>
                <w:b w:val="0"/>
                <w:sz w:val="16"/>
              </w:rPr>
              <w:t>Restricted reuse or personal data</w:t>
            </w:r>
          </w:p>
        </w:tc>
        <w:tc>
          <w:tcPr>
            <w:tcW w:type="dxa" w:w="5040"/>
            <w:vAlign w:val="center"/>
          </w:tcPr>
          <w:p>
            <w:pPr>
              <w:spacing w:after="20"/>
            </w:pPr>
            <w:r/>
            <w:r>
              <w:rPr>
                <w:rFonts w:ascii="Aptos" w:hAnsi="Aptos"/>
                <w:b w:val="0"/>
                <w:sz w:val="16"/>
              </w:rPr>
              <w:t>Review licences and terms, use official access methods, minimise personal data, and follow applicable privacy requirements.</w:t>
            </w:r>
          </w:p>
        </w:tc>
      </w:tr>
      <w:tr>
        <w:tc>
          <w:tcPr>
            <w:tcW w:type="dxa" w:w="5040"/>
            <w:vAlign w:val="center"/>
          </w:tcPr>
          <w:p>
            <w:pPr>
              <w:spacing w:after="20"/>
            </w:pPr>
            <w:r/>
            <w:r>
              <w:rPr>
                <w:rFonts w:ascii="Aptos" w:hAnsi="Aptos"/>
                <w:b w:val="0"/>
                <w:sz w:val="16"/>
              </w:rPr>
              <w:t>Changing product categories and trends</w:t>
            </w:r>
          </w:p>
        </w:tc>
        <w:tc>
          <w:tcPr>
            <w:tcW w:type="dxa" w:w="5040"/>
            <w:vAlign w:val="center"/>
          </w:tcPr>
          <w:p>
            <w:pPr>
              <w:spacing w:after="20"/>
            </w:pPr>
            <w:r/>
            <w:r>
              <w:rPr>
                <w:rFonts w:ascii="Aptos" w:hAnsi="Aptos"/>
                <w:b w:val="0"/>
                <w:sz w:val="16"/>
              </w:rPr>
              <w:t>Version category mappings and refresh source checks; preserve original values and monitor drift.</w:t>
            </w:r>
          </w:p>
        </w:tc>
      </w:tr>
      <w:tr>
        <w:tc>
          <w:tcPr>
            <w:tcW w:type="dxa" w:w="5040"/>
            <w:vAlign w:val="center"/>
          </w:tcPr>
          <w:p>
            <w:pPr>
              <w:spacing w:after="20"/>
            </w:pPr>
            <w:r/>
            <w:r>
              <w:rPr>
                <w:rFonts w:ascii="Aptos" w:hAnsi="Aptos"/>
                <w:b w:val="0"/>
                <w:sz w:val="16"/>
              </w:rPr>
              <w:t>Irreproducible manual edits</w:t>
            </w:r>
          </w:p>
        </w:tc>
        <w:tc>
          <w:tcPr>
            <w:tcW w:type="dxa" w:w="5040"/>
            <w:vAlign w:val="center"/>
          </w:tcPr>
          <w:p>
            <w:pPr>
              <w:spacing w:after="20"/>
            </w:pPr>
            <w:r/>
            <w:r>
              <w:rPr>
                <w:rFonts w:ascii="Aptos" w:hAnsi="Aptos"/>
                <w:b w:val="0"/>
                <w:sz w:val="16"/>
              </w:rPr>
              <w:t>Automate transformations, version scripts, retain raw files, record package versions, and add validation tests.</w:t>
            </w:r>
          </w:p>
        </w:tc>
      </w:tr>
    </w:tbl>
    <w:p>
      <w:pPr>
        <w:pStyle w:val="Heading1"/>
      </w:pPr>
      <w:r>
        <w:t>10. Conclusion</w:t>
      </w:r>
    </w:p>
    <w:p>
      <w:r>
        <w:t>A reliable fashion analytics dataset is the result of a documented process, not simply a downloaded CSV file. By defining the business question, checking source permissions, preserving raw data, profiling quality, applying justified cleaning rules, engineering relevant features, and validating the final output, a junior analyst can produce a dataset that is more accurate, auditable, and reusable. These practices reduce the risk of misleading trend conclusions, incorrect product comparisons, and unreliable models. The workflow can begin with public data and later be adapted to authorised sales, inventory, product, and customer data when a business provides appropriate access.</w:t>
      </w:r>
    </w:p>
    <w:p>
      <w:pPr>
        <w:pStyle w:val="Heading1"/>
      </w:pPr>
      <w:r>
        <w:t>References and Starting Links</w:t>
      </w:r>
    </w:p>
    <w:p>
      <w:pPr>
        <w:pStyle w:val="ListBullet"/>
      </w:pPr>
      <w:r>
        <w:t>Google Trends — https://trends.google.com/trends/</w:t>
      </w:r>
    </w:p>
    <w:p>
      <w:pPr>
        <w:pStyle w:val="ListBullet"/>
      </w:pPr>
      <w:r>
        <w:t>UN Comtrade — https://comtradeplus.un.org/</w:t>
      </w:r>
    </w:p>
    <w:p>
      <w:pPr>
        <w:pStyle w:val="ListBullet"/>
      </w:pPr>
      <w:r>
        <w:t>World Bank Open Data — https://data.worldbank.org/</w:t>
      </w:r>
    </w:p>
    <w:p>
      <w:pPr>
        <w:pStyle w:val="ListBullet"/>
      </w:pPr>
      <w:r>
        <w:t>Eurostat — https://ec.europa.eu/eurostat/</w:t>
      </w:r>
    </w:p>
    <w:p>
      <w:pPr>
        <w:pStyle w:val="ListBullet"/>
      </w:pPr>
      <w:r>
        <w:t>India Open Government Data Platform — https://www.data.gov.in/</w:t>
      </w:r>
    </w:p>
    <w:p>
      <w:pPr>
        <w:pStyle w:val="ListBullet"/>
      </w:pPr>
      <w:r>
        <w:t>Kaggle Datasets — https://www.kaggle.com/datasets</w:t>
      </w:r>
    </w:p>
    <w:p>
      <w:pPr>
        <w:pStyle w:val="ListBullet"/>
      </w:pPr>
      <w:r>
        <w:t>Hugging Face Datasets — https://huggingface.co/datasets</w:t>
      </w:r>
    </w:p>
    <w:p>
      <w:pPr>
        <w:pStyle w:val="ListBullet"/>
      </w:pPr>
      <w:r>
        <w:t>Open-Meteo — https://open-meteo.com/</w:t>
      </w:r>
    </w:p>
    <w:p>
      <w:pPr>
        <w:pStyle w:val="ListBullet"/>
      </w:pPr>
      <w:r>
        <w:t>Pandas documentation — https://pandas.pydata.org/docs/</w:t>
      </w:r>
    </w:p>
    <w:p>
      <w:pPr>
        <w:pStyle w:val="ListBullet"/>
      </w:pPr>
      <w:r>
        <w:t>Scikit-learn preprocessing documentation — https://scikit-learn.org/stable/modules/preprocessing.html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Reproducible analyst guide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FASHION DATA ANALYTICS  |  ACQUISITION &amp;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4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