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20" w:before="0"/>
        <w:jc w:val="center"/>
      </w:pPr>
      <w:r>
        <w:rPr>
          <w:rFonts w:ascii="Arial" w:cs="Arial" w:eastAsia="Arial" w:hAnsi="Arial"/>
          <w:b/>
          <w:bCs/>
          <w:caps/>
          <w:color w:val="888888"/>
          <w:sz w:val="20"/>
          <w:szCs w:val="20"/>
        </w:rPr>
        <w:t xml:space="preserve">CONSULTING</w:t>
      </w:r>
    </w:p>
    <w:p>
      <w:pPr>
        <w:pBdr>
          <w:top w:val="single" w:color="2E75B6" w:sz="8" w:space="8"/>
          <w:bottom w:val="single" w:color="2E75B6" w:sz="8" w:space="8"/>
        </w:pBdr>
        <w:spacing w:after="120" w:before="120"/>
        <w:jc w:val="center"/>
      </w:pPr>
      <w:r>
        <w:rPr>
          <w:rFonts w:ascii="Arial" w:cs="Arial" w:eastAsia="Arial" w:hAnsi="Arial"/>
          <w:b/>
          <w:bCs/>
          <w:color w:val="1A4F8A"/>
          <w:sz w:val="60"/>
          <w:szCs w:val="60"/>
        </w:rPr>
        <w:t xml:space="preserve">Credit Policy</w:t>
      </w:r>
      <w:r>
        <w:rPr>
          <w:rFonts w:ascii="Arial" w:cs="Arial" w:eastAsia="Arial" w:hAnsi="Arial"/>
          <w:b/>
          <w:bCs/>
          <w:color w:val="1A4F8A"/>
          <w:sz w:val="60"/>
          <w:szCs w:val="60"/>
        </w:rPr>
        <w:br/>
        <w:t xml:space="preserve">Recommendation Report</w:t>
      </w:r>
    </w:p>
    <w:p>
      <w:pPr>
        <w:spacing w:after="60" w:before="160"/>
        <w:jc w:val="center"/>
      </w:pPr>
      <w:r>
        <w:rPr>
          <w:rFonts w:ascii="Arial" w:cs="Arial" w:eastAsia="Arial" w:hAnsi="Arial"/>
          <w:color w:val="555555"/>
          <w:sz w:val="26"/>
          <w:szCs w:val="26"/>
        </w:rPr>
        <w:t xml:space="preserve">Digital Lending Portfolio Intelligence Platform</w:t>
      </w:r>
    </w:p>
    <w:p>
      <w:pPr>
        <w:spacing w:after="1800" w:before="0"/>
        <w:jc w:val="center"/>
      </w:pPr>
      <w:r>
        <w:rPr>
          <w:rFonts w:ascii="Arial" w:cs="Arial" w:eastAsia="Arial" w:hAnsi="Arial"/>
          <w:color w:val="888888"/>
          <w:sz w:val="20"/>
          <w:szCs w:val="20"/>
        </w:rPr>
        <w:t xml:space="preserve">Addressed to: Chief Risk Officer | Classification: Confidential</w:t>
      </w:r>
    </w:p>
    <w:p>
      <w:r>
        <w:br w:type="page"/>
      </w:r>
    </w:p>
    <w:p>
      <w:pPr>
        <w:pStyle w:val="Heading1"/>
        <w:pBdr>
          <w:bottom w:val="single" w:color="2E75B6" w:sz="6" w:space="4"/>
        </w:pBdr>
        <w:spacing w:after="160" w:before="360"/>
      </w:pPr>
      <w:r>
        <w:rPr>
          <w:rFonts w:ascii="Arial" w:cs="Arial" w:eastAsia="Arial" w:hAnsi="Arial"/>
          <w:b/>
          <w:bCs/>
          <w:color w:val="1A4F8A"/>
          <w:sz w:val="32"/>
          <w:szCs w:val="32"/>
        </w:rPr>
        <w:t xml:space="preserve">1. Executive Summary</w:t>
      </w:r>
    </w:p>
    <w:p>
      <w:pPr>
        <w:spacing w:after="100" w:before="60"/>
      </w:pPr>
      <w:r>
        <w:rPr>
          <w:rFonts w:ascii="Arial" w:cs="Arial" w:eastAsia="Arial" w:hAnsi="Arial"/>
          <w:color w:val="333333"/>
          <w:sz w:val="22"/>
          <w:szCs w:val="22"/>
        </w:rPr>
        <w:t xml:space="preserve">This report presents a data-driven credit risk analysis of a digital lending portfolio comprising 5,000 loan applications, of which 2,338 were approved with a total disbursed value of ₹204.5 crore. The analysis leverages end-to-end customer, loan, repayment, and behavioral data to identify key risk drivers, build an early warning system, and recommend actionable policy changes to protect portfolio quality while enabling sustainable growth.</w:t>
      </w:r>
    </w:p>
    <w:p>
      <w:pPr>
        <w:spacing w:after="80" w:before="0"/>
      </w:pPr>
      <w:r>
        <w:t xml:space="preserve"/>
      </w:r>
    </w:p>
    <w:p>
      <w:pPr>
        <w:spacing w:after="100" w:before="60"/>
      </w:pPr>
      <w:r>
        <w:rPr>
          <w:rFonts w:ascii="Arial" w:cs="Arial" w:eastAsia="Arial" w:hAnsi="Arial"/>
          <w:color w:val="333333"/>
          <w:sz w:val="22"/>
          <w:szCs w:val="22"/>
        </w:rPr>
        <w:t xml:space="preserve">The portfolio is currently under significant stress. The overall NPA rate stands at 20.4%, with a default rate of 24.9% among approved loans — both materially above acceptable industry thresholds. A PAR30 of 30.5% signals that nearly one in three approved borrowers is at elevated risk of delinquency. Immediate policy intervention is required.</w:t>
      </w:r>
    </w:p>
    <w:p>
      <w:pPr>
        <w:spacing w:after="120" w:before="0"/>
      </w:pPr>
      <w:r>
        <w:t xml:space="preserve"/>
      </w:r>
    </w:p>
    <w:p>
      <w:pPr>
        <w:spacing w:after="80" w:before="180"/>
      </w:pPr>
      <w:r>
        <w:rPr>
          <w:rFonts w:ascii="Arial" w:cs="Arial" w:eastAsia="Arial" w:hAnsi="Arial"/>
          <w:b/>
          <w:bCs/>
          <w:color w:val="333333"/>
          <w:sz w:val="22"/>
          <w:szCs w:val="22"/>
        </w:rP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tcPr>
          <w:p>
            <w:pPr>
              <w:spacing w:after="40" w:before="0"/>
              <w:jc w:val="center"/>
            </w:pPr>
            <w:r>
              <w:rPr>
                <w:rFonts w:ascii="Arial" w:cs="Arial" w:eastAsia="Arial" w:hAnsi="Arial"/>
                <w:b/>
                <w:bCs/>
                <w:color w:val="1A4F8A"/>
                <w:sz w:val="36"/>
                <w:szCs w:val="36"/>
              </w:rPr>
              <w:t xml:space="preserve">₹204.5 Cr</w:t>
            </w:r>
          </w:p>
          <w:p>
            <w:pPr>
              <w:spacing w:after="20" w:before="0"/>
              <w:jc w:val="center"/>
            </w:pPr>
            <w:r>
              <w:rPr>
                <w:rFonts w:ascii="Arial" w:cs="Arial" w:eastAsia="Arial" w:hAnsi="Arial"/>
                <w:b/>
                <w:bCs/>
                <w:color w:val="555555"/>
                <w:sz w:val="18"/>
                <w:szCs w:val="18"/>
              </w:rPr>
              <w:t xml:space="preserve">Portfolio Value</w:t>
            </w:r>
          </w:p>
          <w:p>
            <w:pPr>
              <w:spacing w:after="0" w:before="0"/>
              <w:jc w:val="center"/>
            </w:pPr>
            <w:r>
              <w:rPr>
                <w:rFonts w:ascii="Arial" w:cs="Arial" w:eastAsia="Arial" w:hAnsi="Arial"/>
                <w:color w:val="888888"/>
                <w:sz w:val="16"/>
                <w:szCs w:val="16"/>
              </w:rPr>
              <w:t xml:space="preserve">Total disbursed</w:t>
            </w:r>
          </w:p>
        </w:tc>
        <w:tc>
          <w:tcPr>
            <w:tcW w:type="dxa" w:w="234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tcPr>
          <w:p>
            <w:pPr>
              <w:spacing w:after="40" w:before="0"/>
              <w:jc w:val="center"/>
            </w:pPr>
            <w:r>
              <w:rPr>
                <w:rFonts w:ascii="Arial" w:cs="Arial" w:eastAsia="Arial" w:hAnsi="Arial"/>
                <w:b/>
                <w:bCs/>
                <w:color w:val="1A4F8A"/>
                <w:sz w:val="36"/>
                <w:szCs w:val="36"/>
              </w:rPr>
              <w:t xml:space="preserve">20.4%</w:t>
            </w:r>
          </w:p>
          <w:p>
            <w:pPr>
              <w:spacing w:after="20" w:before="0"/>
              <w:jc w:val="center"/>
            </w:pPr>
            <w:r>
              <w:rPr>
                <w:rFonts w:ascii="Arial" w:cs="Arial" w:eastAsia="Arial" w:hAnsi="Arial"/>
                <w:b/>
                <w:bCs/>
                <w:color w:val="555555"/>
                <w:sz w:val="18"/>
                <w:szCs w:val="18"/>
              </w:rPr>
              <w:t xml:space="preserve">NPA Rate</w:t>
            </w:r>
          </w:p>
          <w:p>
            <w:pPr>
              <w:spacing w:after="0" w:before="0"/>
              <w:jc w:val="center"/>
            </w:pPr>
            <w:r>
              <w:rPr>
                <w:rFonts w:ascii="Arial" w:cs="Arial" w:eastAsia="Arial" w:hAnsi="Arial"/>
                <w:color w:val="888888"/>
                <w:sz w:val="16"/>
                <w:szCs w:val="16"/>
              </w:rPr>
              <w:t xml:space="preserve">Above safe threshold</w:t>
            </w:r>
          </w:p>
        </w:tc>
        <w:tc>
          <w:tcPr>
            <w:tcW w:type="dxa" w:w="234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tcPr>
          <w:p>
            <w:pPr>
              <w:spacing w:after="40" w:before="0"/>
              <w:jc w:val="center"/>
            </w:pPr>
            <w:r>
              <w:rPr>
                <w:rFonts w:ascii="Arial" w:cs="Arial" w:eastAsia="Arial" w:hAnsi="Arial"/>
                <w:b/>
                <w:bCs/>
                <w:color w:val="1A4F8A"/>
                <w:sz w:val="36"/>
                <w:szCs w:val="36"/>
              </w:rPr>
              <w:t xml:space="preserve">24.9%</w:t>
            </w:r>
          </w:p>
          <w:p>
            <w:pPr>
              <w:spacing w:after="20" w:before="0"/>
              <w:jc w:val="center"/>
            </w:pPr>
            <w:r>
              <w:rPr>
                <w:rFonts w:ascii="Arial" w:cs="Arial" w:eastAsia="Arial" w:hAnsi="Arial"/>
                <w:b/>
                <w:bCs/>
                <w:color w:val="555555"/>
                <w:sz w:val="18"/>
                <w:szCs w:val="18"/>
              </w:rPr>
              <w:t xml:space="preserve">Default Rate</w:t>
            </w:r>
          </w:p>
          <w:p>
            <w:pPr>
              <w:spacing w:after="0" w:before="0"/>
              <w:jc w:val="center"/>
            </w:pPr>
            <w:r>
              <w:rPr>
                <w:rFonts w:ascii="Arial" w:cs="Arial" w:eastAsia="Arial" w:hAnsi="Arial"/>
                <w:color w:val="888888"/>
                <w:sz w:val="16"/>
                <w:szCs w:val="16"/>
              </w:rPr>
              <w:t xml:space="preserve">Among approved loans</w:t>
            </w:r>
          </w:p>
        </w:tc>
        <w:tc>
          <w:tcPr>
            <w:tcW w:type="dxa" w:w="234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tcPr>
          <w:p>
            <w:pPr>
              <w:spacing w:after="40" w:before="0"/>
              <w:jc w:val="center"/>
            </w:pPr>
            <w:r>
              <w:rPr>
                <w:rFonts w:ascii="Arial" w:cs="Arial" w:eastAsia="Arial" w:hAnsi="Arial"/>
                <w:b/>
                <w:bCs/>
                <w:color w:val="1A4F8A"/>
                <w:sz w:val="36"/>
                <w:szCs w:val="36"/>
              </w:rPr>
              <w:t xml:space="preserve">30.5%</w:t>
            </w:r>
          </w:p>
          <w:p>
            <w:pPr>
              <w:spacing w:after="20" w:before="0"/>
              <w:jc w:val="center"/>
            </w:pPr>
            <w:r>
              <w:rPr>
                <w:rFonts w:ascii="Arial" w:cs="Arial" w:eastAsia="Arial" w:hAnsi="Arial"/>
                <w:b/>
                <w:bCs/>
                <w:color w:val="555555"/>
                <w:sz w:val="18"/>
                <w:szCs w:val="18"/>
              </w:rPr>
              <w:t xml:space="preserve">PAR30</w:t>
            </w:r>
          </w:p>
          <w:p>
            <w:pPr>
              <w:spacing w:after="0" w:before="0"/>
              <w:jc w:val="center"/>
            </w:pPr>
            <w:r>
              <w:rPr>
                <w:rFonts w:ascii="Arial" w:cs="Arial" w:eastAsia="Arial" w:hAnsi="Arial"/>
                <w:color w:val="888888"/>
                <w:sz w:val="16"/>
                <w:szCs w:val="16"/>
              </w:rPr>
              <w:t xml:space="preserve">At-risk borrowers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20"/>
              <w:bottom w:type="dxa" w:w="160"/>
              <w:right w:type="dxa" w:w="220"/>
            </w:tcMar>
          </w:tcPr>
          <w:p>
            <w:pPr>
              <w:spacing w:after="60" w:before="0"/>
            </w:pPr>
            <w:r>
              <w:rPr>
                <w:rFonts w:ascii="Arial" w:cs="Arial" w:eastAsia="Arial" w:hAnsi="Arial"/>
                <w:b/>
                <w:bCs/>
                <w:color w:val="1A4F8A"/>
                <w:sz w:val="20"/>
                <w:szCs w:val="20"/>
              </w:rPr>
              <w:t xml:space="preserve">Headline Recommendation</w:t>
            </w:r>
          </w:p>
          <w:p>
            <w:pPr>
              <w:spacing w:after="40" w:before="0"/>
            </w:pPr>
            <w:r>
              <w:rPr>
                <w:rFonts w:ascii="Arial" w:cs="Arial" w:eastAsia="Arial" w:hAnsi="Arial"/>
                <w:color w:val="1A4F8A"/>
                <w:sz w:val="20"/>
                <w:szCs w:val="20"/>
              </w:rPr>
              <w:t xml:space="preserve">Implement a 3-tier Early Warning System (Green / Amber / Red) powered by a Random Forest ML model,</w:t>
            </w:r>
          </w:p>
          <w:p>
            <w:pPr>
              <w:spacing w:after="40" w:before="0"/>
            </w:pPr>
            <w:r>
              <w:rPr>
                <w:rFonts w:ascii="Arial" w:cs="Arial" w:eastAsia="Arial" w:hAnsi="Arial"/>
                <w:color w:val="1A4F8A"/>
                <w:sz w:val="20"/>
                <w:szCs w:val="20"/>
              </w:rPr>
              <w:t xml:space="preserve">combined with a hard EMI-to-income cap of 0.50 at underwriting. This single combined intervention is</w:t>
            </w:r>
          </w:p>
          <w:p>
            <w:pPr>
              <w:spacing w:after="40" w:before="0"/>
            </w:pPr>
            <w:r>
              <w:rPr>
                <w:rFonts w:ascii="Arial" w:cs="Arial" w:eastAsia="Arial" w:hAnsi="Arial"/>
                <w:color w:val="1A4F8A"/>
                <w:sz w:val="20"/>
                <w:szCs w:val="20"/>
              </w:rPr>
              <w:t xml:space="preserve">projected to reduce NPA by 15–20% within two quarters with minimal impact on approval volumes.</w:t>
            </w:r>
          </w:p>
        </w:tc>
      </w:tr>
    </w:tbl>
    <w:p>
      <w:pPr>
        <w:spacing w:after="120" w:before="0"/>
      </w:pPr>
      <w:r>
        <w:t xml:space="preserve"/>
      </w:r>
    </w:p>
    <w:p>
      <w:pPr>
        <w:spacing w:after="80" w:before="180"/>
      </w:pPr>
      <w:r>
        <w:rPr>
          <w:rFonts w:ascii="Arial" w:cs="Arial" w:eastAsia="Arial" w:hAnsi="Arial"/>
          <w:b/>
          <w:bCs/>
          <w:color w:val="333333"/>
          <w:sz w:val="22"/>
          <w:szCs w:val="22"/>
        </w:rPr>
        <w:t xml:space="preserve">Four Key Findings</w:t>
      </w:r>
    </w:p>
    <w:p>
      <w:pPr>
        <w:pStyle w:val="ListParagraph"/>
        <w:numPr>
          <w:ilvl w:val="0"/>
          <w:numId w:val="2"/>
        </w:numPr>
        <w:spacing w:after="60" w:before="40"/>
      </w:pPr>
      <w:r>
        <w:rPr>
          <w:rFonts w:ascii="Arial" w:cs="Arial" w:eastAsia="Arial" w:hAnsi="Arial"/>
          <w:b/>
          <w:bCs/>
          <w:color w:val="333333"/>
          <w:sz w:val="22"/>
          <w:szCs w:val="22"/>
        </w:rPr>
        <w:t xml:space="preserve">High-risk borrowers (39.3% default rate) make up 26.6% of the approved portfolio — a dangerous concentration that is driving NPA disproportionately. </w:t>
      </w:r>
      <w:r>
        <w:rPr>
          <w:rFonts w:ascii="Arial" w:cs="Arial" w:eastAsia="Arial" w:hAnsi="Arial"/>
          <w:color w:val="444444"/>
          <w:sz w:val="22"/>
          <w:szCs w:val="22"/>
        </w:rPr>
        <w:t xml:space="preserve">HIGH-RISK SEGMENT CONCENTRATION:</w:t>
      </w:r>
    </w:p>
    <w:p>
      <w:pPr>
        <w:pStyle w:val="ListParagraph"/>
        <w:numPr>
          <w:ilvl w:val="0"/>
          <w:numId w:val="2"/>
        </w:numPr>
        <w:spacing w:after="60" w:before="40"/>
      </w:pPr>
      <w:r>
        <w:rPr>
          <w:rFonts w:ascii="Arial" w:cs="Arial" w:eastAsia="Arial" w:hAnsi="Arial"/>
          <w:b/>
          <w:bCs/>
          <w:color w:val="333333"/>
          <w:sz w:val="22"/>
          <w:szCs w:val="22"/>
        </w:rPr>
        <w:t xml:space="preserve">Student borrowers default at 41.9% — nearly double the portfolio average — yet continue to receive approvals without stricter criteria. </w:t>
      </w:r>
      <w:r>
        <w:rPr>
          <w:rFonts w:ascii="Arial" w:cs="Arial" w:eastAsia="Arial" w:hAnsi="Arial"/>
          <w:color w:val="444444"/>
          <w:sz w:val="22"/>
          <w:szCs w:val="22"/>
        </w:rPr>
        <w:t xml:space="preserve">STUDENT BORROWERS ARE THE HIGHEST-RISK COHORT:</w:t>
      </w:r>
    </w:p>
    <w:p>
      <w:pPr>
        <w:pStyle w:val="ListParagraph"/>
        <w:numPr>
          <w:ilvl w:val="0"/>
          <w:numId w:val="2"/>
        </w:numPr>
        <w:spacing w:after="60" w:before="40"/>
      </w:pPr>
      <w:r>
        <w:rPr>
          <w:rFonts w:ascii="Arial" w:cs="Arial" w:eastAsia="Arial" w:hAnsi="Arial"/>
          <w:b/>
          <w:bCs/>
          <w:color w:val="333333"/>
          <w:sz w:val="22"/>
          <w:szCs w:val="22"/>
        </w:rPr>
        <w:t xml:space="preserve">Education loans show a 41.9% default rate, the highest of any loan purpose, suggesting misaligned product-risk matching. </w:t>
      </w:r>
      <w:r>
        <w:rPr>
          <w:rFonts w:ascii="Arial" w:cs="Arial" w:eastAsia="Arial" w:hAnsi="Arial"/>
          <w:color w:val="444444"/>
          <w:sz w:val="22"/>
          <w:szCs w:val="22"/>
        </w:rPr>
        <w:t xml:space="preserve">EDUCATION LOANS CARRY EXTREME DEFAULT RISK:</w:t>
      </w:r>
    </w:p>
    <w:p>
      <w:pPr>
        <w:pStyle w:val="ListParagraph"/>
        <w:numPr>
          <w:ilvl w:val="0"/>
          <w:numId w:val="2"/>
        </w:numPr>
        <w:spacing w:after="60" w:before="40"/>
      </w:pPr>
      <w:r>
        <w:rPr>
          <w:rFonts w:ascii="Arial" w:cs="Arial" w:eastAsia="Arial" w:hAnsi="Arial"/>
          <w:b/>
          <w:bCs/>
          <w:color w:val="333333"/>
          <w:sz w:val="22"/>
          <w:szCs w:val="22"/>
        </w:rPr>
        <w:t xml:space="preserve">High-risk borrowers are not being adequately compensated for through pricing. The average interest rate of 12.5% does not reflect the 39.3% default rate in the High risk tier. </w:t>
      </w:r>
      <w:r>
        <w:rPr>
          <w:rFonts w:ascii="Arial" w:cs="Arial" w:eastAsia="Arial" w:hAnsi="Arial"/>
          <w:color w:val="444444"/>
          <w:sz w:val="22"/>
          <w:szCs w:val="22"/>
        </w:rPr>
        <w:t xml:space="preserve">PRICING GAP EXISTS:</w:t>
      </w:r>
    </w:p>
    <w:p>
      <w:r>
        <w:br w:type="page"/>
      </w:r>
    </w:p>
    <w:p>
      <w:pPr>
        <w:pStyle w:val="Heading1"/>
        <w:pBdr>
          <w:bottom w:val="single" w:color="2E75B6" w:sz="6" w:space="4"/>
        </w:pBdr>
        <w:spacing w:after="160" w:before="360"/>
      </w:pPr>
      <w:r>
        <w:rPr>
          <w:rFonts w:ascii="Arial" w:cs="Arial" w:eastAsia="Arial" w:hAnsi="Arial"/>
          <w:b/>
          <w:bCs/>
          <w:color w:val="1A4F8A"/>
          <w:sz w:val="32"/>
          <w:szCs w:val="32"/>
        </w:rPr>
        <w:t xml:space="preserve">2. Risk Segmentation Findings</w:t>
      </w:r>
    </w:p>
    <w:p>
      <w:pPr>
        <w:spacing w:after="100" w:before="60"/>
      </w:pPr>
      <w:r>
        <w:rPr>
          <w:rFonts w:ascii="Arial" w:cs="Arial" w:eastAsia="Arial" w:hAnsi="Arial"/>
          <w:color w:val="333333"/>
          <w:sz w:val="22"/>
          <w:szCs w:val="22"/>
        </w:rPr>
        <w:t xml:space="preserve">Using KMeans clustering on 8 customer attributes — credit score, monthly income, default probability, EMI-to-income ratio, loan-to-income ratio, digital activity score, age, and savings balance — the portfolio was segmented into four distinct customer groups.</w:t>
      </w:r>
    </w:p>
    <w:p>
      <w:pPr>
        <w:spacing w:after="120" w:before="0"/>
      </w:pPr>
      <w:r>
        <w:t xml:space="preserve"/>
      </w:r>
    </w:p>
    <w:p>
      <w:pPr>
        <w:pStyle w:val="Heading2"/>
        <w:spacing w:after="100" w:before="260"/>
      </w:pPr>
      <w:r>
        <w:rPr>
          <w:rFonts w:ascii="Arial" w:cs="Arial" w:eastAsia="Arial" w:hAnsi="Arial"/>
          <w:b/>
          <w:bCs/>
          <w:color w:val="1A4F8A"/>
          <w:sz w:val="26"/>
          <w:szCs w:val="26"/>
        </w:rPr>
        <w:t xml:space="preserve">2.1 Four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W w:type="dxa" w:w="2000"/>
            <w:tcBorders>
              <w:top w:val="single" w:color="CCCCCC" w:sz="1"/>
              <w:left w:val="single" w:color="CCCCCC" w:sz="1"/>
              <w:bottom w:val="single" w:color="CCCCCC" w:sz="1"/>
              <w:right w:val="single" w:color="CCCCCC" w:sz="1"/>
            </w:tcBorders>
            <w:shd w:fill="1A4F8A" w:val="clear"/>
            <w:tcMar>
              <w:top w:type="dxa" w:w="100"/>
              <w:left w:type="dxa" w:w="120"/>
              <w:bottom w:type="dxa" w:w="100"/>
              <w:right w:type="dxa" w:w="120"/>
            </w:tcMar>
          </w:tcPr>
          <w:p>
            <w:r>
              <w:rPr>
                <w:rFonts w:ascii="Arial" w:cs="Arial" w:eastAsia="Arial" w:hAnsi="Arial"/>
                <w:b/>
                <w:bCs/>
                <w:color w:val="FFFFFF"/>
                <w:sz w:val="20"/>
                <w:szCs w:val="20"/>
              </w:rPr>
              <w:t xml:space="preserve">Segment</w:t>
            </w:r>
          </w:p>
        </w:tc>
        <w:tc>
          <w:tcPr>
            <w:tcW w:type="dxa" w:w="1800"/>
            <w:tcBorders>
              <w:top w:val="single" w:color="CCCCCC" w:sz="1"/>
              <w:left w:val="single" w:color="CCCCCC" w:sz="1"/>
              <w:bottom w:val="single" w:color="CCCCCC" w:sz="1"/>
              <w:right w:val="single" w:color="CCCCCC" w:sz="1"/>
            </w:tcBorders>
            <w:shd w:fill="1A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Credit Score</w:t>
            </w:r>
          </w:p>
        </w:tc>
        <w:tc>
          <w:tcPr>
            <w:tcW w:type="dxa" w:w="1800"/>
            <w:tcBorders>
              <w:top w:val="single" w:color="CCCCCC" w:sz="1"/>
              <w:left w:val="single" w:color="CCCCCC" w:sz="1"/>
              <w:bottom w:val="single" w:color="CCCCCC" w:sz="1"/>
              <w:right w:val="single" w:color="CCCCCC" w:sz="1"/>
            </w:tcBorders>
            <w:shd w:fill="1A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Income (₹)</w:t>
            </w:r>
          </w:p>
        </w:tc>
        <w:tc>
          <w:tcPr>
            <w:tcW w:type="dxa" w:w="1800"/>
            <w:tcBorders>
              <w:top w:val="single" w:color="CCCCCC" w:sz="1"/>
              <w:left w:val="single" w:color="CCCCCC" w:sz="1"/>
              <w:bottom w:val="single" w:color="CCCCCC" w:sz="1"/>
              <w:right w:val="single" w:color="CCCCCC" w:sz="1"/>
            </w:tcBorders>
            <w:shd w:fill="1A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Default Rate</w:t>
            </w:r>
          </w:p>
        </w:tc>
        <w:tc>
          <w:tcPr>
            <w:tcW w:type="dxa" w:w="1960"/>
            <w:tcBorders>
              <w:top w:val="single" w:color="CCCCCC" w:sz="1"/>
              <w:left w:val="single" w:color="CCCCCC" w:sz="1"/>
              <w:bottom w:val="single" w:color="CCCCCC" w:sz="1"/>
              <w:right w:val="single" w:color="CCCCCC" w:sz="1"/>
            </w:tcBorders>
            <w:shd w:fill="1A4F8A"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shd w:fill="1E6644" w:val="clear"/>
            <w:tcMar>
              <w:top w:type="dxa" w:w="80"/>
              <w:left w:type="dxa" w:w="120"/>
              <w:bottom w:type="dxa" w:w="80"/>
              <w:right w:type="dxa" w:w="120"/>
            </w:tcMar>
          </w:tcPr>
          <w:p>
            <w:r>
              <w:rPr>
                <w:rFonts w:ascii="Arial" w:cs="Arial" w:eastAsia="Arial" w:hAnsi="Arial"/>
                <w:b/>
                <w:bCs/>
                <w:color w:val="1A4F8A"/>
                <w:sz w:val="20"/>
                <w:szCs w:val="20"/>
              </w:rPr>
              <w:t xml:space="preserve">Prime Borrowers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780+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1,20,000+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4F8A"/>
                <w:sz w:val="20"/>
                <w:szCs w:val="20"/>
              </w:rPr>
              <w:t xml:space="preserve">~10%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Grow — increase limits, offer top-ups</w:t>
            </w:r>
          </w:p>
        </w:tc>
      </w:tr>
      <w:tr>
        <w:tc>
          <w:tcPr>
            <w:tcW w:type="dxa" w:w="20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1A4F8A"/>
                <w:sz w:val="20"/>
                <w:szCs w:val="20"/>
              </w:rPr>
              <w:t xml:space="preserve">Near-Prime Borrowers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650–780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70,000–1,20,000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4F8A"/>
                <w:sz w:val="20"/>
                <w:szCs w:val="20"/>
              </w:rPr>
              <w:t xml:space="preserve">~24%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Maintain — standard terms, monitor</w:t>
            </w:r>
          </w:p>
        </w:tc>
      </w:tr>
      <w:tr>
        <w:tc>
          <w:tcPr>
            <w:tcW w:type="dxa" w:w="2000"/>
            <w:tcBorders>
              <w:top w:val="single" w:color="CCCCCC" w:sz="1"/>
              <w:left w:val="single" w:color="CCCCCC" w:sz="1"/>
              <w:bottom w:val="single" w:color="CCCCCC" w:sz="1"/>
              <w:right w:val="single" w:color="CCCCCC" w:sz="1"/>
            </w:tcBorders>
            <w:shd w:fill="854F0A" w:val="clear"/>
            <w:tcMar>
              <w:top w:type="dxa" w:w="80"/>
              <w:left w:type="dxa" w:w="120"/>
              <w:bottom w:type="dxa" w:w="80"/>
              <w:right w:type="dxa" w:w="120"/>
            </w:tcMar>
          </w:tcPr>
          <w:p>
            <w:r>
              <w:rPr>
                <w:rFonts w:ascii="Arial" w:cs="Arial" w:eastAsia="Arial" w:hAnsi="Arial"/>
                <w:b/>
                <w:bCs/>
                <w:color w:val="1A4F8A"/>
                <w:sz w:val="20"/>
                <w:szCs w:val="20"/>
              </w:rPr>
              <w:t xml:space="preserve">Subprime Borrowers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500–650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35,000–70,000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4F8A"/>
                <w:sz w:val="20"/>
                <w:szCs w:val="20"/>
              </w:rPr>
              <w:t xml:space="preserve">~35%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Monitor — rate +150bps, shorter tenure</w:t>
            </w:r>
          </w:p>
        </w:tc>
      </w:tr>
      <w:tr>
        <w:tc>
          <w:tcPr>
            <w:tcW w:type="dxa" w:w="200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tcPr>
          <w:p>
            <w:r>
              <w:rPr>
                <w:rFonts w:ascii="Arial" w:cs="Arial" w:eastAsia="Arial" w:hAnsi="Arial"/>
                <w:b/>
                <w:bCs/>
                <w:color w:val="1A4F8A"/>
                <w:sz w:val="20"/>
                <w:szCs w:val="20"/>
              </w:rPr>
              <w:t xml:space="preserve">High-Risk Borrowers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&lt;500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&lt;35,000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A4F8A"/>
                <w:sz w:val="20"/>
                <w:szCs w:val="20"/>
              </w:rPr>
              <w:t xml:space="preserve">~39%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Restrict — manual review, limit new credit</w:t>
            </w:r>
          </w:p>
        </w:tc>
      </w:tr>
    </w:tbl>
    <w:p>
      <w:pPr>
        <w:spacing w:after="160" w:before="0"/>
      </w:pPr>
      <w:r>
        <w:t xml:space="preserve"/>
      </w:r>
    </w:p>
    <w:p>
      <w:pPr>
        <w:pStyle w:val="Heading2"/>
        <w:spacing w:after="100" w:before="260"/>
      </w:pPr>
      <w:r>
        <w:rPr>
          <w:rFonts w:ascii="Arial" w:cs="Arial" w:eastAsia="Arial" w:hAnsi="Arial"/>
          <w:b/>
          <w:bCs/>
          <w:color w:val="1A4F8A"/>
          <w:sz w:val="26"/>
          <w:szCs w:val="26"/>
        </w:rPr>
        <w:t xml:space="preserve">2.2 Key Risk Drivers</w:t>
      </w:r>
    </w:p>
    <w:p>
      <w:pPr>
        <w:spacing w:after="100" w:before="60"/>
      </w:pPr>
      <w:r>
        <w:rPr>
          <w:rFonts w:ascii="Arial" w:cs="Arial" w:eastAsia="Arial" w:hAnsi="Arial"/>
          <w:color w:val="333333"/>
          <w:sz w:val="22"/>
          <w:szCs w:val="22"/>
        </w:rPr>
        <w:t xml:space="preserve">The following attributes were identified as the strongest predictors of default by the Random Forest model, in order of importance:</w:t>
      </w:r>
    </w:p>
    <w:p>
      <w:pPr>
        <w:spacing w:after="80" w:before="0"/>
      </w:pPr>
      <w:r>
        <w:t xml:space="preserve"/>
      </w:r>
    </w:p>
    <w:p>
      <w:pPr>
        <w:pStyle w:val="ListParagraph"/>
        <w:numPr>
          <w:ilvl w:val="0"/>
          <w:numId w:val="2"/>
        </w:numPr>
        <w:spacing w:after="60" w:before="40"/>
      </w:pPr>
      <w:r>
        <w:rPr>
          <w:rFonts w:ascii="Arial" w:cs="Arial" w:eastAsia="Arial" w:hAnsi="Arial"/>
          <w:color w:val="444444"/>
          <w:sz w:val="22"/>
          <w:szCs w:val="22"/>
        </w:rPr>
        <w:t xml:space="preserve">Default probability score (underwriting model output) — highest predictive power</w:t>
      </w:r>
    </w:p>
    <w:p>
      <w:pPr>
        <w:pStyle w:val="ListParagraph"/>
        <w:numPr>
          <w:ilvl w:val="0"/>
          <w:numId w:val="2"/>
        </w:numPr>
        <w:spacing w:after="60" w:before="40"/>
      </w:pPr>
      <w:r>
        <w:rPr>
          <w:rFonts w:ascii="Arial" w:cs="Arial" w:eastAsia="Arial" w:hAnsi="Arial"/>
          <w:color w:val="444444"/>
          <w:sz w:val="22"/>
          <w:szCs w:val="22"/>
        </w:rPr>
        <w:t xml:space="preserve">Credit score — borrowers below 550 show 3x average default rate</w:t>
      </w:r>
    </w:p>
    <w:p>
      <w:pPr>
        <w:pStyle w:val="ListParagraph"/>
        <w:numPr>
          <w:ilvl w:val="0"/>
          <w:numId w:val="2"/>
        </w:numPr>
        <w:spacing w:after="60" w:before="40"/>
      </w:pPr>
      <w:r>
        <w:rPr>
          <w:rFonts w:ascii="Arial" w:cs="Arial" w:eastAsia="Arial" w:hAnsi="Arial"/>
          <w:color w:val="444444"/>
          <w:sz w:val="22"/>
          <w:szCs w:val="22"/>
        </w:rPr>
        <w:t xml:space="preserve">Risk score (composite) — validated against actual default outcomes</w:t>
      </w:r>
    </w:p>
    <w:p>
      <w:pPr>
        <w:pStyle w:val="ListParagraph"/>
        <w:numPr>
          <w:ilvl w:val="0"/>
          <w:numId w:val="2"/>
        </w:numPr>
        <w:spacing w:after="60" w:before="40"/>
      </w:pPr>
      <w:r>
        <w:rPr>
          <w:rFonts w:ascii="Arial" w:cs="Arial" w:eastAsia="Arial" w:hAnsi="Arial"/>
          <w:color w:val="444444"/>
          <w:sz w:val="22"/>
          <w:szCs w:val="22"/>
        </w:rPr>
        <w:t xml:space="preserve">EMI-to-income ratio — borrowers above 0.50 show 19.6% default rate</w:t>
      </w:r>
    </w:p>
    <w:p>
      <w:pPr>
        <w:pStyle w:val="ListParagraph"/>
        <w:numPr>
          <w:ilvl w:val="0"/>
          <w:numId w:val="2"/>
        </w:numPr>
        <w:spacing w:after="60" w:before="40"/>
      </w:pPr>
      <w:r>
        <w:rPr>
          <w:rFonts w:ascii="Arial" w:cs="Arial" w:eastAsia="Arial" w:hAnsi="Arial"/>
          <w:color w:val="444444"/>
          <w:sz w:val="22"/>
          <w:szCs w:val="22"/>
        </w:rPr>
        <w:t xml:space="preserve">Monthly income — lower income strongly correlates with delinquency</w:t>
      </w:r>
    </w:p>
    <w:p>
      <w:pPr>
        <w:pStyle w:val="ListParagraph"/>
        <w:numPr>
          <w:ilvl w:val="0"/>
          <w:numId w:val="2"/>
        </w:numPr>
        <w:spacing w:after="60" w:before="40"/>
      </w:pPr>
      <w:r>
        <w:rPr>
          <w:rFonts w:ascii="Arial" w:cs="Arial" w:eastAsia="Arial" w:hAnsi="Arial"/>
          <w:color w:val="444444"/>
          <w:sz w:val="22"/>
          <w:szCs w:val="22"/>
        </w:rPr>
        <w:t xml:space="preserve">Employment type — Student borrowers default at 41.9%, unemployed at similar rates</w:t>
      </w:r>
    </w:p>
    <w:p>
      <w:pPr>
        <w:spacing w:after="120" w:before="0"/>
      </w:pPr>
      <w:r>
        <w:t xml:space="preserve"/>
      </w:r>
    </w:p>
    <w:p>
      <w:pPr>
        <w:pStyle w:val="Heading2"/>
        <w:spacing w:after="100" w:before="260"/>
      </w:pPr>
      <w:r>
        <w:rPr>
          <w:rFonts w:ascii="Arial" w:cs="Arial" w:eastAsia="Arial" w:hAnsi="Arial"/>
          <w:b/>
          <w:bCs/>
          <w:color w:val="1A4F8A"/>
          <w:sz w:val="26"/>
          <w:szCs w:val="26"/>
        </w:rPr>
        <w:t xml:space="preserve">2.3 High-Risk Product Combinations</w:t>
      </w:r>
    </w:p>
    <w:p>
      <w:pPr>
        <w:spacing w:after="100" w:before="60"/>
      </w:pPr>
      <w:r>
        <w:rPr>
          <w:rFonts w:ascii="Arial" w:cs="Arial" w:eastAsia="Arial" w:hAnsi="Arial"/>
          <w:color w:val="333333"/>
          <w:sz w:val="22"/>
          <w:szCs w:val="22"/>
        </w:rPr>
        <w:t xml:space="preserve">The following loan purpose and risk category combinations show alarming default rates and require immediate attention:</w:t>
      </w:r>
    </w:p>
    <w:p>
      <w:pPr>
        <w:spacing w:after="80" w:before="0"/>
      </w:pPr>
      <w:r>
        <w:t xml:space="preserve"/>
      </w:r>
    </w:p>
    <w:p>
      <w:pPr>
        <w:pStyle w:val="ListParagraph"/>
        <w:numPr>
          <w:ilvl w:val="0"/>
          <w:numId w:val="2"/>
        </w:numPr>
        <w:spacing w:after="60" w:before="40"/>
      </w:pPr>
      <w:r>
        <w:rPr>
          <w:rFonts w:ascii="Arial" w:cs="Arial" w:eastAsia="Arial" w:hAnsi="Arial"/>
          <w:color w:val="444444"/>
          <w:sz w:val="22"/>
          <w:szCs w:val="22"/>
        </w:rPr>
        <w:t xml:space="preserve">Education loans — 41.9% default rate across all risk categories</w:t>
      </w:r>
    </w:p>
    <w:p>
      <w:pPr>
        <w:pStyle w:val="ListParagraph"/>
        <w:numPr>
          <w:ilvl w:val="0"/>
          <w:numId w:val="2"/>
        </w:numPr>
        <w:spacing w:after="60" w:before="40"/>
      </w:pPr>
      <w:r>
        <w:rPr>
          <w:rFonts w:ascii="Arial" w:cs="Arial" w:eastAsia="Arial" w:hAnsi="Arial"/>
          <w:color w:val="444444"/>
          <w:sz w:val="22"/>
          <w:szCs w:val="22"/>
        </w:rPr>
        <w:t xml:space="preserve">Personal loans in High risk category — 29.9% default rate</w:t>
      </w:r>
    </w:p>
    <w:p>
      <w:pPr>
        <w:pStyle w:val="ListParagraph"/>
        <w:numPr>
          <w:ilvl w:val="0"/>
          <w:numId w:val="2"/>
        </w:numPr>
        <w:spacing w:after="60" w:before="40"/>
      </w:pPr>
      <w:r>
        <w:rPr>
          <w:rFonts w:ascii="Arial" w:cs="Arial" w:eastAsia="Arial" w:hAnsi="Arial"/>
          <w:color w:val="444444"/>
          <w:sz w:val="22"/>
          <w:szCs w:val="22"/>
        </w:rPr>
        <w:t xml:space="preserve">Medical loans in High risk category — 24.2% default rate</w:t>
      </w:r>
    </w:p>
    <w:p>
      <w:pPr>
        <w:pStyle w:val="ListParagraph"/>
        <w:numPr>
          <w:ilvl w:val="0"/>
          <w:numId w:val="2"/>
        </w:numPr>
        <w:spacing w:after="60" w:before="40"/>
      </w:pPr>
      <w:r>
        <w:rPr>
          <w:rFonts w:ascii="Arial" w:cs="Arial" w:eastAsia="Arial" w:hAnsi="Arial"/>
          <w:color w:val="444444"/>
          <w:sz w:val="22"/>
          <w:szCs w:val="22"/>
        </w:rPr>
        <w:t xml:space="preserve">Vehicle loans in Medium-High risk — elevated and trending upward</w:t>
      </w:r>
    </w:p>
    <w:p>
      <w:r>
        <w:br w:type="page"/>
      </w:r>
    </w:p>
    <w:p>
      <w:pPr>
        <w:pStyle w:val="Heading1"/>
        <w:pBdr>
          <w:bottom w:val="single" w:color="2E75B6" w:sz="6" w:space="4"/>
        </w:pBdr>
        <w:spacing w:after="160" w:before="360"/>
      </w:pPr>
      <w:r>
        <w:rPr>
          <w:rFonts w:ascii="Arial" w:cs="Arial" w:eastAsia="Arial" w:hAnsi="Arial"/>
          <w:b/>
          <w:bCs/>
          <w:color w:val="1A4F8A"/>
          <w:sz w:val="32"/>
          <w:szCs w:val="32"/>
        </w:rPr>
        <w:t xml:space="preserve">3. Early Warning Signal Logic</w:t>
      </w:r>
    </w:p>
    <w:p>
      <w:pPr>
        <w:spacing w:after="100" w:before="60"/>
      </w:pPr>
      <w:r>
        <w:rPr>
          <w:rFonts w:ascii="Arial" w:cs="Arial" w:eastAsia="Arial" w:hAnsi="Arial"/>
          <w:color w:val="333333"/>
          <w:sz w:val="22"/>
          <w:szCs w:val="22"/>
        </w:rPr>
        <w:t xml:space="preserve">A Random Forest classifier was trained on 30+ features spanning customer demographics, loan characteristics, repayment history, and behavioral signals. The model outputs a risk score between 0 and 100 for each borrower, which is mapped to one of three intervention tiers.</w:t>
      </w:r>
    </w:p>
    <w:p>
      <w:pPr>
        <w:spacing w:after="80" w:before="0"/>
      </w:pPr>
      <w:r>
        <w:t xml:space="preserve"/>
      </w:r>
    </w:p>
    <w:p>
      <w:pPr>
        <w:spacing w:after="100" w:before="60"/>
      </w:pPr>
      <w:r>
        <w:rPr>
          <w:rFonts w:ascii="Arial" w:cs="Arial" w:eastAsia="Arial" w:hAnsi="Arial"/>
          <w:color w:val="333333"/>
          <w:sz w:val="22"/>
          <w:szCs w:val="22"/>
        </w:rPr>
        <w:t xml:space="preserve">The model achieves a strong AUC-ROC score, significantly outperforming the existing rule-based risk categorization. The top predictive features — default probability, credit score, risk score, EMI-to-income ratio, and payment completion rate — form the backbone of the early warning logic.</w:t>
      </w:r>
    </w:p>
    <w:p>
      <w:pPr>
        <w:spacing w:after="120" w:before="0"/>
      </w:pPr>
      <w:r>
        <w:t xml:space="preserve"/>
      </w:r>
    </w:p>
    <w:p>
      <w:pPr>
        <w:pStyle w:val="Heading2"/>
        <w:spacing w:after="100" w:before="260"/>
      </w:pPr>
      <w:r>
        <w:rPr>
          <w:rFonts w:ascii="Arial" w:cs="Arial" w:eastAsia="Arial" w:hAnsi="Arial"/>
          <w:b/>
          <w:bCs/>
          <w:color w:val="1A4F8A"/>
          <w:sz w:val="26"/>
          <w:szCs w:val="26"/>
        </w:rPr>
        <w:t xml:space="preserve">3.1 Three-Tier Risk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3120"/>
            <w:tcBorders>
              <w:top w:val="single" w:color="CCCCCC" w:sz="1"/>
              <w:left w:val="single" w:color="CCCCCC" w:sz="1"/>
              <w:bottom w:val="single" w:color="CCCCCC" w:sz="1"/>
              <w:right w:val="single" w:color="CCCCCC" w:sz="1"/>
            </w:tcBorders>
            <w:shd w:fill="1A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Risk Tier</w:t>
            </w:r>
          </w:p>
        </w:tc>
        <w:tc>
          <w:tcPr>
            <w:tcW w:type="dxa" w:w="3120"/>
            <w:tcBorders>
              <w:top w:val="single" w:color="CCCCCC" w:sz="1"/>
              <w:left w:val="single" w:color="CCCCCC" w:sz="1"/>
              <w:bottom w:val="single" w:color="CCCCCC" w:sz="1"/>
              <w:right w:val="single" w:color="CCCCCC" w:sz="1"/>
            </w:tcBorders>
            <w:shd w:fill="1A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ML Score</w:t>
            </w:r>
          </w:p>
        </w:tc>
        <w:tc>
          <w:tcPr>
            <w:tcW w:type="dxa" w:w="3120"/>
            <w:tcBorders>
              <w:top w:val="single" w:color="CCCCCC" w:sz="1"/>
              <w:left w:val="single" w:color="CCCCCC" w:sz="1"/>
              <w:bottom w:val="single" w:color="CCCCCC" w:sz="1"/>
              <w:right w:val="single" w:color="CCCCCC" w:sz="1"/>
            </w:tcBorders>
            <w:shd w:fill="1A4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Policy Action</w:t>
            </w:r>
          </w:p>
        </w:tc>
      </w:tr>
      <w:tr>
        <w:tc>
          <w:tcPr>
            <w:tcW w:type="dxa" w:w="2800"/>
            <w:tcBorders>
              <w:top w:val="single" w:color="CCCCCC" w:sz="1"/>
              <w:left w:val="single" w:color="CCCCCC" w:sz="1"/>
              <w:bottom w:val="single" w:color="CCCCCC" w:sz="1"/>
              <w:right w:val="single" w:color="CCCCCC" w:sz="1"/>
            </w:tcBorders>
            <w:shd w:fill="D4EDDA" w:val="clear"/>
            <w:tcMar>
              <w:top w:type="dxa" w:w="100"/>
              <w:left w:type="dxa" w:w="120"/>
              <w:bottom w:type="dxa" w:w="100"/>
              <w:right w:type="dxa" w:w="120"/>
            </w:tcMar>
          </w:tcPr>
          <w:p>
            <w:r>
              <w:rPr>
                <w:rFonts w:ascii="Arial" w:cs="Arial" w:eastAsia="Arial" w:hAnsi="Arial"/>
                <w:b/>
                <w:bCs/>
                <w:color w:val="1E6644"/>
                <w:sz w:val="20"/>
                <w:szCs w:val="20"/>
              </w:rPr>
              <w:t xml:space="preserve">🟢 GREEN — Prime</w:t>
            </w:r>
          </w:p>
        </w:tc>
        <w:tc>
          <w:tcPr>
            <w:tcW w:type="dxa" w:w="1400"/>
            <w:tcBorders>
              <w:top w:val="single" w:color="CCCCCC" w:sz="1"/>
              <w:left w:val="single" w:color="CCCCCC" w:sz="1"/>
              <w:bottom w:val="single" w:color="CCCCCC" w:sz="1"/>
              <w:right w:val="single" w:color="CCCCCC" w:sz="1"/>
            </w:tcBorders>
            <w:shd w:fill="D4EDDA" w:val="clear"/>
            <w:tcMar>
              <w:top w:type="dxa" w:w="100"/>
              <w:left w:type="dxa" w:w="120"/>
              <w:bottom w:type="dxa" w:w="100"/>
              <w:right w:type="dxa" w:w="120"/>
            </w:tcMar>
          </w:tcPr>
          <w:p>
            <w:pPr>
              <w:jc w:val="center"/>
            </w:pPr>
            <w:r>
              <w:rPr>
                <w:rFonts w:ascii="Arial" w:cs="Arial" w:eastAsia="Arial" w:hAnsi="Arial"/>
                <w:b/>
                <w:bCs/>
                <w:color w:val="1E6644"/>
                <w:sz w:val="20"/>
                <w:szCs w:val="20"/>
              </w:rPr>
              <w:t xml:space="preserve">0 – 34</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44444"/>
                <w:sz w:val="20"/>
                <w:szCs w:val="20"/>
              </w:rPr>
              <w:t xml:space="preserve">Standard processing. Eligible for top-up loans and pre-approved offers. Monthly monitoring.</w:t>
            </w:r>
          </w:p>
        </w:tc>
      </w:tr>
      <w:tr>
        <w:tc>
          <w:tcPr>
            <w:tcW w:type="dxa" w:w="280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rFonts w:ascii="Arial" w:cs="Arial" w:eastAsia="Arial" w:hAnsi="Arial"/>
                <w:b/>
                <w:bCs/>
                <w:color w:val="854F0A"/>
                <w:sz w:val="20"/>
                <w:szCs w:val="20"/>
              </w:rPr>
              <w:t xml:space="preserve">🟡 AMBER — Watch</w:t>
            </w:r>
          </w:p>
        </w:tc>
        <w:tc>
          <w:tcPr>
            <w:tcW w:type="dxa" w:w="140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pPr>
              <w:jc w:val="center"/>
            </w:pPr>
            <w:r>
              <w:rPr>
                <w:rFonts w:ascii="Arial" w:cs="Arial" w:eastAsia="Arial" w:hAnsi="Arial"/>
                <w:b/>
                <w:bCs/>
                <w:color w:val="854F0A"/>
                <w:sz w:val="20"/>
                <w:szCs w:val="20"/>
              </w:rPr>
              <w:t xml:space="preserve">35 – 64</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44444"/>
                <w:sz w:val="20"/>
                <w:szCs w:val="20"/>
              </w:rPr>
              <w:t xml:space="preserve">Enhanced monitoring. Interest rate increase of +150bps. Shorter tenure. Bi-weekly check-in call.</w:t>
            </w:r>
          </w:p>
        </w:tc>
      </w:tr>
      <w:tr>
        <w:tc>
          <w:tcPr>
            <w:tcW w:type="dxa" w:w="2800"/>
            <w:tcBorders>
              <w:top w:val="single" w:color="CCCCCC" w:sz="1"/>
              <w:left w:val="single" w:color="CCCCCC" w:sz="1"/>
              <w:bottom w:val="single" w:color="CCCCCC" w:sz="1"/>
              <w:right w:val="single" w:color="CCCCCC" w:sz="1"/>
            </w:tcBorders>
            <w:shd w:fill="FAECE7" w:val="clear"/>
            <w:tcMar>
              <w:top w:type="dxa" w:w="100"/>
              <w:left w:type="dxa" w:w="120"/>
              <w:bottom w:type="dxa" w:w="100"/>
              <w:right w:type="dxa" w:w="120"/>
            </w:tcMar>
          </w:tcPr>
          <w:p>
            <w:r>
              <w:rPr>
                <w:rFonts w:ascii="Arial" w:cs="Arial" w:eastAsia="Arial" w:hAnsi="Arial"/>
                <w:b/>
                <w:bCs/>
                <w:color w:val="993C1D"/>
                <w:sz w:val="20"/>
                <w:szCs w:val="20"/>
              </w:rPr>
              <w:t xml:space="preserve">🔴 RED — High Risk</w:t>
            </w:r>
          </w:p>
        </w:tc>
        <w:tc>
          <w:tcPr>
            <w:tcW w:type="dxa" w:w="1400"/>
            <w:tcBorders>
              <w:top w:val="single" w:color="CCCCCC" w:sz="1"/>
              <w:left w:val="single" w:color="CCCCCC" w:sz="1"/>
              <w:bottom w:val="single" w:color="CCCCCC" w:sz="1"/>
              <w:right w:val="single" w:color="CCCCCC" w:sz="1"/>
            </w:tcBorders>
            <w:shd w:fill="FAECE7" w:val="clear"/>
            <w:tcMar>
              <w:top w:type="dxa" w:w="100"/>
              <w:left w:type="dxa" w:w="120"/>
              <w:bottom w:type="dxa" w:w="100"/>
              <w:right w:type="dxa" w:w="120"/>
            </w:tcMar>
          </w:tcPr>
          <w:p>
            <w:pPr>
              <w:jc w:val="center"/>
            </w:pPr>
            <w:r>
              <w:rPr>
                <w:rFonts w:ascii="Arial" w:cs="Arial" w:eastAsia="Arial" w:hAnsi="Arial"/>
                <w:b/>
                <w:bCs/>
                <w:color w:val="993C1D"/>
                <w:sz w:val="20"/>
                <w:szCs w:val="20"/>
              </w:rPr>
              <w:t xml:space="preserve">65 – 100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444444"/>
                <w:sz w:val="20"/>
                <w:szCs w:val="20"/>
              </w:rPr>
              <w:t xml:space="preserve">Manual underwriter review. Restrict new credit. Immediate collections alert. Senior escalation.</w:t>
            </w:r>
          </w:p>
        </w:tc>
      </w:tr>
    </w:tbl>
    <w:p>
      <w:pPr>
        <w:spacing w:after="160" w:before="0"/>
      </w:pPr>
      <w:r>
        <w:t xml:space="preserve"/>
      </w:r>
    </w:p>
    <w:p>
      <w:pPr>
        <w:pStyle w:val="Heading2"/>
        <w:spacing w:after="100" w:before="260"/>
      </w:pPr>
      <w:r>
        <w:rPr>
          <w:rFonts w:ascii="Arial" w:cs="Arial" w:eastAsia="Arial" w:hAnsi="Arial"/>
          <w:b/>
          <w:bCs/>
          <w:color w:val="1A4F8A"/>
          <w:sz w:val="26"/>
          <w:szCs w:val="26"/>
        </w:rPr>
        <w:t xml:space="preserve">3.2 Trigger Signals</w:t>
      </w:r>
    </w:p>
    <w:p>
      <w:pPr>
        <w:spacing w:after="100" w:before="60"/>
      </w:pPr>
      <w:r>
        <w:rPr>
          <w:rFonts w:ascii="Arial" w:cs="Arial" w:eastAsia="Arial" w:hAnsi="Arial"/>
          <w:color w:val="333333"/>
          <w:sz w:val="22"/>
          <w:szCs w:val="22"/>
        </w:rPr>
        <w:t xml:space="preserve">The following behavioral and transactional signals automatically elevate a borrower's risk tier:</w:t>
      </w:r>
    </w:p>
    <w:p>
      <w:pPr>
        <w:spacing w:after="80" w:before="0"/>
      </w:pPr>
      <w:r>
        <w:t xml:space="preserve"/>
      </w:r>
    </w:p>
    <w:p>
      <w:pPr>
        <w:pStyle w:val="ListParagraph"/>
        <w:numPr>
          <w:ilvl w:val="0"/>
          <w:numId w:val="2"/>
        </w:numPr>
        <w:spacing w:after="60" w:before="40"/>
      </w:pPr>
      <w:r>
        <w:rPr>
          <w:rFonts w:ascii="Arial" w:cs="Arial" w:eastAsia="Arial" w:hAnsi="Arial"/>
          <w:color w:val="444444"/>
          <w:sz w:val="22"/>
          <w:szCs w:val="22"/>
        </w:rPr>
        <w:t xml:space="preserve">Payment completion rate drops below 80% — triggers Amber classification</w:t>
      </w:r>
    </w:p>
    <w:p>
      <w:pPr>
        <w:pStyle w:val="ListParagraph"/>
        <w:numPr>
          <w:ilvl w:val="0"/>
          <w:numId w:val="2"/>
        </w:numPr>
        <w:spacing w:after="60" w:before="40"/>
      </w:pPr>
      <w:r>
        <w:rPr>
          <w:rFonts w:ascii="Arial" w:cs="Arial" w:eastAsia="Arial" w:hAnsi="Arial"/>
          <w:color w:val="444444"/>
          <w:sz w:val="22"/>
          <w:szCs w:val="22"/>
        </w:rPr>
        <w:t xml:space="preserve">Two or more consecutive missed EMI payments — triggers Red classification</w:t>
      </w:r>
    </w:p>
    <w:p>
      <w:pPr>
        <w:pStyle w:val="ListParagraph"/>
        <w:numPr>
          <w:ilvl w:val="0"/>
          <w:numId w:val="2"/>
        </w:numPr>
        <w:spacing w:after="60" w:before="40"/>
      </w:pPr>
      <w:r>
        <w:rPr>
          <w:rFonts w:ascii="Arial" w:cs="Arial" w:eastAsia="Arial" w:hAnsi="Arial"/>
          <w:color w:val="444444"/>
          <w:sz w:val="22"/>
          <w:szCs w:val="22"/>
        </w:rPr>
        <w:t xml:space="preserve">Balance volatility score exceeds 0.7 — triggers Amber review</w:t>
      </w:r>
    </w:p>
    <w:p>
      <w:pPr>
        <w:pStyle w:val="ListParagraph"/>
        <w:numPr>
          <w:ilvl w:val="0"/>
          <w:numId w:val="2"/>
        </w:numPr>
        <w:spacing w:after="60" w:before="40"/>
      </w:pPr>
      <w:r>
        <w:rPr>
          <w:rFonts w:ascii="Arial" w:cs="Arial" w:eastAsia="Arial" w:hAnsi="Arial"/>
          <w:color w:val="444444"/>
          <w:sz w:val="22"/>
          <w:szCs w:val="22"/>
        </w:rPr>
        <w:t xml:space="preserve">Spending shock detected in two consecutive months — triggers enhanced monitoring</w:t>
      </w:r>
    </w:p>
    <w:p>
      <w:pPr>
        <w:pStyle w:val="ListParagraph"/>
        <w:numPr>
          <w:ilvl w:val="0"/>
          <w:numId w:val="2"/>
        </w:numPr>
        <w:spacing w:after="60" w:before="40"/>
      </w:pPr>
      <w:r>
        <w:rPr>
          <w:rFonts w:ascii="Arial" w:cs="Arial" w:eastAsia="Arial" w:hAnsi="Arial"/>
          <w:color w:val="444444"/>
          <w:sz w:val="22"/>
          <w:szCs w:val="22"/>
        </w:rPr>
        <w:t xml:space="preserve">EMI-to-income ratio exceeds 0.50 — flags for underwriting review</w:t>
      </w:r>
    </w:p>
    <w:p>
      <w:pPr>
        <w:pStyle w:val="ListParagraph"/>
        <w:numPr>
          <w:ilvl w:val="0"/>
          <w:numId w:val="2"/>
        </w:numPr>
        <w:spacing w:after="60" w:before="40"/>
      </w:pPr>
      <w:r>
        <w:rPr>
          <w:rFonts w:ascii="Arial" w:cs="Arial" w:eastAsia="Arial" w:hAnsi="Arial"/>
          <w:color w:val="444444"/>
          <w:sz w:val="22"/>
          <w:szCs w:val="22"/>
        </w:rPr>
        <w:t xml:space="preserve">Days past due exceeds 30 — immediate Red classification and collections alert</w:t>
      </w:r>
    </w:p>
    <w:p>
      <w:pPr>
        <w:spacing w:after="120" w:before="0"/>
      </w:pPr>
      <w:r>
        <w:t xml:space="preserve"/>
      </w:r>
    </w:p>
    <w:p>
      <w:pPr>
        <w:pStyle w:val="Heading2"/>
        <w:spacing w:after="100" w:before="260"/>
      </w:pPr>
      <w:r>
        <w:rPr>
          <w:rFonts w:ascii="Arial" w:cs="Arial" w:eastAsia="Arial" w:hAnsi="Arial"/>
          <w:b/>
          <w:bCs/>
          <w:color w:val="1A4F8A"/>
          <w:sz w:val="26"/>
          <w:szCs w:val="26"/>
        </w:rPr>
        <w:t xml:space="preserve">3.3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20"/>
              <w:bottom w:type="dxa" w:w="160"/>
              <w:right w:type="dxa" w:w="220"/>
            </w:tcMar>
          </w:tcPr>
          <w:p>
            <w:pPr>
              <w:spacing w:after="60" w:before="0"/>
            </w:pPr>
            <w:r>
              <w:rPr>
                <w:rFonts w:ascii="Arial" w:cs="Arial" w:eastAsia="Arial" w:hAnsi="Arial"/>
                <w:b/>
                <w:bCs/>
                <w:color w:val="333333"/>
                <w:sz w:val="20"/>
                <w:szCs w:val="20"/>
              </w:rPr>
              <w:t xml:space="preserve">Model Metrics</w:t>
            </w:r>
          </w:p>
          <w:p>
            <w:pPr>
              <w:spacing w:after="40" w:before="0"/>
            </w:pPr>
            <w:r>
              <w:rPr>
                <w:rFonts w:ascii="Arial" w:cs="Arial" w:eastAsia="Arial" w:hAnsi="Arial"/>
                <w:color w:val="333333"/>
                <w:sz w:val="20"/>
                <w:szCs w:val="20"/>
              </w:rPr>
              <w:t xml:space="preserve">Algorithm: Random Forest Classifier (100 estimators, max depth 8, class-weight balanced)</w:t>
            </w:r>
          </w:p>
          <w:p>
            <w:pPr>
              <w:spacing w:after="40" w:before="0"/>
            </w:pPr>
            <w:r>
              <w:rPr>
                <w:rFonts w:ascii="Arial" w:cs="Arial" w:eastAsia="Arial" w:hAnsi="Arial"/>
                <w:color w:val="333333"/>
                <w:sz w:val="20"/>
                <w:szCs w:val="20"/>
              </w:rPr>
              <w:t xml:space="preserve">AUC-ROC: Significantly above 0.80 — strong discriminative power between default and non-default</w:t>
            </w:r>
          </w:p>
          <w:p>
            <w:pPr>
              <w:spacing w:after="40" w:before="0"/>
            </w:pPr>
            <w:r>
              <w:rPr>
                <w:rFonts w:ascii="Arial" w:cs="Arial" w:eastAsia="Arial" w:hAnsi="Arial"/>
                <w:color w:val="333333"/>
                <w:sz w:val="20"/>
                <w:szCs w:val="20"/>
              </w:rPr>
              <w:t xml:space="preserve">Enhanced Model (with repayment + behavioral features): Further improvement in precision and recall</w:t>
            </w:r>
          </w:p>
          <w:p>
            <w:pPr>
              <w:spacing w:after="40" w:before="0"/>
            </w:pPr>
            <w:r>
              <w:rPr>
                <w:rFonts w:ascii="Arial" w:cs="Arial" w:eastAsia="Arial" w:hAnsi="Arial"/>
                <w:color w:val="333333"/>
                <w:sz w:val="20"/>
                <w:szCs w:val="20"/>
              </w:rPr>
              <w:t xml:space="preserve">Top 5 features: default_probability, credit_score, risk_score, emi_to_income_ratio, payment_completion_rate</w:t>
            </w:r>
          </w:p>
        </w:tc>
      </w:tr>
    </w:tbl>
    <w:p>
      <w:r>
        <w:br w:type="page"/>
      </w:r>
    </w:p>
    <w:p>
      <w:pPr>
        <w:pStyle w:val="Heading1"/>
        <w:pBdr>
          <w:bottom w:val="single" w:color="2E75B6" w:sz="6" w:space="4"/>
        </w:pBdr>
        <w:spacing w:after="160" w:before="360"/>
      </w:pPr>
      <w:r>
        <w:rPr>
          <w:rFonts w:ascii="Arial" w:cs="Arial" w:eastAsia="Arial" w:hAnsi="Arial"/>
          <w:b/>
          <w:bCs/>
          <w:color w:val="1A4F8A"/>
          <w:sz w:val="32"/>
          <w:szCs w:val="32"/>
        </w:rPr>
        <w:t xml:space="preserve">4. Policy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20"/>
              <w:bottom w:type="dxa" w:w="160"/>
              <w:right w:type="dxa" w:w="220"/>
            </w:tcMar>
          </w:tcPr>
          <w:p>
            <w:pPr>
              <w:spacing w:after="60" w:before="0"/>
            </w:pPr>
            <w:r>
              <w:rPr>
                <w:rFonts w:ascii="Arial" w:cs="Arial" w:eastAsia="Arial" w:hAnsi="Arial"/>
                <w:b/>
                <w:bCs/>
                <w:color w:val="1A4F8A"/>
                <w:sz w:val="20"/>
                <w:szCs w:val="20"/>
              </w:rPr>
              <w:t xml:space="preserve">Primary Recommendation</w:t>
            </w:r>
          </w:p>
          <w:p>
            <w:pPr>
              <w:spacing w:after="40" w:before="0"/>
            </w:pPr>
            <w:r>
              <w:rPr>
                <w:rFonts w:ascii="Arial" w:cs="Arial" w:eastAsia="Arial" w:hAnsi="Arial"/>
                <w:color w:val="1A4F8A"/>
                <w:sz w:val="20"/>
                <w:szCs w:val="20"/>
              </w:rPr>
              <w:t xml:space="preserve">Implement the 3-Tier Early Warning System with a mandatory EMI-to-income cap of 0.50</w:t>
            </w:r>
          </w:p>
          <w:p>
            <w:pPr>
              <w:spacing w:after="40" w:before="0"/>
            </w:pPr>
            <w:r>
              <w:rPr>
                <w:rFonts w:ascii="Arial" w:cs="Arial" w:eastAsia="Arial" w:hAnsi="Arial"/>
                <w:color w:val="1A4F8A"/>
                <w:sz w:val="20"/>
                <w:szCs w:val="20"/>
              </w:rPr>
              <w:t xml:space="preserve">at the point of underwriting, effective immediately across all loan products and segments.</w:t>
            </w:r>
          </w:p>
        </w:tc>
      </w:tr>
    </w:tbl>
    <w:p>
      <w:pPr>
        <w:spacing w:after="160" w:before="0"/>
      </w:pPr>
      <w:r>
        <w:t xml:space="preserve"/>
      </w:r>
    </w:p>
    <w:p>
      <w:pPr>
        <w:pStyle w:val="Heading2"/>
        <w:spacing w:after="100" w:before="260"/>
      </w:pPr>
      <w:r>
        <w:rPr>
          <w:rFonts w:ascii="Arial" w:cs="Arial" w:eastAsia="Arial" w:hAnsi="Arial"/>
          <w:b/>
          <w:bCs/>
          <w:color w:val="1A4F8A"/>
          <w:sz w:val="26"/>
          <w:szCs w:val="26"/>
        </w:rPr>
        <w:t xml:space="preserve">4.1 Specific Actions</w:t>
      </w:r>
    </w:p>
    <w:p>
      <w:pPr>
        <w:spacing w:after="80" w:before="0"/>
      </w:pPr>
      <w:r>
        <w:t xml:space="preserve"/>
      </w:r>
    </w:p>
    <w:p>
      <w:pPr>
        <w:spacing w:after="80" w:before="180"/>
      </w:pPr>
      <w:r>
        <w:rPr>
          <w:rFonts w:ascii="Arial" w:cs="Arial" w:eastAsia="Arial" w:hAnsi="Arial"/>
          <w:b/>
          <w:bCs/>
          <w:color w:val="333333"/>
          <w:sz w:val="22"/>
          <w:szCs w:val="22"/>
        </w:rPr>
        <w:t xml:space="preserve">Action 1 — Hard EMI-to-Income Cap at 0.50</w:t>
      </w:r>
    </w:p>
    <w:p>
      <w:pPr>
        <w:spacing w:after="100" w:before="60"/>
      </w:pPr>
      <w:r>
        <w:rPr>
          <w:rFonts w:ascii="Arial" w:cs="Arial" w:eastAsia="Arial" w:hAnsi="Arial"/>
          <w:color w:val="333333"/>
          <w:sz w:val="22"/>
          <w:szCs w:val="22"/>
        </w:rPr>
        <w:t xml:space="preserve">Introduce a non-negotiable underwriting rule: no loan may be approved where the borrower's total EMI-to-income ratio exceeds 0.50. This single rule addresses one of the strongest default predictors identified in the analysis. Exceptions require senior credit officer approval with documented justification.</w:t>
      </w:r>
    </w:p>
    <w:p>
      <w:pPr>
        <w:spacing w:after="120" w:before="0"/>
      </w:pPr>
      <w:r>
        <w:t xml:space="preserve"/>
      </w:r>
    </w:p>
    <w:p>
      <w:pPr>
        <w:spacing w:after="80" w:before="180"/>
      </w:pPr>
      <w:r>
        <w:rPr>
          <w:rFonts w:ascii="Arial" w:cs="Arial" w:eastAsia="Arial" w:hAnsi="Arial"/>
          <w:b/>
          <w:bCs/>
          <w:color w:val="333333"/>
          <w:sz w:val="22"/>
          <w:szCs w:val="22"/>
        </w:rPr>
        <w:t xml:space="preserve">Action 2 — Restrict Education Loans for High-Risk Borrowers</w:t>
      </w:r>
    </w:p>
    <w:p>
      <w:pPr>
        <w:spacing w:after="100" w:before="60"/>
      </w:pPr>
      <w:r>
        <w:rPr>
          <w:rFonts w:ascii="Arial" w:cs="Arial" w:eastAsia="Arial" w:hAnsi="Arial"/>
          <w:color w:val="333333"/>
          <w:sz w:val="22"/>
          <w:szCs w:val="22"/>
        </w:rPr>
        <w:t xml:space="preserve">Education loans carry the highest default rate in the portfolio at 41.9%. Immediately restrict Education loan approvals for borrowers classified as High risk. For Medium risk borrowers, require a co-applicant or guarantor as a mandatory condition for Education loan approval.</w:t>
      </w:r>
    </w:p>
    <w:p>
      <w:pPr>
        <w:spacing w:after="120" w:before="0"/>
      </w:pPr>
      <w:r>
        <w:t xml:space="preserve"/>
      </w:r>
    </w:p>
    <w:p>
      <w:pPr>
        <w:spacing w:after="80" w:before="180"/>
      </w:pPr>
      <w:r>
        <w:rPr>
          <w:rFonts w:ascii="Arial" w:cs="Arial" w:eastAsia="Arial" w:hAnsi="Arial"/>
          <w:b/>
          <w:bCs/>
          <w:color w:val="333333"/>
          <w:sz w:val="22"/>
          <w:szCs w:val="22"/>
        </w:rPr>
        <w:t xml:space="preserve">Action 3 — Reprice Amber-Tier Borrowers</w:t>
      </w:r>
    </w:p>
    <w:p>
      <w:pPr>
        <w:spacing w:after="100" w:before="60"/>
      </w:pPr>
      <w:r>
        <w:rPr>
          <w:rFonts w:ascii="Arial" w:cs="Arial" w:eastAsia="Arial" w:hAnsi="Arial"/>
          <w:color w:val="333333"/>
          <w:sz w:val="22"/>
          <w:szCs w:val="22"/>
        </w:rPr>
        <w:t xml:space="preserve">Amber-tier borrowers (risk score 35–64) are currently being underpriced relative to their actual default risk. Apply an immediate interest rate premium of +150 basis points for all new Amber-tier approvals. This improves risk-adjusted return without reducing approval volumes for this segment.</w:t>
      </w:r>
    </w:p>
    <w:p>
      <w:pPr>
        <w:spacing w:after="120" w:before="0"/>
      </w:pPr>
      <w:r>
        <w:t xml:space="preserve"/>
      </w:r>
    </w:p>
    <w:p>
      <w:pPr>
        <w:spacing w:after="80" w:before="180"/>
      </w:pPr>
      <w:r>
        <w:rPr>
          <w:rFonts w:ascii="Arial" w:cs="Arial" w:eastAsia="Arial" w:hAnsi="Arial"/>
          <w:b/>
          <w:bCs/>
          <w:color w:val="333333"/>
          <w:sz w:val="22"/>
          <w:szCs w:val="22"/>
        </w:rPr>
        <w:t xml:space="preserve">Action 4 — Reduce Tenure for High-Risk Loans</w:t>
      </w:r>
    </w:p>
    <w:p>
      <w:pPr>
        <w:spacing w:after="100" w:before="60"/>
      </w:pPr>
      <w:r>
        <w:rPr>
          <w:rFonts w:ascii="Arial" w:cs="Arial" w:eastAsia="Arial" w:hAnsi="Arial"/>
          <w:color w:val="333333"/>
          <w:sz w:val="22"/>
          <w:szCs w:val="22"/>
        </w:rPr>
        <w:t xml:space="preserve">Longer tenures increase cumulative default exposure. For borrowers classified as Amber or Red, cap maximum loan tenure at 36 months. This reduces the window of default risk and improves portfolio liquidity.</w:t>
      </w:r>
    </w:p>
    <w:p>
      <w:pPr>
        <w:spacing w:after="120" w:before="0"/>
      </w:pPr>
      <w:r>
        <w:t xml:space="preserve"/>
      </w:r>
    </w:p>
    <w:p>
      <w:pPr>
        <w:spacing w:after="80" w:before="180"/>
      </w:pPr>
      <w:r>
        <w:rPr>
          <w:rFonts w:ascii="Arial" w:cs="Arial" w:eastAsia="Arial" w:hAnsi="Arial"/>
          <w:b/>
          <w:bCs/>
          <w:color w:val="333333"/>
          <w:sz w:val="22"/>
          <w:szCs w:val="22"/>
        </w:rPr>
        <w:t xml:space="preserve">Action 5 — Channel Reallocation</w:t>
      </w:r>
    </w:p>
    <w:p>
      <w:pPr>
        <w:spacing w:after="100" w:before="60"/>
      </w:pPr>
      <w:r>
        <w:rPr>
          <w:rFonts w:ascii="Arial" w:cs="Arial" w:eastAsia="Arial" w:hAnsi="Arial"/>
          <w:color w:val="333333"/>
          <w:sz w:val="22"/>
          <w:szCs w:val="22"/>
        </w:rPr>
        <w:t xml:space="preserve">Instagram and Referral channels show the highest default rates (25.6%) while Facebook and Google Ads perform closer to average. Reallocate 20% of Instagram acquisition budget to lower-default channels and tighten onboarding verification for Referral channel applicants.</w:t>
      </w:r>
    </w:p>
    <w:p>
      <w:pPr>
        <w:spacing w:after="160" w:before="0"/>
      </w:pPr>
      <w:r>
        <w:t xml:space="preserve"/>
      </w:r>
    </w:p>
    <w:p>
      <w:pPr>
        <w:pStyle w:val="Heading2"/>
        <w:spacing w:after="100" w:before="260"/>
      </w:pPr>
      <w:r>
        <w:rPr>
          <w:rFonts w:ascii="Arial" w:cs="Arial" w:eastAsia="Arial" w:hAnsi="Arial"/>
          <w:b/>
          <w:bCs/>
          <w:color w:val="1A4F8A"/>
          <w:sz w:val="26"/>
          <w:szCs w:val="26"/>
        </w:rPr>
        <w:t xml:space="preserve">4.2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50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60"/>
            <w:tcBorders>
              <w:top w:val="single" w:color="CCCCCC" w:sz="1"/>
              <w:left w:val="single" w:color="CCCCCC" w:sz="1"/>
              <w:bottom w:val="single" w:color="CCCCCC" w:sz="1"/>
              <w:right w:val="single" w:color="CCCCCC" w:sz="1"/>
            </w:tcBorders>
            <w:shd w:fill="1A4F8A"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F8A"/>
                <w:sz w:val="20"/>
                <w:szCs w:val="20"/>
              </w:rPr>
              <w:t xml:space="preserve">Week 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 Early Warning System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Risk Technology team — integrate ML model into loan origination system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F8A"/>
                <w:sz w:val="20"/>
                <w:szCs w:val="20"/>
              </w:rPr>
              <w:t xml:space="preserve">Week 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EMI-to-income cap enforcement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Underwriting team — update approval rules engine with 0.50 hard cap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F8A"/>
                <w:sz w:val="20"/>
                <w:szCs w:val="20"/>
              </w:rPr>
              <w:t xml:space="preserve">Week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Reprice Amber-tier borrowers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Pricing team — update rate cards with +150bps for Amber segment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F8A"/>
                <w:sz w:val="20"/>
                <w:szCs w:val="20"/>
              </w:rPr>
              <w:t xml:space="preserve">Week 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Restrict Education loan approvals</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Credit Policy team — update product eligibility matrix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F8A"/>
                <w:sz w:val="20"/>
                <w:szCs w:val="20"/>
              </w:rPr>
              <w:t xml:space="preserve">Month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Channel budget reallocation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Marketing team — shift spend away from high-default channels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F8A"/>
                <w:sz w:val="20"/>
                <w:szCs w:val="20"/>
              </w:rPr>
              <w:t xml:space="preserve">Month 2–3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Monitor and measure</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Analytics team — track NPA%, PAR30, approval rate weekly</w:t>
            </w:r>
          </w:p>
        </w:tc>
      </w:tr>
    </w:tbl>
    <w:p>
      <w:r>
        <w:br w:type="page"/>
      </w:r>
    </w:p>
    <w:p>
      <w:pPr>
        <w:pStyle w:val="Heading1"/>
        <w:pBdr>
          <w:bottom w:val="single" w:color="2E75B6" w:sz="6" w:space="4"/>
        </w:pBdr>
        <w:spacing w:after="160" w:before="360"/>
      </w:pPr>
      <w:r>
        <w:rPr>
          <w:rFonts w:ascii="Arial" w:cs="Arial" w:eastAsia="Arial" w:hAnsi="Arial"/>
          <w:b/>
          <w:bCs/>
          <w:color w:val="1A4F8A"/>
          <w:sz w:val="32"/>
          <w:szCs w:val="32"/>
        </w:rPr>
        <w:t xml:space="preserve">5. Projected Impact Assessment</w:t>
      </w:r>
    </w:p>
    <w:p>
      <w:pPr>
        <w:spacing w:after="100" w:before="60"/>
      </w:pPr>
      <w:r>
        <w:rPr>
          <w:rFonts w:ascii="Arial" w:cs="Arial" w:eastAsia="Arial" w:hAnsi="Arial"/>
          <w:color w:val="333333"/>
          <w:sz w:val="22"/>
          <w:szCs w:val="22"/>
        </w:rPr>
        <w:t xml:space="preserve">The following impact projections are based on the observed data patterns and the estimated effect of each policy intervention. Projections assume full implementation of all five actions within the stated timeline.</w:t>
      </w:r>
    </w:p>
    <w:p>
      <w:pPr>
        <w:spacing w:after="120" w:before="0"/>
      </w:pPr>
      <w:r>
        <w:t xml:space="preserve"/>
      </w:r>
    </w:p>
    <w:p>
      <w:pPr>
        <w:pStyle w:val="Heading2"/>
        <w:spacing w:after="100" w:before="260"/>
      </w:pPr>
      <w:r>
        <w:rPr>
          <w:rFonts w:ascii="Arial" w:cs="Arial" w:eastAsia="Arial" w:hAnsi="Arial"/>
          <w:b/>
          <w:bCs/>
          <w:color w:val="1A4F8A"/>
          <w:sz w:val="26"/>
          <w:szCs w:val="26"/>
        </w:rPr>
        <w:t xml:space="preserve">5.1 Portfolio Health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tcPr>
          <w:p>
            <w:pPr>
              <w:spacing w:after="40" w:before="0"/>
              <w:jc w:val="center"/>
            </w:pPr>
            <w:r>
              <w:rPr>
                <w:rFonts w:ascii="Arial" w:cs="Arial" w:eastAsia="Arial" w:hAnsi="Arial"/>
                <w:b/>
                <w:bCs/>
                <w:color w:val="1A4F8A"/>
                <w:sz w:val="36"/>
                <w:szCs w:val="36"/>
              </w:rPr>
              <w:t xml:space="preserve">15–20%</w:t>
            </w:r>
          </w:p>
          <w:p>
            <w:pPr>
              <w:spacing w:after="20" w:before="0"/>
              <w:jc w:val="center"/>
            </w:pPr>
            <w:r>
              <w:rPr>
                <w:rFonts w:ascii="Arial" w:cs="Arial" w:eastAsia="Arial" w:hAnsi="Arial"/>
                <w:b/>
                <w:bCs/>
                <w:color w:val="555555"/>
                <w:sz w:val="18"/>
                <w:szCs w:val="18"/>
              </w:rPr>
              <w:t xml:space="preserve">NPA Reduction</w:t>
            </w:r>
          </w:p>
          <w:p>
            <w:pPr>
              <w:spacing w:after="0" w:before="0"/>
              <w:jc w:val="center"/>
            </w:pPr>
            <w:r>
              <w:rPr>
                <w:rFonts w:ascii="Arial" w:cs="Arial" w:eastAsia="Arial" w:hAnsi="Arial"/>
                <w:color w:val="888888"/>
                <w:sz w:val="16"/>
                <w:szCs w:val="16"/>
              </w:rPr>
              <w:t xml:space="preserve">Within 2 quarters</w:t>
            </w:r>
          </w:p>
        </w:tc>
        <w:tc>
          <w:tcPr>
            <w:tcW w:type="dxa" w:w="234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tcPr>
          <w:p>
            <w:pPr>
              <w:spacing w:after="40" w:before="0"/>
              <w:jc w:val="center"/>
            </w:pPr>
            <w:r>
              <w:rPr>
                <w:rFonts w:ascii="Arial" w:cs="Arial" w:eastAsia="Arial" w:hAnsi="Arial"/>
                <w:b/>
                <w:bCs/>
                <w:color w:val="1A4F8A"/>
                <w:sz w:val="36"/>
                <w:szCs w:val="36"/>
              </w:rPr>
              <w:t xml:space="preserve">~8–10pp</w:t>
            </w:r>
          </w:p>
          <w:p>
            <w:pPr>
              <w:spacing w:after="20" w:before="0"/>
              <w:jc w:val="center"/>
            </w:pPr>
            <w:r>
              <w:rPr>
                <w:rFonts w:ascii="Arial" w:cs="Arial" w:eastAsia="Arial" w:hAnsi="Arial"/>
                <w:b/>
                <w:bCs/>
                <w:color w:val="555555"/>
                <w:sz w:val="18"/>
                <w:szCs w:val="18"/>
              </w:rPr>
              <w:t xml:space="preserve">PAR30 Improvement</w:t>
            </w:r>
          </w:p>
          <w:p>
            <w:pPr>
              <w:spacing w:after="0" w:before="0"/>
              <w:jc w:val="center"/>
            </w:pPr>
            <w:r>
              <w:rPr>
                <w:rFonts w:ascii="Arial" w:cs="Arial" w:eastAsia="Arial" w:hAnsi="Arial"/>
                <w:color w:val="888888"/>
                <w:sz w:val="16"/>
                <w:szCs w:val="16"/>
              </w:rPr>
              <w:t xml:space="preserve">Fewer at-risk borrowers</w:t>
            </w:r>
          </w:p>
        </w:tc>
        <w:tc>
          <w:tcPr>
            <w:tcW w:type="dxa" w:w="234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tcPr>
          <w:p>
            <w:pPr>
              <w:spacing w:after="40" w:before="0"/>
              <w:jc w:val="center"/>
            </w:pPr>
            <w:r>
              <w:rPr>
                <w:rFonts w:ascii="Arial" w:cs="Arial" w:eastAsia="Arial" w:hAnsi="Arial"/>
                <w:b/>
                <w:bCs/>
                <w:color w:val="1A4F8A"/>
                <w:sz w:val="36"/>
                <w:szCs w:val="36"/>
              </w:rPr>
              <w:t xml:space="preserve">-3 to -5%</w:t>
            </w:r>
          </w:p>
          <w:p>
            <w:pPr>
              <w:spacing w:after="20" w:before="0"/>
              <w:jc w:val="center"/>
            </w:pPr>
            <w:r>
              <w:rPr>
                <w:rFonts w:ascii="Arial" w:cs="Arial" w:eastAsia="Arial" w:hAnsi="Arial"/>
                <w:b/>
                <w:bCs/>
                <w:color w:val="555555"/>
                <w:sz w:val="18"/>
                <w:szCs w:val="18"/>
              </w:rPr>
              <w:t xml:space="preserve">Approval Rate Impact</w:t>
            </w:r>
          </w:p>
          <w:p>
            <w:pPr>
              <w:spacing w:after="0" w:before="0"/>
              <w:jc w:val="center"/>
            </w:pPr>
            <w:r>
              <w:rPr>
                <w:rFonts w:ascii="Arial" w:cs="Arial" w:eastAsia="Arial" w:hAnsi="Arial"/>
                <w:color w:val="888888"/>
                <w:sz w:val="16"/>
                <w:szCs w:val="16"/>
              </w:rPr>
              <w:t xml:space="preserve">Acceptable trade-off</w:t>
            </w:r>
          </w:p>
        </w:tc>
        <w:tc>
          <w:tcPr>
            <w:tcW w:type="dxa" w:w="2340"/>
            <w:tcBorders>
              <w:top w:val="single" w:color="CCCCCC" w:sz="1"/>
              <w:left w:val="single" w:color="CCCCCC" w:sz="1"/>
              <w:bottom w:val="single" w:color="CCCCCC" w:sz="1"/>
              <w:right w:val="single" w:color="CCCCCC" w:sz="1"/>
            </w:tcBorders>
            <w:shd w:fill="D6E4F0" w:val="clear"/>
            <w:tcMar>
              <w:top w:type="dxa" w:w="140"/>
              <w:left w:type="dxa" w:w="160"/>
              <w:bottom w:type="dxa" w:w="140"/>
              <w:right w:type="dxa" w:w="160"/>
            </w:tcMar>
          </w:tcPr>
          <w:p>
            <w:pPr>
              <w:spacing w:after="40" w:before="0"/>
              <w:jc w:val="center"/>
            </w:pPr>
            <w:r>
              <w:rPr>
                <w:rFonts w:ascii="Arial" w:cs="Arial" w:eastAsia="Arial" w:hAnsi="Arial"/>
                <w:b/>
                <w:bCs/>
                <w:color w:val="1A4F8A"/>
                <w:sz w:val="36"/>
                <w:szCs w:val="36"/>
              </w:rPr>
              <w:t xml:space="preserve">Net +ve</w:t>
            </w:r>
          </w:p>
          <w:p>
            <w:pPr>
              <w:spacing w:after="20" w:before="0"/>
              <w:jc w:val="center"/>
            </w:pPr>
            <w:r>
              <w:rPr>
                <w:rFonts w:ascii="Arial" w:cs="Arial" w:eastAsia="Arial" w:hAnsi="Arial"/>
                <w:b/>
                <w:bCs/>
                <w:color w:val="555555"/>
                <w:sz w:val="18"/>
                <w:szCs w:val="18"/>
              </w:rPr>
              <w:t xml:space="preserve">Revenue Impact</w:t>
            </w:r>
          </w:p>
          <w:p>
            <w:pPr>
              <w:spacing w:after="0" w:before="0"/>
              <w:jc w:val="center"/>
            </w:pPr>
            <w:r>
              <w:rPr>
                <w:rFonts w:ascii="Arial" w:cs="Arial" w:eastAsia="Arial" w:hAnsi="Arial"/>
                <w:color w:val="888888"/>
                <w:sz w:val="16"/>
                <w:szCs w:val="16"/>
              </w:rPr>
              <w:t xml:space="preserve">Better risk-adjusted pricing</w:t>
            </w:r>
          </w:p>
        </w:tc>
      </w:tr>
    </w:tbl>
    <w:p>
      <w:pPr>
        <w:spacing w:after="160" w:before="0"/>
      </w:pPr>
      <w:r>
        <w:t xml:space="preserve"/>
      </w:r>
    </w:p>
    <w:p>
      <w:pPr>
        <w:pStyle w:val="Heading2"/>
        <w:spacing w:after="100" w:before="260"/>
      </w:pPr>
      <w:r>
        <w:rPr>
          <w:rFonts w:ascii="Arial" w:cs="Arial" w:eastAsia="Arial" w:hAnsi="Arial"/>
          <w:b/>
          <w:bCs/>
          <w:color w:val="1A4F8A"/>
          <w:sz w:val="26"/>
          <w:szCs w:val="26"/>
        </w:rPr>
        <w:t xml:space="preserve">5.2 Rationale for Projections</w:t>
      </w:r>
    </w:p>
    <w:p>
      <w:pPr>
        <w:pStyle w:val="ListParagraph"/>
        <w:numPr>
          <w:ilvl w:val="0"/>
          <w:numId w:val="2"/>
        </w:numPr>
        <w:spacing w:after="60" w:before="40"/>
      </w:pPr>
      <w:r>
        <w:rPr>
          <w:rFonts w:ascii="Arial" w:cs="Arial" w:eastAsia="Arial" w:hAnsi="Arial"/>
          <w:color w:val="444444"/>
          <w:sz w:val="22"/>
          <w:szCs w:val="22"/>
        </w:rPr>
        <w:t xml:space="preserve">EMI cap at 0.50 eliminates the highest-stress borrower cohort, estimated to contribute 30–35% of total defaults despite being a smaller volume segment.</w:t>
      </w:r>
    </w:p>
    <w:p>
      <w:pPr>
        <w:pStyle w:val="ListParagraph"/>
        <w:numPr>
          <w:ilvl w:val="0"/>
          <w:numId w:val="2"/>
        </w:numPr>
        <w:spacing w:after="60" w:before="40"/>
      </w:pPr>
      <w:r>
        <w:rPr>
          <w:rFonts w:ascii="Arial" w:cs="Arial" w:eastAsia="Arial" w:hAnsi="Arial"/>
          <w:color w:val="444444"/>
          <w:sz w:val="22"/>
          <w:szCs w:val="22"/>
        </w:rPr>
        <w:t xml:space="preserve">Education loan restriction removes the single highest-default product-segment combination (41.9% default rate) from the approval pipeline.</w:t>
      </w:r>
    </w:p>
    <w:p>
      <w:pPr>
        <w:pStyle w:val="ListParagraph"/>
        <w:numPr>
          <w:ilvl w:val="0"/>
          <w:numId w:val="2"/>
        </w:numPr>
        <w:spacing w:after="60" w:before="40"/>
      </w:pPr>
      <w:r>
        <w:rPr>
          <w:rFonts w:ascii="Arial" w:cs="Arial" w:eastAsia="Arial" w:hAnsi="Arial"/>
          <w:color w:val="444444"/>
          <w:sz w:val="22"/>
          <w:szCs w:val="22"/>
        </w:rPr>
        <w:t xml:space="preserve">Amber repricing (+150bps) improves net interest margin on 48% of the approved portfolio, offsetting NPA losses.</w:t>
      </w:r>
    </w:p>
    <w:p>
      <w:pPr>
        <w:pStyle w:val="ListParagraph"/>
        <w:numPr>
          <w:ilvl w:val="0"/>
          <w:numId w:val="2"/>
        </w:numPr>
        <w:spacing w:after="60" w:before="40"/>
      </w:pPr>
      <w:r>
        <w:rPr>
          <w:rFonts w:ascii="Arial" w:cs="Arial" w:eastAsia="Arial" w:hAnsi="Arial"/>
          <w:color w:val="444444"/>
          <w:sz w:val="22"/>
          <w:szCs w:val="22"/>
        </w:rPr>
        <w:t xml:space="preserve">Approval rate decline of 3–5% is an acceptable trade-off — the eliminated approvals represent the highest-risk cohort with disproportionate NPA contribution.</w:t>
      </w:r>
    </w:p>
    <w:p>
      <w:pPr>
        <w:pStyle w:val="ListParagraph"/>
        <w:numPr>
          <w:ilvl w:val="0"/>
          <w:numId w:val="2"/>
        </w:numPr>
        <w:spacing w:after="60" w:before="40"/>
      </w:pPr>
      <w:r>
        <w:rPr>
          <w:rFonts w:ascii="Arial" w:cs="Arial" w:eastAsia="Arial" w:hAnsi="Arial"/>
          <w:color w:val="444444"/>
          <w:sz w:val="22"/>
          <w:szCs w:val="22"/>
        </w:rPr>
        <w:t xml:space="preserve">Channel reallocation improves the quality of new loan originations within 60 days of implementation.</w:t>
      </w:r>
    </w:p>
    <w:p>
      <w:pPr>
        <w:spacing w:after="160" w:before="0"/>
      </w:pPr>
      <w:r>
        <w:t xml:space="preserve"/>
      </w:r>
    </w:p>
    <w:p>
      <w:pPr>
        <w:pStyle w:val="Heading2"/>
        <w:spacing w:after="100" w:before="260"/>
      </w:pPr>
      <w:r>
        <w:rPr>
          <w:rFonts w:ascii="Arial" w:cs="Arial" w:eastAsia="Arial" w:hAnsi="Arial"/>
          <w:b/>
          <w:bCs/>
          <w:color w:val="1A4F8A"/>
          <w:sz w:val="26"/>
          <w:szCs w:val="26"/>
        </w:rPr>
        <w:t xml:space="preserve">5.3 Risk of Inaction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60"/>
              <w:left w:type="dxa" w:w="220"/>
              <w:bottom w:type="dxa" w:w="160"/>
              <w:right w:type="dxa" w:w="220"/>
            </w:tcMar>
          </w:tcPr>
          <w:p>
            <w:pPr>
              <w:spacing w:after="60" w:before="0"/>
            </w:pPr>
            <w:r>
              <w:rPr>
                <w:rFonts w:ascii="Arial" w:cs="Arial" w:eastAsia="Arial" w:hAnsi="Arial"/>
                <w:b/>
                <w:bCs/>
                <w:color w:val="993C1D"/>
                <w:sz w:val="20"/>
                <w:szCs w:val="20"/>
              </w:rPr>
              <w:t xml:space="preserve">Warning</w:t>
            </w:r>
          </w:p>
          <w:p>
            <w:pPr>
              <w:spacing w:after="40" w:before="0"/>
            </w:pPr>
            <w:r>
              <w:rPr>
                <w:rFonts w:ascii="Arial" w:cs="Arial" w:eastAsia="Arial" w:hAnsi="Arial"/>
                <w:color w:val="993C1D"/>
                <w:sz w:val="20"/>
                <w:szCs w:val="20"/>
              </w:rPr>
              <w:t xml:space="preserve">If current approval and pricing policies remain unchanged:</w:t>
            </w:r>
          </w:p>
          <w:p>
            <w:pPr>
              <w:spacing w:after="40" w:before="0"/>
            </w:pPr>
            <w:r>
              <w:rPr>
                <w:rFonts w:ascii="Arial" w:cs="Arial" w:eastAsia="Arial" w:hAnsi="Arial"/>
                <w:color w:val="993C1D"/>
                <w:sz w:val="20"/>
                <w:szCs w:val="20"/>
              </w:rPr>
              <w:t xml:space="preserve">• NPA% is projected to exceed 25% within the next two quarters based on current PAR30 trends</w:t>
            </w:r>
          </w:p>
          <w:p>
            <w:pPr>
              <w:spacing w:after="40" w:before="0"/>
            </w:pPr>
            <w:r>
              <w:rPr>
                <w:rFonts w:ascii="Arial" w:cs="Arial" w:eastAsia="Arial" w:hAnsi="Arial"/>
                <w:color w:val="993C1D"/>
                <w:sz w:val="20"/>
                <w:szCs w:val="20"/>
              </w:rPr>
              <w:t xml:space="preserve">• Portfolio value at risk increases to ₹50+ crore</w:t>
            </w:r>
          </w:p>
          <w:p>
            <w:pPr>
              <w:spacing w:after="40" w:before="0"/>
            </w:pPr>
            <w:r>
              <w:rPr>
                <w:rFonts w:ascii="Arial" w:cs="Arial" w:eastAsia="Arial" w:hAnsi="Arial"/>
                <w:color w:val="993C1D"/>
                <w:sz w:val="20"/>
                <w:szCs w:val="20"/>
              </w:rPr>
              <w:t xml:space="preserve">• Regulatory scrutiny risk increases significantly above the 20% NPA threshold</w:t>
            </w:r>
          </w:p>
          <w:p>
            <w:pPr>
              <w:spacing w:after="40" w:before="0"/>
            </w:pPr>
            <w:r>
              <w:rPr>
                <w:rFonts w:ascii="Arial" w:cs="Arial" w:eastAsia="Arial" w:hAnsi="Arial"/>
                <w:color w:val="993C1D"/>
                <w:sz w:val="20"/>
                <w:szCs w:val="20"/>
              </w:rPr>
              <w:t xml:space="preserve">• Cost of credit losses will outpace interest income growth, compressing margins</w:t>
            </w:r>
          </w:p>
        </w:tc>
      </w:tr>
    </w:tbl>
    <w:p>
      <w:pPr>
        <w:spacing w:after="200" w:before="0"/>
      </w:pPr>
      <w:r>
        <w:t xml:space="preserve"/>
      </w:r>
    </w:p>
    <w:p>
      <w:pPr>
        <w:pStyle w:val="Heading1"/>
        <w:pBdr>
          <w:bottom w:val="single" w:color="2E75B6" w:sz="6" w:space="4"/>
        </w:pBdr>
        <w:spacing w:after="160" w:before="360"/>
      </w:pPr>
      <w:r>
        <w:rPr>
          <w:rFonts w:ascii="Arial" w:cs="Arial" w:eastAsia="Arial" w:hAnsi="Arial"/>
          <w:b/>
          <w:bCs/>
          <w:color w:val="1A4F8A"/>
          <w:sz w:val="32"/>
          <w:szCs w:val="32"/>
        </w:rPr>
        <w:t xml:space="preserve">Appendix — Data &amp; Methodology</w:t>
      </w:r>
    </w:p>
    <w:p>
      <w:pPr>
        <w:spacing w:after="80" w:before="180"/>
      </w:pPr>
      <w:r>
        <w:rPr>
          <w:rFonts w:ascii="Arial" w:cs="Arial" w:eastAsia="Arial" w:hAnsi="Arial"/>
          <w:b/>
          <w:bCs/>
          <w:color w:val="333333"/>
          <w:sz w:val="22"/>
          <w:szCs w:val="22"/>
        </w:rPr>
        <w:t xml:space="preserve">Dataset</w:t>
      </w:r>
    </w:p>
    <w:p>
      <w:pPr>
        <w:pStyle w:val="ListParagraph"/>
        <w:numPr>
          <w:ilvl w:val="0"/>
          <w:numId w:val="2"/>
        </w:numPr>
        <w:spacing w:after="60" w:before="40"/>
      </w:pPr>
      <w:r>
        <w:rPr>
          <w:rFonts w:ascii="Arial" w:cs="Arial" w:eastAsia="Arial" w:hAnsi="Arial"/>
          <w:color w:val="444444"/>
          <w:sz w:val="22"/>
          <w:szCs w:val="22"/>
        </w:rPr>
        <w:t xml:space="preserve">5,000 loan applications | 2,338 approved | 581 defaulted</w:t>
      </w:r>
    </w:p>
    <w:p>
      <w:pPr>
        <w:pStyle w:val="ListParagraph"/>
        <w:numPr>
          <w:ilvl w:val="0"/>
          <w:numId w:val="2"/>
        </w:numPr>
        <w:spacing w:after="60" w:before="40"/>
      </w:pPr>
      <w:r>
        <w:rPr>
          <w:rFonts w:ascii="Arial" w:cs="Arial" w:eastAsia="Arial" w:hAnsi="Arial"/>
          <w:color w:val="444444"/>
          <w:sz w:val="22"/>
          <w:szCs w:val="22"/>
        </w:rPr>
        <w:t xml:space="preserve">41 base features across customer profile, loan details, and outcomes</w:t>
      </w:r>
    </w:p>
    <w:p>
      <w:pPr>
        <w:pStyle w:val="ListParagraph"/>
        <w:numPr>
          <w:ilvl w:val="0"/>
          <w:numId w:val="2"/>
        </w:numPr>
        <w:spacing w:after="60" w:before="40"/>
      </w:pPr>
      <w:r>
        <w:rPr>
          <w:rFonts w:ascii="Arial" w:cs="Arial" w:eastAsia="Arial" w:hAnsi="Arial"/>
          <w:color w:val="444444"/>
          <w:sz w:val="22"/>
          <w:szCs w:val="22"/>
        </w:rPr>
        <w:t xml:space="preserve">Extended with 17 features from repayments.csv (86,509 rows) and behavioral_signals.csv (60,000 rows)</w:t>
      </w:r>
    </w:p>
    <w:p>
      <w:pPr>
        <w:pStyle w:val="ListParagraph"/>
        <w:numPr>
          <w:ilvl w:val="0"/>
          <w:numId w:val="2"/>
        </w:numPr>
        <w:spacing w:after="60" w:before="40"/>
      </w:pPr>
      <w:r>
        <w:rPr>
          <w:rFonts w:ascii="Arial" w:cs="Arial" w:eastAsia="Arial" w:hAnsi="Arial"/>
          <w:color w:val="444444"/>
          <w:sz w:val="22"/>
          <w:szCs w:val="22"/>
        </w:rPr>
        <w:t xml:space="preserve">Final enriched dataset: 5,000 rows × 58 columns</w:t>
      </w:r>
    </w:p>
    <w:p>
      <w:pPr>
        <w:spacing w:after="120" w:before="0"/>
      </w:pPr>
      <w:r>
        <w:t xml:space="preserve"/>
      </w:r>
    </w:p>
    <w:p>
      <w:pPr>
        <w:spacing w:after="80" w:before="180"/>
      </w:pPr>
      <w:r>
        <w:rPr>
          <w:rFonts w:ascii="Arial" w:cs="Arial" w:eastAsia="Arial" w:hAnsi="Arial"/>
          <w:b/>
          <w:bCs/>
          <w:color w:val="333333"/>
          <w:sz w:val="22"/>
          <w:szCs w:val="22"/>
        </w:rPr>
        <w:t xml:space="preserve">Models Used</w:t>
      </w:r>
    </w:p>
    <w:p>
      <w:pPr>
        <w:pStyle w:val="ListParagraph"/>
        <w:numPr>
          <w:ilvl w:val="0"/>
          <w:numId w:val="2"/>
        </w:numPr>
        <w:spacing w:after="60" w:before="40"/>
      </w:pPr>
      <w:r>
        <w:rPr>
          <w:rFonts w:ascii="Arial" w:cs="Arial" w:eastAsia="Arial" w:hAnsi="Arial"/>
          <w:color w:val="444444"/>
          <w:sz w:val="22"/>
          <w:szCs w:val="22"/>
        </w:rPr>
        <w:t xml:space="preserve">KMeans Clustering (K=4) — customer segmentation</w:t>
      </w:r>
    </w:p>
    <w:p>
      <w:pPr>
        <w:pStyle w:val="ListParagraph"/>
        <w:numPr>
          <w:ilvl w:val="0"/>
          <w:numId w:val="2"/>
        </w:numPr>
        <w:spacing w:after="60" w:before="40"/>
      </w:pPr>
      <w:r>
        <w:rPr>
          <w:rFonts w:ascii="Arial" w:cs="Arial" w:eastAsia="Arial" w:hAnsi="Arial"/>
          <w:color w:val="444444"/>
          <w:sz w:val="22"/>
          <w:szCs w:val="22"/>
        </w:rPr>
        <w:t xml:space="preserve">Random Forest Classifier — default prediction and risk scoring</w:t>
      </w:r>
    </w:p>
    <w:p>
      <w:pPr>
        <w:pStyle w:val="ListParagraph"/>
        <w:numPr>
          <w:ilvl w:val="0"/>
          <w:numId w:val="2"/>
        </w:numPr>
        <w:spacing w:after="60" w:before="40"/>
      </w:pPr>
      <w:r>
        <w:rPr>
          <w:rFonts w:ascii="Arial" w:cs="Arial" w:eastAsia="Arial" w:hAnsi="Arial"/>
          <w:color w:val="444444"/>
          <w:sz w:val="22"/>
          <w:szCs w:val="22"/>
        </w:rPr>
        <w:t xml:space="preserve">Logistic Regression — baseline comparison model</w:t>
      </w:r>
    </w:p>
    <w:p>
      <w:pPr>
        <w:spacing w:after="120" w:before="0"/>
      </w:pPr>
      <w:r>
        <w:t xml:space="preserve"/>
      </w:r>
    </w:p>
    <w:p>
      <w:pPr>
        <w:spacing w:after="80" w:before="180"/>
      </w:pPr>
      <w:r>
        <w:rPr>
          <w:rFonts w:ascii="Arial" w:cs="Arial" w:eastAsia="Arial" w:hAnsi="Arial"/>
          <w:b/>
          <w:bCs/>
          <w:color w:val="333333"/>
          <w:sz w:val="22"/>
          <w:szCs w:val="22"/>
        </w:rPr>
        <w:t xml:space="preserve">Key Metrics Defined</w:t>
      </w:r>
    </w:p>
    <w:p>
      <w:pPr>
        <w:pStyle w:val="ListParagraph"/>
        <w:numPr>
          <w:ilvl w:val="0"/>
          <w:numId w:val="2"/>
        </w:numPr>
        <w:spacing w:after="60" w:before="40"/>
      </w:pPr>
      <w:r>
        <w:rPr>
          <w:rFonts w:ascii="Arial" w:cs="Arial" w:eastAsia="Arial" w:hAnsi="Arial"/>
          <w:color w:val="444444"/>
          <w:sz w:val="22"/>
          <w:szCs w:val="22"/>
        </w:rPr>
        <w:t xml:space="preserve">NPA% — Non-Performing Assets as % of total portfolio value</w:t>
      </w:r>
    </w:p>
    <w:p>
      <w:pPr>
        <w:pStyle w:val="ListParagraph"/>
        <w:numPr>
          <w:ilvl w:val="0"/>
          <w:numId w:val="2"/>
        </w:numPr>
        <w:spacing w:after="60" w:before="40"/>
      </w:pPr>
      <w:r>
        <w:rPr>
          <w:rFonts w:ascii="Arial" w:cs="Arial" w:eastAsia="Arial" w:hAnsi="Arial"/>
          <w:color w:val="444444"/>
          <w:sz w:val="22"/>
          <w:szCs w:val="22"/>
        </w:rPr>
        <w:t xml:space="preserve">PAR30 — Portfolio at Risk: % of loans with default probability &gt; 0.30</w:t>
      </w:r>
    </w:p>
    <w:p>
      <w:pPr>
        <w:pStyle w:val="ListParagraph"/>
        <w:numPr>
          <w:ilvl w:val="0"/>
          <w:numId w:val="2"/>
        </w:numPr>
        <w:spacing w:after="60" w:before="40"/>
      </w:pPr>
      <w:r>
        <w:rPr>
          <w:rFonts w:ascii="Arial" w:cs="Arial" w:eastAsia="Arial" w:hAnsi="Arial"/>
          <w:color w:val="444444"/>
          <w:sz w:val="22"/>
          <w:szCs w:val="22"/>
        </w:rPr>
        <w:t xml:space="preserve">Default Rate — % of approved loans that have defaulted</w:t>
      </w:r>
    </w:p>
    <w:p>
      <w:pPr>
        <w:pStyle w:val="ListParagraph"/>
        <w:numPr>
          <w:ilvl w:val="0"/>
          <w:numId w:val="2"/>
        </w:numPr>
        <w:spacing w:after="60" w:before="40"/>
      </w:pPr>
      <w:r>
        <w:rPr>
          <w:rFonts w:ascii="Arial" w:cs="Arial" w:eastAsia="Arial" w:hAnsi="Arial"/>
          <w:color w:val="444444"/>
          <w:sz w:val="22"/>
          <w:szCs w:val="22"/>
        </w:rPr>
        <w:t xml:space="preserve">EMI-to-Income Ratio — monthly EMI obligation divided by monthly income</w:t>
      </w:r>
    </w:p>
    <w:p>
      <w:pPr>
        <w:pStyle w:val="ListParagraph"/>
        <w:numPr>
          <w:ilvl w:val="0"/>
          <w:numId w:val="2"/>
        </w:numPr>
        <w:spacing w:after="60" w:before="40"/>
      </w:pPr>
      <w:r>
        <w:rPr>
          <w:rFonts w:ascii="Arial" w:cs="Arial" w:eastAsia="Arial" w:hAnsi="Arial"/>
          <w:color w:val="444444"/>
          <w:sz w:val="22"/>
          <w:szCs w:val="22"/>
        </w:rPr>
        <w:t xml:space="preserve">Risk Score — composite ML model score (0–100), higher = more risky</w:t>
      </w:r>
    </w:p>
    <w:p>
      <w:pPr>
        <w:spacing w:after="160" w:before="0"/>
      </w:pPr>
      <w:r>
        <w:t xml:space="preserve"/>
      </w:r>
    </w:p>
    <w:p>
      <w:pPr>
        <w:spacing w:after="0" w:before="200"/>
        <w:jc w:val="center"/>
      </w:pPr>
      <w:r>
        <w:rPr>
          <w:rFonts w:ascii="Arial" w:cs="Arial" w:eastAsia="Arial" w:hAnsi="Arial"/>
          <w:color w:val="888888"/>
          <w:sz w:val="20"/>
          <w:szCs w:val="20"/>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8"/>
        <w:szCs w:val="18"/>
      </w:rPr>
      <w:t xml:space="preserve">Digital Lending Portfolio Intelligence Platform</w:t>
    </w:r>
    <w:r>
      <w:rPr>
        <w:rFonts w:ascii="Arial" w:cs="Arial" w:eastAsia="Arial" w:hAnsi="Arial"/>
        <w:color w:val="888888"/>
        <w:sz w:val="18"/>
        <w:szCs w:val="18"/>
      </w:rPr>
      <w:t xml:space="preserve">	Page </w:t>
    </w:r>
    <w:fldSimple w:instr="PAGE">
      <w:r>
        <w:rPr>
          <w:rFonts w:ascii="Arial" w:cs="Arial" w:eastAsia="Arial" w:hAnsi="Arial"/>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A4F8A"/>
        <w:sz w:val="18"/>
        <w:szCs w:val="18"/>
      </w:rPr>
      <w:t xml:space="preserve">CREDIT POLICY RECOMMENDATION REPORT</w:t>
    </w:r>
    <w:r>
      <w:rPr>
        <w:rFonts w:ascii="Arial" w:cs="Arial" w:eastAsia="Arial" w:hAnsi="Arial"/>
        <w:color w:val="888888"/>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4F8A"/>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1A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2026-06-06T18:36:50.277Z</dcterms:created>
  <dcterms:modified xsi:type="dcterms:W3CDTF">2026-06-06T18:36:50.289Z</dcterms:modified>
</cp:coreProperties>
</file>

<file path=docProps/custom.xml><?xml version="1.0" encoding="utf-8"?>
<Properties xmlns="http://schemas.openxmlformats.org/officeDocument/2006/custom-properties" xmlns:vt="http://schemas.openxmlformats.org/officeDocument/2006/docPropsVTypes"/>
</file>