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7D451B" w14:textId="6470FEC3" w:rsidR="006375A9" w:rsidRDefault="00AD5D55" w:rsidP="006375A9">
      <w:pPr>
        <w:spacing w:before="100" w:beforeAutospacing="1" w:after="100" w:afterAutospacing="1" w:line="240" w:lineRule="auto"/>
        <w:rPr>
          <w:rFonts w:ascii="Times New Roman" w:eastAsia="Times New Roman" w:hAnsi="Times New Roman" w:cs="Times New Roman"/>
          <w:b/>
          <w:bCs/>
          <w:noProof/>
          <w:sz w:val="28"/>
          <w:szCs w:val="28"/>
          <w:lang w:eastAsia="en-IN"/>
        </w:rPr>
      </w:pPr>
      <w:r w:rsidRPr="00AD5D55">
        <w:rPr>
          <w:rFonts w:ascii="Arial Black" w:eastAsia="Times New Roman" w:hAnsi="Arial Black" w:cs="Times New Roman"/>
          <w:b/>
          <w:bCs/>
          <w:sz w:val="36"/>
          <w:szCs w:val="36"/>
          <w:lang w:eastAsia="en-IN"/>
        </w:rPr>
        <w:t>Corporate Valuation Report: Tata Motors Ltd</w:t>
      </w:r>
      <w:r w:rsidR="006375A9">
        <w:rPr>
          <w:rFonts w:ascii="Arial Black" w:eastAsia="Times New Roman" w:hAnsi="Arial Black" w:cs="Times New Roman"/>
          <w:b/>
          <w:bCs/>
          <w:sz w:val="36"/>
          <w:szCs w:val="36"/>
          <w:lang w:eastAsia="en-IN"/>
        </w:rPr>
        <w:t>.</w:t>
      </w:r>
      <w:r w:rsidR="006375A9" w:rsidRPr="006375A9">
        <w:rPr>
          <w:rFonts w:ascii="Times New Roman" w:eastAsia="Times New Roman" w:hAnsi="Times New Roman" w:cs="Times New Roman"/>
          <w:b/>
          <w:bCs/>
          <w:noProof/>
          <w:sz w:val="28"/>
          <w:szCs w:val="28"/>
          <w:lang w:eastAsia="en-IN"/>
        </w:rPr>
        <w:t xml:space="preserve"> </w:t>
      </w:r>
    </w:p>
    <w:p w14:paraId="5DEA65CA" w14:textId="728DC2B5" w:rsidR="00364AC9" w:rsidRDefault="00364AC9" w:rsidP="00364AC9">
      <w:pPr>
        <w:spacing w:before="100" w:beforeAutospacing="1" w:after="100" w:afterAutospacing="1" w:line="240" w:lineRule="auto"/>
        <w:jc w:val="right"/>
        <w:rPr>
          <w:rFonts w:ascii="Arial Black" w:eastAsia="Times New Roman" w:hAnsi="Arial Black" w:cs="Times New Roman"/>
          <w:b/>
          <w:bCs/>
          <w:lang w:eastAsia="en-IN"/>
        </w:rPr>
      </w:pPr>
      <w:r>
        <w:rPr>
          <w:rFonts w:ascii="Arial Black" w:eastAsia="Times New Roman" w:hAnsi="Arial Black" w:cs="Times New Roman"/>
          <w:b/>
          <w:bCs/>
          <w:lang w:eastAsia="en-IN"/>
        </w:rPr>
        <w:t xml:space="preserve">NAME- </w:t>
      </w:r>
      <w:proofErr w:type="spellStart"/>
      <w:r>
        <w:rPr>
          <w:rFonts w:ascii="Arial Black" w:eastAsia="Times New Roman" w:hAnsi="Arial Black" w:cs="Times New Roman"/>
          <w:b/>
          <w:bCs/>
          <w:lang w:eastAsia="en-IN"/>
        </w:rPr>
        <w:t>Vanshika</w:t>
      </w:r>
      <w:proofErr w:type="spellEnd"/>
      <w:r>
        <w:rPr>
          <w:rFonts w:ascii="Arial Black" w:eastAsia="Times New Roman" w:hAnsi="Arial Black" w:cs="Times New Roman"/>
          <w:b/>
          <w:bCs/>
          <w:lang w:eastAsia="en-IN"/>
        </w:rPr>
        <w:t xml:space="preserve"> Nayyar</w:t>
      </w:r>
    </w:p>
    <w:p w14:paraId="43739B61" w14:textId="2BA9A325" w:rsidR="00364AC9" w:rsidRPr="00364AC9" w:rsidRDefault="00364AC9" w:rsidP="00364AC9">
      <w:pPr>
        <w:spacing w:before="100" w:beforeAutospacing="1" w:after="100" w:afterAutospacing="1" w:line="240" w:lineRule="auto"/>
        <w:jc w:val="right"/>
        <w:rPr>
          <w:rFonts w:ascii="Arial Black" w:eastAsia="Times New Roman" w:hAnsi="Arial Black" w:cs="Times New Roman"/>
          <w:b/>
          <w:bCs/>
          <w:lang w:eastAsia="en-IN"/>
        </w:rPr>
      </w:pPr>
      <w:r>
        <w:rPr>
          <w:rFonts w:ascii="Arial Black" w:eastAsia="Times New Roman" w:hAnsi="Arial Black" w:cs="Times New Roman"/>
          <w:b/>
          <w:bCs/>
          <w:lang w:eastAsia="en-IN"/>
        </w:rPr>
        <w:t>PRN- 23021922127</w:t>
      </w:r>
      <w:bookmarkStart w:id="0" w:name="_GoBack"/>
      <w:bookmarkEnd w:id="0"/>
    </w:p>
    <w:p w14:paraId="0C309E5C" w14:textId="77777777" w:rsidR="006375A9" w:rsidRDefault="006375A9" w:rsidP="006375A9">
      <w:pPr>
        <w:spacing w:before="100" w:beforeAutospacing="1" w:after="100" w:afterAutospacing="1" w:line="240" w:lineRule="auto"/>
        <w:rPr>
          <w:rFonts w:ascii="Times New Roman" w:eastAsia="Times New Roman" w:hAnsi="Times New Roman" w:cs="Times New Roman"/>
          <w:b/>
          <w:bCs/>
          <w:sz w:val="28"/>
          <w:szCs w:val="28"/>
          <w:lang w:eastAsia="en-IN"/>
        </w:rPr>
      </w:pPr>
    </w:p>
    <w:p w14:paraId="3C86B207" w14:textId="77777777" w:rsidR="006375A9" w:rsidRDefault="006375A9" w:rsidP="006375A9">
      <w:pPr>
        <w:spacing w:before="100" w:beforeAutospacing="1" w:after="100" w:afterAutospacing="1" w:line="240" w:lineRule="auto"/>
        <w:rPr>
          <w:rFonts w:ascii="Times New Roman" w:eastAsia="Times New Roman" w:hAnsi="Times New Roman" w:cs="Times New Roman"/>
          <w:b/>
          <w:bCs/>
          <w:sz w:val="28"/>
          <w:szCs w:val="28"/>
          <w:lang w:eastAsia="en-IN"/>
        </w:rPr>
      </w:pPr>
    </w:p>
    <w:p w14:paraId="0E342A14" w14:textId="4037ECDD" w:rsidR="00AD5D55" w:rsidRPr="00AD5D55" w:rsidRDefault="00AD5D55" w:rsidP="006375A9">
      <w:pPr>
        <w:spacing w:before="100" w:beforeAutospacing="1" w:after="100" w:afterAutospacing="1" w:line="240" w:lineRule="auto"/>
        <w:rPr>
          <w:rFonts w:ascii="Arial Black" w:eastAsia="Times New Roman" w:hAnsi="Arial Black" w:cs="Times New Roman"/>
          <w:sz w:val="36"/>
          <w:szCs w:val="36"/>
          <w:lang w:eastAsia="en-IN"/>
        </w:rPr>
      </w:pPr>
      <w:r w:rsidRPr="00AD5D55">
        <w:rPr>
          <w:rFonts w:ascii="Times New Roman" w:eastAsia="Times New Roman" w:hAnsi="Times New Roman" w:cs="Times New Roman"/>
          <w:b/>
          <w:bCs/>
          <w:sz w:val="28"/>
          <w:szCs w:val="28"/>
          <w:lang w:eastAsia="en-IN"/>
        </w:rPr>
        <w:t>Summary of Company, Valuation Approach, Results, and Recommendation</w:t>
      </w:r>
    </w:p>
    <w:p w14:paraId="023EFDBD" w14:textId="77777777" w:rsidR="00AD5D55" w:rsidRPr="00AD5D55" w:rsidRDefault="00AD5D55" w:rsidP="00AD5D55">
      <w:pPr>
        <w:spacing w:before="100" w:beforeAutospacing="1" w:after="100" w:afterAutospacing="1" w:line="240" w:lineRule="auto"/>
        <w:rPr>
          <w:rFonts w:ascii="Times New Roman" w:eastAsia="Times New Roman" w:hAnsi="Times New Roman" w:cs="Times New Roman"/>
          <w:sz w:val="28"/>
          <w:szCs w:val="28"/>
          <w:lang w:eastAsia="en-IN"/>
        </w:rPr>
      </w:pPr>
      <w:r w:rsidRPr="00AD5D55">
        <w:rPr>
          <w:rFonts w:ascii="Times New Roman" w:eastAsia="Times New Roman" w:hAnsi="Times New Roman" w:cs="Times New Roman"/>
          <w:sz w:val="28"/>
          <w:szCs w:val="28"/>
          <w:lang w:eastAsia="en-IN"/>
        </w:rPr>
        <w:t>This report presents a comprehensive valuation of Tata Motors Ltd., applying a Discounted Cash Flow (DCF) model as the core valuation method. The analysis includes macroeconomic and industry assessments, a strategic company overview, and a calculated Weighted Average Cost of Capital (WACC). The final intrinsic value derived suggests whether the stock is undervalued, overvalued, or fairly valued, and provides a clear investment recommendation.</w:t>
      </w:r>
    </w:p>
    <w:p w14:paraId="4598DF2D" w14:textId="77777777" w:rsidR="00AD5D55" w:rsidRPr="00AD5D55" w:rsidRDefault="00AD5D55" w:rsidP="00AD5D55">
      <w:pPr>
        <w:spacing w:before="100" w:beforeAutospacing="1" w:after="100" w:afterAutospacing="1" w:line="240" w:lineRule="auto"/>
        <w:rPr>
          <w:rFonts w:ascii="Times New Roman" w:eastAsia="Times New Roman" w:hAnsi="Times New Roman" w:cs="Times New Roman"/>
          <w:sz w:val="28"/>
          <w:szCs w:val="28"/>
          <w:lang w:eastAsia="en-IN"/>
        </w:rPr>
      </w:pPr>
      <w:r w:rsidRPr="00AD5D55">
        <w:rPr>
          <w:rFonts w:ascii="Times New Roman" w:eastAsia="Times New Roman" w:hAnsi="Times New Roman" w:cs="Times New Roman"/>
          <w:b/>
          <w:bCs/>
          <w:sz w:val="28"/>
          <w:szCs w:val="28"/>
          <w:lang w:eastAsia="en-IN"/>
        </w:rPr>
        <w:t>Valuation Result:</w:t>
      </w:r>
      <w:r w:rsidRPr="00AD5D55">
        <w:rPr>
          <w:rFonts w:ascii="Times New Roman" w:eastAsia="Times New Roman" w:hAnsi="Times New Roman" w:cs="Times New Roman"/>
          <w:sz w:val="28"/>
          <w:szCs w:val="28"/>
          <w:lang w:eastAsia="en-IN"/>
        </w:rPr>
        <w:t xml:space="preserve"> Based on the DCF model, the intrinsic value of Tata Motors' equity is found to be moderately higher than its current market price, indicating that the stock is </w:t>
      </w:r>
      <w:r w:rsidRPr="00AD5D55">
        <w:rPr>
          <w:rFonts w:ascii="Times New Roman" w:eastAsia="Times New Roman" w:hAnsi="Times New Roman" w:cs="Times New Roman"/>
          <w:b/>
          <w:bCs/>
          <w:sz w:val="28"/>
          <w:szCs w:val="28"/>
          <w:lang w:eastAsia="en-IN"/>
        </w:rPr>
        <w:t>undervalued</w:t>
      </w:r>
      <w:r w:rsidRPr="00AD5D55">
        <w:rPr>
          <w:rFonts w:ascii="Times New Roman" w:eastAsia="Times New Roman" w:hAnsi="Times New Roman" w:cs="Times New Roman"/>
          <w:sz w:val="28"/>
          <w:szCs w:val="28"/>
          <w:lang w:eastAsia="en-IN"/>
        </w:rPr>
        <w:t>.</w:t>
      </w:r>
    </w:p>
    <w:p w14:paraId="14B69EF0" w14:textId="6E695DCA" w:rsidR="00AD5D55" w:rsidRPr="00AD5D55" w:rsidRDefault="00AD5D55" w:rsidP="00AD5D55">
      <w:pPr>
        <w:spacing w:before="100" w:beforeAutospacing="1" w:after="100" w:afterAutospacing="1" w:line="240" w:lineRule="auto"/>
        <w:rPr>
          <w:rFonts w:ascii="Times New Roman" w:eastAsia="Times New Roman" w:hAnsi="Times New Roman" w:cs="Times New Roman"/>
          <w:sz w:val="28"/>
          <w:szCs w:val="28"/>
          <w:lang w:eastAsia="en-IN"/>
        </w:rPr>
      </w:pPr>
      <w:r w:rsidRPr="00AD5D55">
        <w:rPr>
          <w:rFonts w:ascii="Times New Roman" w:eastAsia="Times New Roman" w:hAnsi="Times New Roman" w:cs="Times New Roman"/>
          <w:b/>
          <w:bCs/>
          <w:sz w:val="28"/>
          <w:szCs w:val="28"/>
          <w:lang w:eastAsia="en-IN"/>
        </w:rPr>
        <w:t>Strategic Recommendation:</w:t>
      </w:r>
      <w:r w:rsidRPr="00AD5D55">
        <w:rPr>
          <w:rFonts w:ascii="Times New Roman" w:eastAsia="Times New Roman" w:hAnsi="Times New Roman" w:cs="Times New Roman"/>
          <w:sz w:val="28"/>
          <w:szCs w:val="28"/>
          <w:lang w:eastAsia="en-IN"/>
        </w:rPr>
        <w:t xml:space="preserve"> </w:t>
      </w:r>
      <w:r w:rsidRPr="002A6B6F">
        <w:rPr>
          <w:rFonts w:ascii="Times New Roman" w:eastAsia="Times New Roman" w:hAnsi="Times New Roman" w:cs="Times New Roman"/>
          <w:sz w:val="28"/>
          <w:szCs w:val="28"/>
          <w:lang w:eastAsia="en-IN"/>
        </w:rPr>
        <w:t>it is</w:t>
      </w:r>
      <w:r w:rsidRPr="00AD5D55">
        <w:rPr>
          <w:rFonts w:ascii="Times New Roman" w:eastAsia="Times New Roman" w:hAnsi="Times New Roman" w:cs="Times New Roman"/>
          <w:sz w:val="28"/>
          <w:szCs w:val="28"/>
          <w:lang w:eastAsia="en-IN"/>
        </w:rPr>
        <w:t xml:space="preserve"> recommend</w:t>
      </w:r>
      <w:r w:rsidRPr="002A6B6F">
        <w:rPr>
          <w:rFonts w:ascii="Times New Roman" w:eastAsia="Times New Roman" w:hAnsi="Times New Roman" w:cs="Times New Roman"/>
          <w:sz w:val="28"/>
          <w:szCs w:val="28"/>
          <w:lang w:eastAsia="en-IN"/>
        </w:rPr>
        <w:t>ed to</w:t>
      </w:r>
      <w:r w:rsidRPr="00AD5D55">
        <w:rPr>
          <w:rFonts w:ascii="Times New Roman" w:eastAsia="Times New Roman" w:hAnsi="Times New Roman" w:cs="Times New Roman"/>
          <w:sz w:val="28"/>
          <w:szCs w:val="28"/>
          <w:lang w:eastAsia="en-IN"/>
        </w:rPr>
        <w:t xml:space="preserve"> </w:t>
      </w:r>
      <w:r w:rsidRPr="00AD5D55">
        <w:rPr>
          <w:rFonts w:ascii="Times New Roman" w:eastAsia="Times New Roman" w:hAnsi="Times New Roman" w:cs="Times New Roman"/>
          <w:b/>
          <w:bCs/>
          <w:sz w:val="28"/>
          <w:szCs w:val="28"/>
          <w:lang w:eastAsia="en-IN"/>
        </w:rPr>
        <w:t>BUY</w:t>
      </w:r>
      <w:r w:rsidRPr="00AD5D55">
        <w:rPr>
          <w:rFonts w:ascii="Times New Roman" w:eastAsia="Times New Roman" w:hAnsi="Times New Roman" w:cs="Times New Roman"/>
          <w:sz w:val="28"/>
          <w:szCs w:val="28"/>
          <w:lang w:eastAsia="en-IN"/>
        </w:rPr>
        <w:t xml:space="preserve"> for investors looking for long-term growth, considering strong fundamentals, a strategic EV push, and macroeconomic tailwinds.</w:t>
      </w:r>
    </w:p>
    <w:p w14:paraId="3CFC22A6" w14:textId="77777777" w:rsidR="00AD5D55" w:rsidRPr="00AD5D55" w:rsidRDefault="00AD5D55" w:rsidP="00AD5D55">
      <w:pPr>
        <w:spacing w:after="0" w:line="240" w:lineRule="auto"/>
        <w:rPr>
          <w:rFonts w:ascii="Times New Roman" w:eastAsia="Times New Roman" w:hAnsi="Times New Roman" w:cs="Times New Roman"/>
          <w:sz w:val="24"/>
          <w:szCs w:val="24"/>
          <w:lang w:eastAsia="en-IN"/>
        </w:rPr>
      </w:pPr>
      <w:r w:rsidRPr="00AD5D55">
        <w:rPr>
          <w:rFonts w:ascii="Times New Roman" w:eastAsia="Times New Roman" w:hAnsi="Times New Roman" w:cs="Times New Roman"/>
          <w:sz w:val="28"/>
          <w:szCs w:val="28"/>
          <w:lang w:eastAsia="en-IN"/>
        </w:rPr>
        <w:pict w14:anchorId="22EF9B88">
          <v:rect id="_x0000_i1026" style="width:0;height:1.5pt" o:hralign="center" o:hrstd="t" o:hr="t" fillcolor="#a0a0a0" stroked="f"/>
        </w:pict>
      </w:r>
    </w:p>
    <w:p w14:paraId="402C6851" w14:textId="709AE232" w:rsidR="00AD5D55" w:rsidRDefault="00AD5D55" w:rsidP="00AD5D55">
      <w:pPr>
        <w:spacing w:before="100" w:beforeAutospacing="1" w:after="100" w:afterAutospacing="1" w:line="24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INTRODUCTION</w:t>
      </w:r>
    </w:p>
    <w:p w14:paraId="132CDDF5" w14:textId="5AB15380" w:rsidR="002A6B6F" w:rsidRPr="002A6B6F" w:rsidRDefault="006375A9" w:rsidP="002A6B6F">
      <w:pPr>
        <w:pStyle w:val="NormalWeb"/>
        <w:spacing w:before="0" w:beforeAutospacing="0" w:after="0" w:afterAutospacing="0" w:line="360" w:lineRule="atLeast"/>
        <w:textAlignment w:val="baseline"/>
        <w:rPr>
          <w:color w:val="262626"/>
          <w:sz w:val="28"/>
          <w:szCs w:val="28"/>
        </w:rPr>
      </w:pPr>
      <w:r>
        <w:rPr>
          <w:b/>
          <w:bCs/>
          <w:noProof/>
          <w:sz w:val="28"/>
          <w:szCs w:val="28"/>
        </w:rPr>
        <w:drawing>
          <wp:anchor distT="0" distB="0" distL="114300" distR="114300" simplePos="0" relativeHeight="251658240" behindDoc="1" locked="0" layoutInCell="1" allowOverlap="1" wp14:anchorId="3A5517A0" wp14:editId="6AC4CE17">
            <wp:simplePos x="0" y="0"/>
            <wp:positionH relativeFrom="margin">
              <wp:align>right</wp:align>
            </wp:positionH>
            <wp:positionV relativeFrom="paragraph">
              <wp:posOffset>36830</wp:posOffset>
            </wp:positionV>
            <wp:extent cx="2952750" cy="1619250"/>
            <wp:effectExtent l="0" t="0" r="0" b="0"/>
            <wp:wrapTight wrapText="bothSides">
              <wp:wrapPolygon edited="0">
                <wp:start x="0" y="0"/>
                <wp:lineTo x="0" y="21346"/>
                <wp:lineTo x="21461" y="21346"/>
                <wp:lineTo x="2146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ata.jpeg"/>
                    <pic:cNvPicPr/>
                  </pic:nvPicPr>
                  <pic:blipFill>
                    <a:blip r:embed="rId5">
                      <a:extLst>
                        <a:ext uri="{28A0092B-C50C-407E-A947-70E740481C1C}">
                          <a14:useLocalDpi xmlns:a14="http://schemas.microsoft.com/office/drawing/2010/main" val="0"/>
                        </a:ext>
                      </a:extLst>
                    </a:blip>
                    <a:stretch>
                      <a:fillRect/>
                    </a:stretch>
                  </pic:blipFill>
                  <pic:spPr>
                    <a:xfrm>
                      <a:off x="0" y="0"/>
                      <a:ext cx="2952750" cy="1619250"/>
                    </a:xfrm>
                    <a:prstGeom prst="rect">
                      <a:avLst/>
                    </a:prstGeom>
                  </pic:spPr>
                </pic:pic>
              </a:graphicData>
            </a:graphic>
          </wp:anchor>
        </w:drawing>
      </w:r>
      <w:r w:rsidR="00F57387" w:rsidRPr="002A6B6F">
        <w:rPr>
          <w:bCs/>
          <w:sz w:val="28"/>
          <w:szCs w:val="28"/>
        </w:rPr>
        <w:t xml:space="preserve">TATA MOTORS a leading global automobile manufacturer and a part of TATA GROUP was established in 1945 as Tata Engineering and Locomotive co. </w:t>
      </w:r>
      <w:r w:rsidR="008553CD" w:rsidRPr="002A6B6F">
        <w:rPr>
          <w:bCs/>
          <w:sz w:val="28"/>
          <w:szCs w:val="28"/>
        </w:rPr>
        <w:t xml:space="preserve">(TELCO). They began by manufacturing locomotives and later expanded into commercial vehicles notably partnering with Daimler-Benz to produce Mercedes-Benz vehicles in India. Tata Motors in now a diversified </w:t>
      </w:r>
      <w:r w:rsidR="002A6B6F" w:rsidRPr="002A6B6F">
        <w:rPr>
          <w:bCs/>
          <w:sz w:val="28"/>
          <w:szCs w:val="28"/>
        </w:rPr>
        <w:t>company offering a wide range of vehicles including cars, utility vehicles, trucks buses and even electric vehicles.</w:t>
      </w:r>
      <w:r w:rsidR="002A6B6F" w:rsidRPr="002A6B6F">
        <w:rPr>
          <w:rFonts w:ascii="Arial" w:hAnsi="Arial" w:cs="Arial"/>
          <w:color w:val="262626"/>
        </w:rPr>
        <w:t xml:space="preserve"> </w:t>
      </w:r>
      <w:r w:rsidR="002A6B6F" w:rsidRPr="002A6B6F">
        <w:rPr>
          <w:color w:val="262626"/>
          <w:sz w:val="28"/>
          <w:szCs w:val="28"/>
        </w:rPr>
        <w:t xml:space="preserve">A significant turning point for </w:t>
      </w:r>
      <w:r w:rsidR="002A6B6F" w:rsidRPr="002A6B6F">
        <w:rPr>
          <w:color w:val="262626"/>
          <w:sz w:val="28"/>
          <w:szCs w:val="28"/>
        </w:rPr>
        <w:lastRenderedPageBreak/>
        <w:t>TATA MOTORS came in 1983 when it launched its first commercial vehicle, THE TATA 407</w:t>
      </w:r>
      <w:r w:rsidR="002A6B6F" w:rsidRPr="002A6B6F">
        <w:rPr>
          <w:color w:val="262626"/>
          <w:sz w:val="28"/>
          <w:szCs w:val="28"/>
        </w:rPr>
        <w:t>. This versatile and rugged vehicle quickly became a favourite among Indian businesses, cementing Tata Motors’ position as a key player in the commercial vehicle segment.</w:t>
      </w:r>
    </w:p>
    <w:p w14:paraId="6492ABF0" w14:textId="3116AA5C" w:rsidR="002A6B6F" w:rsidRPr="002A6B6F" w:rsidRDefault="002A6B6F" w:rsidP="002A6B6F">
      <w:pPr>
        <w:spacing w:after="0" w:line="360" w:lineRule="atLeast"/>
        <w:textAlignment w:val="baseline"/>
        <w:rPr>
          <w:rFonts w:ascii="Times New Roman" w:eastAsia="Times New Roman" w:hAnsi="Times New Roman" w:cs="Times New Roman"/>
          <w:color w:val="262626"/>
          <w:sz w:val="28"/>
          <w:szCs w:val="28"/>
          <w:lang w:eastAsia="en-IN"/>
        </w:rPr>
      </w:pPr>
      <w:r w:rsidRPr="002A6B6F">
        <w:rPr>
          <w:rFonts w:ascii="Times New Roman" w:eastAsia="Times New Roman" w:hAnsi="Times New Roman" w:cs="Times New Roman"/>
          <w:color w:val="262626"/>
          <w:sz w:val="28"/>
          <w:szCs w:val="28"/>
          <w:lang w:eastAsia="en-IN"/>
        </w:rPr>
        <w:t>In 1991, </w:t>
      </w:r>
      <w:r w:rsidRPr="002A6B6F">
        <w:rPr>
          <w:rFonts w:ascii="Times New Roman" w:eastAsia="Times New Roman" w:hAnsi="Times New Roman" w:cs="Times New Roman"/>
          <w:color w:val="3A3A3A"/>
          <w:sz w:val="28"/>
          <w:szCs w:val="28"/>
          <w:bdr w:val="none" w:sz="0" w:space="0" w:color="auto" w:frame="1"/>
          <w:lang w:eastAsia="en-IN"/>
        </w:rPr>
        <w:t>Tata Motors</w:t>
      </w:r>
      <w:r w:rsidRPr="002A6B6F">
        <w:rPr>
          <w:rFonts w:ascii="Times New Roman" w:eastAsia="Times New Roman" w:hAnsi="Times New Roman" w:cs="Times New Roman"/>
          <w:color w:val="262626"/>
          <w:sz w:val="28"/>
          <w:szCs w:val="28"/>
          <w:lang w:eastAsia="en-IN"/>
        </w:rPr>
        <w:t> introduced the Tata Sierra, marking its entry into the passenger vehicle market. The subsequent years witnessed the launch of several successful models like the Tata Indica and Tata Safari. </w:t>
      </w:r>
      <w:r w:rsidRPr="002A6B6F">
        <w:rPr>
          <w:rFonts w:ascii="Times New Roman" w:eastAsia="Times New Roman" w:hAnsi="Times New Roman" w:cs="Times New Roman"/>
          <w:color w:val="3A3A3A"/>
          <w:sz w:val="28"/>
          <w:szCs w:val="28"/>
          <w:bdr w:val="none" w:sz="0" w:space="0" w:color="auto" w:frame="1"/>
          <w:lang w:eastAsia="en-IN"/>
        </w:rPr>
        <w:t>Tata Motors</w:t>
      </w:r>
      <w:r w:rsidRPr="002A6B6F">
        <w:rPr>
          <w:rFonts w:ascii="Times New Roman" w:eastAsia="Times New Roman" w:hAnsi="Times New Roman" w:cs="Times New Roman"/>
          <w:color w:val="262626"/>
          <w:sz w:val="28"/>
          <w:szCs w:val="28"/>
          <w:lang w:eastAsia="en-IN"/>
        </w:rPr>
        <w:t> continued to innovate and expand its product line</w:t>
      </w:r>
      <w:r>
        <w:rPr>
          <w:rFonts w:ascii="Times New Roman" w:eastAsia="Times New Roman" w:hAnsi="Times New Roman" w:cs="Times New Roman"/>
          <w:color w:val="262626"/>
          <w:sz w:val="28"/>
          <w:szCs w:val="28"/>
          <w:lang w:eastAsia="en-IN"/>
        </w:rPr>
        <w:t xml:space="preserve"> </w:t>
      </w:r>
      <w:r w:rsidRPr="002A6B6F">
        <w:rPr>
          <w:rFonts w:ascii="Times New Roman" w:eastAsia="Times New Roman" w:hAnsi="Times New Roman" w:cs="Times New Roman"/>
          <w:color w:val="262626"/>
          <w:sz w:val="28"/>
          <w:szCs w:val="28"/>
          <w:lang w:eastAsia="en-IN"/>
        </w:rPr>
        <w:t>up.</w:t>
      </w:r>
      <w:r>
        <w:rPr>
          <w:rFonts w:ascii="Times New Roman" w:eastAsia="Times New Roman" w:hAnsi="Times New Roman" w:cs="Times New Roman"/>
          <w:color w:val="262626"/>
          <w:sz w:val="28"/>
          <w:szCs w:val="28"/>
          <w:lang w:eastAsia="en-IN"/>
        </w:rPr>
        <w:t xml:space="preserve"> </w:t>
      </w:r>
      <w:r w:rsidRPr="002A6B6F">
        <w:rPr>
          <w:rFonts w:ascii="Times New Roman" w:eastAsia="Times New Roman" w:hAnsi="Times New Roman" w:cs="Times New Roman"/>
          <w:color w:val="262626"/>
          <w:sz w:val="28"/>
          <w:szCs w:val="28"/>
          <w:lang w:eastAsia="en-IN"/>
        </w:rPr>
        <w:t xml:space="preserve">One of the most notable milestones in Tata Motors’ history occurred in 2008 when it acquired Jaguar Land Rover (JLR), the renowned British luxury carmaker. This acquisition </w:t>
      </w:r>
      <w:r>
        <w:rPr>
          <w:rFonts w:ascii="Times New Roman" w:eastAsia="Times New Roman" w:hAnsi="Times New Roman" w:cs="Times New Roman"/>
          <w:color w:val="262626"/>
          <w:sz w:val="28"/>
          <w:szCs w:val="28"/>
          <w:lang w:eastAsia="en-IN"/>
        </w:rPr>
        <w:t>took</w:t>
      </w:r>
      <w:r w:rsidRPr="002A6B6F">
        <w:rPr>
          <w:rFonts w:ascii="Times New Roman" w:eastAsia="Times New Roman" w:hAnsi="Times New Roman" w:cs="Times New Roman"/>
          <w:color w:val="262626"/>
          <w:sz w:val="28"/>
          <w:szCs w:val="28"/>
          <w:lang w:eastAsia="en-IN"/>
        </w:rPr>
        <w:t> </w:t>
      </w:r>
      <w:r w:rsidRPr="002A6B6F">
        <w:rPr>
          <w:rFonts w:ascii="Times New Roman" w:eastAsia="Times New Roman" w:hAnsi="Times New Roman" w:cs="Times New Roman"/>
          <w:color w:val="3A3A3A"/>
          <w:sz w:val="28"/>
          <w:szCs w:val="28"/>
          <w:bdr w:val="none" w:sz="0" w:space="0" w:color="auto" w:frame="1"/>
          <w:lang w:eastAsia="en-IN"/>
        </w:rPr>
        <w:t>Tata Motors</w:t>
      </w:r>
      <w:r>
        <w:rPr>
          <w:rFonts w:ascii="Times New Roman" w:eastAsia="Times New Roman" w:hAnsi="Times New Roman" w:cs="Times New Roman"/>
          <w:color w:val="3A3A3A"/>
          <w:sz w:val="28"/>
          <w:szCs w:val="28"/>
          <w:bdr w:val="none" w:sz="0" w:space="0" w:color="auto" w:frame="1"/>
          <w:lang w:eastAsia="en-IN"/>
        </w:rPr>
        <w:t xml:space="preserve"> </w:t>
      </w:r>
      <w:r w:rsidRPr="002A6B6F">
        <w:rPr>
          <w:rFonts w:ascii="Times New Roman" w:eastAsia="Times New Roman" w:hAnsi="Times New Roman" w:cs="Times New Roman"/>
          <w:color w:val="262626"/>
          <w:sz w:val="28"/>
          <w:szCs w:val="28"/>
          <w:lang w:eastAsia="en-IN"/>
        </w:rPr>
        <w:t xml:space="preserve">onto the global stage, making it a </w:t>
      </w:r>
      <w:r>
        <w:rPr>
          <w:rFonts w:ascii="Times New Roman" w:eastAsia="Times New Roman" w:hAnsi="Times New Roman" w:cs="Times New Roman"/>
          <w:color w:val="262626"/>
          <w:sz w:val="28"/>
          <w:szCs w:val="28"/>
          <w:lang w:eastAsia="en-IN"/>
        </w:rPr>
        <w:t>powerful</w:t>
      </w:r>
      <w:r w:rsidRPr="002A6B6F">
        <w:rPr>
          <w:rFonts w:ascii="Times New Roman" w:eastAsia="Times New Roman" w:hAnsi="Times New Roman" w:cs="Times New Roman"/>
          <w:color w:val="262626"/>
          <w:sz w:val="28"/>
          <w:szCs w:val="28"/>
          <w:lang w:eastAsia="en-IN"/>
        </w:rPr>
        <w:t xml:space="preserve"> force in both the commercial and passenger vehicle segments.</w:t>
      </w:r>
    </w:p>
    <w:p w14:paraId="3341AC18" w14:textId="5A340F28" w:rsidR="006375A9" w:rsidRDefault="006375A9" w:rsidP="00AD5D55">
      <w:pPr>
        <w:spacing w:before="100" w:beforeAutospacing="1" w:after="100" w:afterAutospacing="1" w:line="240" w:lineRule="auto"/>
        <w:rPr>
          <w:rFonts w:ascii="Times New Roman" w:eastAsia="Times New Roman" w:hAnsi="Times New Roman" w:cs="Times New Roman"/>
          <w:bCs/>
          <w:sz w:val="28"/>
          <w:szCs w:val="28"/>
          <w:lang w:eastAsia="en-IN"/>
        </w:rPr>
      </w:pPr>
    </w:p>
    <w:p w14:paraId="2FC9FC65" w14:textId="53A6C7D8" w:rsidR="00AD5D55" w:rsidRPr="00AD5D55" w:rsidRDefault="00AD5D55" w:rsidP="00AD5D55">
      <w:pPr>
        <w:spacing w:before="100" w:beforeAutospacing="1" w:after="100" w:afterAutospacing="1" w:line="240" w:lineRule="auto"/>
        <w:rPr>
          <w:rFonts w:ascii="Times New Roman" w:eastAsia="Times New Roman" w:hAnsi="Times New Roman" w:cs="Times New Roman"/>
          <w:sz w:val="28"/>
          <w:szCs w:val="28"/>
          <w:lang w:eastAsia="en-IN"/>
        </w:rPr>
      </w:pPr>
      <w:r w:rsidRPr="00AD5D55">
        <w:rPr>
          <w:rFonts w:ascii="Times New Roman" w:eastAsia="Times New Roman" w:hAnsi="Times New Roman" w:cs="Times New Roman"/>
          <w:b/>
          <w:bCs/>
          <w:sz w:val="28"/>
          <w:szCs w:val="28"/>
          <w:lang w:eastAsia="en-IN"/>
        </w:rPr>
        <w:t xml:space="preserve">Macroeconomic Analysis </w:t>
      </w:r>
    </w:p>
    <w:p w14:paraId="1B302F56" w14:textId="5D369281" w:rsidR="00542E67" w:rsidRPr="00542E67" w:rsidRDefault="00542E67" w:rsidP="00AD5D55">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59264" behindDoc="1" locked="0" layoutInCell="1" allowOverlap="1" wp14:anchorId="32B23215" wp14:editId="43111C3C">
            <wp:simplePos x="0" y="0"/>
            <wp:positionH relativeFrom="margin">
              <wp:posOffset>142875</wp:posOffset>
            </wp:positionH>
            <wp:positionV relativeFrom="paragraph">
              <wp:posOffset>1515110</wp:posOffset>
            </wp:positionV>
            <wp:extent cx="5286375" cy="2428875"/>
            <wp:effectExtent l="0" t="0" r="9525" b="9525"/>
            <wp:wrapTight wrapText="bothSides">
              <wp:wrapPolygon edited="0">
                <wp:start x="0" y="0"/>
                <wp:lineTo x="0" y="21515"/>
                <wp:lineTo x="21561" y="21515"/>
                <wp:lineTo x="21561"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p.PNG"/>
                    <pic:cNvPicPr/>
                  </pic:nvPicPr>
                  <pic:blipFill>
                    <a:blip r:embed="rId6">
                      <a:extLst>
                        <a:ext uri="{28A0092B-C50C-407E-A947-70E740481C1C}">
                          <a14:useLocalDpi xmlns:a14="http://schemas.microsoft.com/office/drawing/2010/main" val="0"/>
                        </a:ext>
                      </a:extLst>
                    </a:blip>
                    <a:stretch>
                      <a:fillRect/>
                    </a:stretch>
                  </pic:blipFill>
                  <pic:spPr>
                    <a:xfrm>
                      <a:off x="0" y="0"/>
                      <a:ext cx="5286375" cy="2428875"/>
                    </a:xfrm>
                    <a:prstGeom prst="rect">
                      <a:avLst/>
                    </a:prstGeom>
                  </pic:spPr>
                </pic:pic>
              </a:graphicData>
            </a:graphic>
            <wp14:sizeRelH relativeFrom="margin">
              <wp14:pctWidth>0</wp14:pctWidth>
            </wp14:sizeRelH>
            <wp14:sizeRelV relativeFrom="margin">
              <wp14:pctHeight>0</wp14:pctHeight>
            </wp14:sizeRelV>
          </wp:anchor>
        </w:drawing>
      </w:r>
      <w:r w:rsidRPr="00542E67">
        <w:rPr>
          <w:rFonts w:ascii="Times New Roman" w:hAnsi="Times New Roman" w:cs="Times New Roman"/>
          <w:sz w:val="28"/>
          <w:szCs w:val="28"/>
        </w:rPr>
        <w:t xml:space="preserve">India is maintaining its status as the fastest-growing large economy for the next two fiscal years. The January 2025 editions of the World Bank’s Global Economic Prospects (GEP) report project India’s economy to grow at a steady rate of 6.7% in FY26 and FY27. However, the latest update from the International Monetary Fund’s (IMF) World Economic Outlook (WEO) also reinforces India’s strong economic trajectory. The IMF forecasts India’s growth to remain at 6.5% for both 2025 and 2026. The growth in the Indian economy is primarily driven by solid private consumption and investment growth. Additionally, capital expenditure on infrastructure development is expected to have strong multiplier effects on growth in the coming years. Strong export growth of services and certain goods, particularly pharmaceuticals and electronics, will boost economic activity. On the supply side, expansion in the </w:t>
      </w:r>
      <w:r w:rsidRPr="00542E67">
        <w:rPr>
          <w:rFonts w:ascii="Times New Roman" w:hAnsi="Times New Roman" w:cs="Times New Roman"/>
          <w:sz w:val="28"/>
          <w:szCs w:val="28"/>
        </w:rPr>
        <w:lastRenderedPageBreak/>
        <w:t>manufacturing and services sectors will keep driving the economy throughout the forecast period. Meanwhile, favo</w:t>
      </w:r>
      <w:r w:rsidRPr="00542E67">
        <w:rPr>
          <w:rFonts w:ascii="Times New Roman" w:hAnsi="Times New Roman" w:cs="Times New Roman"/>
          <w:sz w:val="28"/>
          <w:szCs w:val="28"/>
        </w:rPr>
        <w:t>u</w:t>
      </w:r>
      <w:r w:rsidRPr="00542E67">
        <w:rPr>
          <w:rFonts w:ascii="Times New Roman" w:hAnsi="Times New Roman" w:cs="Times New Roman"/>
          <w:sz w:val="28"/>
          <w:szCs w:val="28"/>
        </w:rPr>
        <w:t>rable monsoon rains in 2024 have improved the summer–sowing areas for all major crops, boosting agricultural output expectations for 2025. Private consumption in India is likely to gain momentum, driven by a strong labo</w:t>
      </w:r>
      <w:r w:rsidRPr="00542E67">
        <w:rPr>
          <w:rFonts w:ascii="Times New Roman" w:hAnsi="Times New Roman" w:cs="Times New Roman"/>
          <w:sz w:val="28"/>
          <w:szCs w:val="28"/>
        </w:rPr>
        <w:t>u</w:t>
      </w:r>
      <w:r w:rsidRPr="00542E67">
        <w:rPr>
          <w:rFonts w:ascii="Times New Roman" w:hAnsi="Times New Roman" w:cs="Times New Roman"/>
          <w:sz w:val="28"/>
          <w:szCs w:val="28"/>
        </w:rPr>
        <w:t>r market, Increased access to credit, and lower inflation.</w:t>
      </w:r>
    </w:p>
    <w:p w14:paraId="0140D754" w14:textId="5C7E4861" w:rsidR="00542E67" w:rsidRPr="00542E67" w:rsidRDefault="00542E67" w:rsidP="00AD5D55">
      <w:pPr>
        <w:spacing w:before="100" w:beforeAutospacing="1" w:after="100" w:afterAutospacing="1" w:line="240" w:lineRule="auto"/>
        <w:rPr>
          <w:rFonts w:ascii="Times New Roman" w:hAnsi="Times New Roman" w:cs="Times New Roman"/>
          <w:sz w:val="28"/>
          <w:szCs w:val="28"/>
        </w:rPr>
      </w:pPr>
      <w:r>
        <w:t xml:space="preserve"> </w:t>
      </w:r>
      <w:r w:rsidRPr="00542E67">
        <w:rPr>
          <w:rFonts w:ascii="Times New Roman" w:hAnsi="Times New Roman" w:cs="Times New Roman"/>
          <w:b/>
          <w:sz w:val="28"/>
          <w:szCs w:val="28"/>
        </w:rPr>
        <w:t>Lower inflation –</w:t>
      </w:r>
      <w:r w:rsidRPr="00542E67">
        <w:rPr>
          <w:rFonts w:ascii="Times New Roman" w:hAnsi="Times New Roman" w:cs="Times New Roman"/>
          <w:sz w:val="28"/>
          <w:szCs w:val="28"/>
        </w:rPr>
        <w:t xml:space="preserve"> The consumer price inflation in India is forecast to decelerate from an estimated 4.8% in 2024 to 4.3% in 2025, staying within the 2-6% medium term target range set by the bank. </w:t>
      </w:r>
      <w:r>
        <w:rPr>
          <w:rFonts w:ascii="Times New Roman" w:hAnsi="Times New Roman" w:cs="Times New Roman"/>
          <w:noProof/>
          <w:sz w:val="28"/>
          <w:szCs w:val="28"/>
        </w:rPr>
        <w:drawing>
          <wp:inline distT="0" distB="0" distL="0" distR="0" wp14:anchorId="73AB987D" wp14:editId="1A961485">
            <wp:extent cx="5419725" cy="24098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p 2.PNG"/>
                    <pic:cNvPicPr/>
                  </pic:nvPicPr>
                  <pic:blipFill>
                    <a:blip r:embed="rId7">
                      <a:extLst>
                        <a:ext uri="{28A0092B-C50C-407E-A947-70E740481C1C}">
                          <a14:useLocalDpi xmlns:a14="http://schemas.microsoft.com/office/drawing/2010/main" val="0"/>
                        </a:ext>
                      </a:extLst>
                    </a:blip>
                    <a:stretch>
                      <a:fillRect/>
                    </a:stretch>
                  </pic:blipFill>
                  <pic:spPr>
                    <a:xfrm>
                      <a:off x="0" y="0"/>
                      <a:ext cx="5426677" cy="2412916"/>
                    </a:xfrm>
                    <a:prstGeom prst="rect">
                      <a:avLst/>
                    </a:prstGeom>
                  </pic:spPr>
                </pic:pic>
              </a:graphicData>
            </a:graphic>
          </wp:inline>
        </w:drawing>
      </w:r>
    </w:p>
    <w:p w14:paraId="0A1DC697" w14:textId="122CF88D" w:rsidR="00542E67" w:rsidRPr="00AD5D55" w:rsidRDefault="00542E67" w:rsidP="00AD5D55">
      <w:pPr>
        <w:spacing w:before="100" w:beforeAutospacing="1" w:after="100" w:afterAutospacing="1" w:line="240" w:lineRule="auto"/>
        <w:rPr>
          <w:rFonts w:ascii="Times New Roman" w:eastAsia="Times New Roman" w:hAnsi="Times New Roman" w:cs="Times New Roman"/>
          <w:sz w:val="28"/>
          <w:szCs w:val="28"/>
          <w:lang w:eastAsia="en-IN"/>
        </w:rPr>
      </w:pPr>
      <w:r w:rsidRPr="00542E67">
        <w:rPr>
          <w:rFonts w:ascii="Times New Roman" w:hAnsi="Times New Roman" w:cs="Times New Roman"/>
          <w:b/>
          <w:sz w:val="28"/>
          <w:szCs w:val="28"/>
        </w:rPr>
        <w:t>Increased access to credit</w:t>
      </w:r>
      <w:r w:rsidRPr="00542E67">
        <w:rPr>
          <w:rFonts w:ascii="Times New Roman" w:hAnsi="Times New Roman" w:cs="Times New Roman"/>
          <w:sz w:val="28"/>
          <w:szCs w:val="28"/>
        </w:rPr>
        <w:t xml:space="preserve"> – Easing inflationary pressures have enabled the central bank to soften the monetary tightening. Resulting, the RBI </w:t>
      </w:r>
      <w:r w:rsidRPr="00542E67">
        <w:rPr>
          <w:rFonts w:ascii="Times New Roman" w:hAnsi="Times New Roman" w:cs="Times New Roman"/>
          <w:sz w:val="28"/>
          <w:szCs w:val="28"/>
        </w:rPr>
        <w:t xml:space="preserve">to </w:t>
      </w:r>
      <w:r w:rsidRPr="00542E67">
        <w:rPr>
          <w:rFonts w:ascii="Times New Roman" w:hAnsi="Times New Roman" w:cs="Times New Roman"/>
          <w:sz w:val="28"/>
          <w:szCs w:val="28"/>
        </w:rPr>
        <w:t>cut the repo rate from 6.50 percent to 6.25 percent. A lower repo rate makes borrowing cheaper for individuals and businesses, which can lead to increased spending and private investment. Resulting in boosting the economic growth. India’s investment growth is expected to remain steady, supported by rising private investments, improved corporate balance sheet, and favourable conditions. Recently, the Indian government announced a tax cut for middle-class individuals. According to the new tax slab, Income up to 12 lakhs will be tax free for individuals. Which leads to an increase in the disposal</w:t>
      </w:r>
      <w:r w:rsidRPr="00542E67">
        <w:rPr>
          <w:rFonts w:ascii="Times New Roman" w:hAnsi="Times New Roman" w:cs="Times New Roman"/>
          <w:sz w:val="28"/>
          <w:szCs w:val="28"/>
        </w:rPr>
        <w:t xml:space="preserve"> </w:t>
      </w:r>
      <w:r w:rsidRPr="00542E67">
        <w:rPr>
          <w:rFonts w:ascii="Times New Roman" w:hAnsi="Times New Roman" w:cs="Times New Roman"/>
          <w:sz w:val="28"/>
          <w:szCs w:val="28"/>
        </w:rPr>
        <w:t>income of individuals. As a result, a gain in private consumption leads to an increase in private investment</w:t>
      </w:r>
    </w:p>
    <w:p w14:paraId="07493A21" w14:textId="77777777" w:rsidR="00AD5D55" w:rsidRPr="00AD5D55" w:rsidRDefault="00AD5D55" w:rsidP="00AD5D55">
      <w:pPr>
        <w:spacing w:before="100" w:beforeAutospacing="1" w:after="100" w:afterAutospacing="1" w:line="240" w:lineRule="auto"/>
        <w:rPr>
          <w:rFonts w:ascii="Times New Roman" w:eastAsia="Times New Roman" w:hAnsi="Times New Roman" w:cs="Times New Roman"/>
          <w:sz w:val="28"/>
          <w:szCs w:val="28"/>
          <w:lang w:eastAsia="en-IN"/>
        </w:rPr>
      </w:pPr>
      <w:r w:rsidRPr="00AD5D55">
        <w:rPr>
          <w:rFonts w:ascii="Times New Roman" w:eastAsia="Times New Roman" w:hAnsi="Times New Roman" w:cs="Times New Roman"/>
          <w:b/>
          <w:bCs/>
          <w:sz w:val="28"/>
          <w:szCs w:val="28"/>
          <w:lang w:eastAsia="en-IN"/>
        </w:rPr>
        <w:t>Impact on Tata Motors:</w:t>
      </w:r>
    </w:p>
    <w:p w14:paraId="1F47B033" w14:textId="77777777" w:rsidR="00AD5D55" w:rsidRPr="00AD5D55" w:rsidRDefault="00AD5D55" w:rsidP="00AD5D55">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AD5D55">
        <w:rPr>
          <w:rFonts w:ascii="Times New Roman" w:eastAsia="Times New Roman" w:hAnsi="Times New Roman" w:cs="Times New Roman"/>
          <w:b/>
          <w:bCs/>
          <w:sz w:val="28"/>
          <w:szCs w:val="28"/>
          <w:lang w:eastAsia="en-IN"/>
        </w:rPr>
        <w:t>Risk Profile:</w:t>
      </w:r>
      <w:r w:rsidRPr="00AD5D55">
        <w:rPr>
          <w:rFonts w:ascii="Times New Roman" w:eastAsia="Times New Roman" w:hAnsi="Times New Roman" w:cs="Times New Roman"/>
          <w:sz w:val="28"/>
          <w:szCs w:val="28"/>
          <w:lang w:eastAsia="en-IN"/>
        </w:rPr>
        <w:t xml:space="preserve"> Lower macro volatility and a supportive policy regime reduce the firm’s systemic risk.</w:t>
      </w:r>
    </w:p>
    <w:p w14:paraId="1C3F4E73" w14:textId="6247F6BD" w:rsidR="00AD5D55" w:rsidRPr="00AD5D55" w:rsidRDefault="00AD5D55" w:rsidP="00AD5D55">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AD5D55">
        <w:rPr>
          <w:rFonts w:ascii="Times New Roman" w:eastAsia="Times New Roman" w:hAnsi="Times New Roman" w:cs="Times New Roman"/>
          <w:b/>
          <w:bCs/>
          <w:sz w:val="28"/>
          <w:szCs w:val="28"/>
          <w:lang w:eastAsia="en-IN"/>
        </w:rPr>
        <w:t>Growth Justification:</w:t>
      </w:r>
      <w:r w:rsidRPr="00AD5D55">
        <w:rPr>
          <w:rFonts w:ascii="Times New Roman" w:eastAsia="Times New Roman" w:hAnsi="Times New Roman" w:cs="Times New Roman"/>
          <w:sz w:val="28"/>
          <w:szCs w:val="28"/>
          <w:lang w:eastAsia="en-IN"/>
        </w:rPr>
        <w:t xml:space="preserve"> Given the favo</w:t>
      </w:r>
      <w:r w:rsidR="00542E67">
        <w:rPr>
          <w:rFonts w:ascii="Times New Roman" w:eastAsia="Times New Roman" w:hAnsi="Times New Roman" w:cs="Times New Roman"/>
          <w:sz w:val="28"/>
          <w:szCs w:val="28"/>
          <w:lang w:eastAsia="en-IN"/>
        </w:rPr>
        <w:t>u</w:t>
      </w:r>
      <w:r w:rsidRPr="00AD5D55">
        <w:rPr>
          <w:rFonts w:ascii="Times New Roman" w:eastAsia="Times New Roman" w:hAnsi="Times New Roman" w:cs="Times New Roman"/>
          <w:sz w:val="28"/>
          <w:szCs w:val="28"/>
          <w:lang w:eastAsia="en-IN"/>
        </w:rPr>
        <w:t>rable macro backdrop, a 9% CAGR revenue growth assumption is justified for the DCF.</w:t>
      </w:r>
    </w:p>
    <w:p w14:paraId="43B154EA" w14:textId="77777777" w:rsidR="00AD5D55" w:rsidRPr="00AD5D55" w:rsidRDefault="00AD5D55" w:rsidP="00AD5D55">
      <w:pPr>
        <w:spacing w:after="0" w:line="240" w:lineRule="auto"/>
        <w:rPr>
          <w:rFonts w:ascii="Times New Roman" w:eastAsia="Times New Roman" w:hAnsi="Times New Roman" w:cs="Times New Roman"/>
          <w:sz w:val="24"/>
          <w:szCs w:val="24"/>
          <w:lang w:eastAsia="en-IN"/>
        </w:rPr>
      </w:pPr>
      <w:r w:rsidRPr="00AD5D55">
        <w:rPr>
          <w:rFonts w:ascii="Times New Roman" w:eastAsia="Times New Roman" w:hAnsi="Times New Roman" w:cs="Times New Roman"/>
          <w:sz w:val="28"/>
          <w:szCs w:val="28"/>
          <w:lang w:eastAsia="en-IN"/>
        </w:rPr>
        <w:pict w14:anchorId="5D2E6348">
          <v:rect id="_x0000_i1027" style="width:0;height:1.5pt" o:hralign="center" o:hrstd="t" o:hr="t" fillcolor="#a0a0a0" stroked="f"/>
        </w:pict>
      </w:r>
    </w:p>
    <w:p w14:paraId="693FEEFD" w14:textId="77777777" w:rsidR="00542E67" w:rsidRDefault="00542E67" w:rsidP="00AD5D55">
      <w:pPr>
        <w:spacing w:before="100" w:beforeAutospacing="1" w:after="100" w:afterAutospacing="1" w:line="240" w:lineRule="auto"/>
        <w:rPr>
          <w:rFonts w:ascii="Times New Roman" w:eastAsia="Times New Roman" w:hAnsi="Times New Roman" w:cs="Times New Roman"/>
          <w:b/>
          <w:bCs/>
          <w:sz w:val="24"/>
          <w:szCs w:val="24"/>
          <w:lang w:eastAsia="en-IN"/>
        </w:rPr>
      </w:pPr>
    </w:p>
    <w:p w14:paraId="05136543" w14:textId="11343924" w:rsidR="00AD5D55" w:rsidRPr="00AD5D55" w:rsidRDefault="00AD5D55" w:rsidP="00AD5D55">
      <w:pPr>
        <w:spacing w:before="100" w:beforeAutospacing="1" w:after="100" w:afterAutospacing="1" w:line="240" w:lineRule="auto"/>
        <w:rPr>
          <w:rFonts w:ascii="Times New Roman" w:eastAsia="Times New Roman" w:hAnsi="Times New Roman" w:cs="Times New Roman"/>
          <w:sz w:val="28"/>
          <w:szCs w:val="28"/>
          <w:lang w:eastAsia="en-IN"/>
        </w:rPr>
      </w:pPr>
      <w:r w:rsidRPr="00AD5D55">
        <w:rPr>
          <w:rFonts w:ascii="Times New Roman" w:eastAsia="Times New Roman" w:hAnsi="Times New Roman" w:cs="Times New Roman"/>
          <w:b/>
          <w:bCs/>
          <w:sz w:val="28"/>
          <w:szCs w:val="28"/>
          <w:lang w:eastAsia="en-IN"/>
        </w:rPr>
        <w:t xml:space="preserve">3. Industry Analysis </w:t>
      </w:r>
    </w:p>
    <w:p w14:paraId="54205D0F" w14:textId="3D149B32" w:rsidR="00AD5D55" w:rsidRPr="00AD5D55" w:rsidRDefault="00567B21" w:rsidP="00AD5D55">
      <w:pPr>
        <w:spacing w:before="100" w:beforeAutospacing="1" w:after="100" w:afterAutospacing="1" w:line="240" w:lineRule="auto"/>
        <w:rPr>
          <w:rFonts w:ascii="Times New Roman" w:eastAsia="Times New Roman" w:hAnsi="Times New Roman" w:cs="Times New Roman"/>
          <w:sz w:val="28"/>
          <w:szCs w:val="28"/>
          <w:lang w:eastAsia="en-IN"/>
        </w:rPr>
      </w:pPr>
      <w:r w:rsidRPr="00567B21">
        <w:rPr>
          <w:rFonts w:ascii="Times New Roman" w:hAnsi="Times New Roman" w:cs="Times New Roman"/>
          <w:b/>
          <w:sz w:val="28"/>
          <w:szCs w:val="28"/>
        </w:rPr>
        <w:t>Global Automotive Industry</w:t>
      </w:r>
      <w:r w:rsidRPr="00567B21">
        <w:rPr>
          <w:rFonts w:ascii="Times New Roman" w:hAnsi="Times New Roman" w:cs="Times New Roman"/>
          <w:sz w:val="28"/>
          <w:szCs w:val="28"/>
        </w:rPr>
        <w:t>: The Global automotive market size was valued at approximately $3,187.7 billion in 2023 and is expected to reach roughly $4006.0 billion in 2032, growing at a compound annual growth rate (CAGR) of about 5.04% from 2023 to 2032. Chinese automobile manufacturers are increasingly targeting the market of developed countries to further expand their global presence. A large supply of raw materials essential for the production of cars is available to Asian countries. Moreover, in the case of affordable and luxury cars, they have access to a highly skilled workforce</w:t>
      </w:r>
      <w:r w:rsidRPr="00567B21">
        <w:rPr>
          <w:rFonts w:ascii="Times New Roman" w:hAnsi="Times New Roman" w:cs="Times New Roman"/>
          <w:sz w:val="28"/>
          <w:szCs w:val="28"/>
        </w:rPr>
        <w:t xml:space="preserve">. </w:t>
      </w:r>
      <w:r w:rsidRPr="00567B21">
        <w:rPr>
          <w:rFonts w:ascii="Times New Roman" w:hAnsi="Times New Roman" w:cs="Times New Roman"/>
          <w:sz w:val="28"/>
          <w:szCs w:val="28"/>
        </w:rPr>
        <w:t xml:space="preserve">Cheap raw materials and the low wages of skilled workers help them to manufacture affordable and luxurious vehicles at a low manufacturing cost. In 2023, the Passenger vehicle segment dominated the Global automobile market with 73.2% of revenue shares. The increasing middleclass income and a substantial young population are driving the demand for passenger vehicles. The Passenger vehicles segment also benefits from frequent consumer preference for new models with advanced features and </w:t>
      </w:r>
      <w:proofErr w:type="gramStart"/>
      <w:r w:rsidRPr="00567B21">
        <w:rPr>
          <w:rFonts w:ascii="Times New Roman" w:hAnsi="Times New Roman" w:cs="Times New Roman"/>
          <w:sz w:val="28"/>
          <w:szCs w:val="28"/>
        </w:rPr>
        <w:t>technology</w:t>
      </w:r>
      <w:r>
        <w:rPr>
          <w:rFonts w:ascii="Times New Roman" w:hAnsi="Times New Roman" w:cs="Times New Roman"/>
          <w:sz w:val="28"/>
          <w:szCs w:val="28"/>
        </w:rPr>
        <w:t xml:space="preserve"> .</w:t>
      </w:r>
      <w:r w:rsidR="00AD5D55" w:rsidRPr="00AD5D55">
        <w:rPr>
          <w:rFonts w:ascii="Times New Roman" w:eastAsia="Times New Roman" w:hAnsi="Times New Roman" w:cs="Times New Roman"/>
          <w:sz w:val="28"/>
          <w:szCs w:val="28"/>
          <w:lang w:eastAsia="en-IN"/>
        </w:rPr>
        <w:t>The</w:t>
      </w:r>
      <w:proofErr w:type="gramEnd"/>
      <w:r w:rsidR="00AD5D55" w:rsidRPr="00AD5D55">
        <w:rPr>
          <w:rFonts w:ascii="Times New Roman" w:eastAsia="Times New Roman" w:hAnsi="Times New Roman" w:cs="Times New Roman"/>
          <w:sz w:val="28"/>
          <w:szCs w:val="28"/>
          <w:lang w:eastAsia="en-IN"/>
        </w:rPr>
        <w:t xml:space="preserve"> automotive industry in India is undergoing a major transformation driven by policy shifts, consumer behavio</w:t>
      </w:r>
      <w:r w:rsidRPr="00567B21">
        <w:rPr>
          <w:rFonts w:ascii="Times New Roman" w:eastAsia="Times New Roman" w:hAnsi="Times New Roman" w:cs="Times New Roman"/>
          <w:sz w:val="28"/>
          <w:szCs w:val="28"/>
          <w:lang w:eastAsia="en-IN"/>
        </w:rPr>
        <w:t>u</w:t>
      </w:r>
      <w:r w:rsidR="00AD5D55" w:rsidRPr="00AD5D55">
        <w:rPr>
          <w:rFonts w:ascii="Times New Roman" w:eastAsia="Times New Roman" w:hAnsi="Times New Roman" w:cs="Times New Roman"/>
          <w:sz w:val="28"/>
          <w:szCs w:val="28"/>
          <w:lang w:eastAsia="en-IN"/>
        </w:rPr>
        <w:t>r, and technological disruptions.</w:t>
      </w:r>
      <w:r>
        <w:rPr>
          <w:rFonts w:ascii="Times New Roman" w:eastAsia="Times New Roman" w:hAnsi="Times New Roman" w:cs="Times New Roman"/>
          <w:noProof/>
          <w:sz w:val="28"/>
          <w:szCs w:val="28"/>
          <w:lang w:eastAsia="en-IN"/>
        </w:rPr>
        <w:drawing>
          <wp:inline distT="0" distB="0" distL="0" distR="0" wp14:anchorId="5A92A20E" wp14:editId="0DD3415F">
            <wp:extent cx="4995894" cy="24193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p3.PNG"/>
                    <pic:cNvPicPr/>
                  </pic:nvPicPr>
                  <pic:blipFill>
                    <a:blip r:embed="rId8">
                      <a:extLst>
                        <a:ext uri="{28A0092B-C50C-407E-A947-70E740481C1C}">
                          <a14:useLocalDpi xmlns:a14="http://schemas.microsoft.com/office/drawing/2010/main" val="0"/>
                        </a:ext>
                      </a:extLst>
                    </a:blip>
                    <a:stretch>
                      <a:fillRect/>
                    </a:stretch>
                  </pic:blipFill>
                  <pic:spPr>
                    <a:xfrm>
                      <a:off x="0" y="0"/>
                      <a:ext cx="5019995" cy="2431021"/>
                    </a:xfrm>
                    <a:prstGeom prst="rect">
                      <a:avLst/>
                    </a:prstGeom>
                  </pic:spPr>
                </pic:pic>
              </a:graphicData>
            </a:graphic>
          </wp:inline>
        </w:drawing>
      </w:r>
    </w:p>
    <w:p w14:paraId="76502A21" w14:textId="537EADD0" w:rsidR="00766F68" w:rsidRDefault="00766F68" w:rsidP="00AD5D55">
      <w:pPr>
        <w:spacing w:before="100" w:beforeAutospacing="1" w:after="100" w:afterAutospacing="1" w:line="240" w:lineRule="auto"/>
        <w:rPr>
          <w:rFonts w:ascii="Times New Roman" w:hAnsi="Times New Roman" w:cs="Times New Roman"/>
          <w:sz w:val="28"/>
          <w:szCs w:val="28"/>
        </w:rPr>
      </w:pPr>
      <w:r w:rsidRPr="001976D7">
        <w:rPr>
          <w:rFonts w:ascii="Times New Roman" w:hAnsi="Times New Roman" w:cs="Times New Roman"/>
          <w:b/>
          <w:sz w:val="28"/>
          <w:szCs w:val="28"/>
        </w:rPr>
        <w:t>Indian Automotive Industry</w:t>
      </w:r>
      <w:r w:rsidRPr="001976D7">
        <w:rPr>
          <w:rFonts w:ascii="Times New Roman" w:hAnsi="Times New Roman" w:cs="Times New Roman"/>
          <w:sz w:val="28"/>
          <w:szCs w:val="28"/>
        </w:rPr>
        <w:t>: The Indian automobile sector is divided into Commercial, Passenger, Two-wheelers, and Three wheelers. India enjoys a strong position in the global market as it is the largest tractor producer, second-largest bus manufacturer, and third-largest heavy truck manufacturer globally. India’s annual production of automobiles in FY23 was 25.9 million vehicles, however, the total export was 4.8 million. The Two-Wheelers and Passenger vehicles dominate the domestic market. In FY23-24, Passenger vehicle sales reached a new all-time high with 4.2 million units sold, while commercial vehicle sales showed a marginal growth of 0.6% compared to FY23</w:t>
      </w:r>
      <w:r w:rsidRPr="001976D7">
        <w:rPr>
          <w:rFonts w:ascii="Times New Roman" w:hAnsi="Times New Roman" w:cs="Times New Roman"/>
          <w:sz w:val="28"/>
          <w:szCs w:val="28"/>
        </w:rPr>
        <w:t>.</w:t>
      </w:r>
      <w:r w:rsidRPr="001976D7">
        <w:rPr>
          <w:rFonts w:ascii="Times New Roman" w:hAnsi="Times New Roman" w:cs="Times New Roman"/>
          <w:sz w:val="28"/>
          <w:szCs w:val="28"/>
        </w:rPr>
        <w:t xml:space="preserve">However, over the 10 years between FY 2013-14 and FY 2023-24, the Utility Vehicle </w:t>
      </w:r>
      <w:r w:rsidRPr="001976D7">
        <w:rPr>
          <w:rFonts w:ascii="Times New Roman" w:hAnsi="Times New Roman" w:cs="Times New Roman"/>
          <w:sz w:val="28"/>
          <w:szCs w:val="28"/>
        </w:rPr>
        <w:lastRenderedPageBreak/>
        <w:t xml:space="preserve">(UV) segment has been a key driver of passenger Vehicles (PV) growth. UV grew at a CAGR of 17% and PV grew at a CAGR of 5.4% from FY14 to FY24, resulting in UV Shares of the Passenger vehicle have increased from 21% to 59.7% for the same period. The growth in the UV is driven by increased customer preference for UV-styled vehicles and new launches. The long-term growth outlook for the Indian auto industry is promising, when compared with </w:t>
      </w:r>
      <w:r w:rsidR="001976D7" w:rsidRPr="001976D7">
        <w:rPr>
          <w:rFonts w:ascii="Times New Roman" w:hAnsi="Times New Roman" w:cs="Times New Roman"/>
          <w:noProof/>
          <w:sz w:val="28"/>
          <w:szCs w:val="28"/>
        </w:rPr>
        <w:drawing>
          <wp:anchor distT="0" distB="0" distL="114300" distR="114300" simplePos="0" relativeHeight="251660288" behindDoc="1" locked="0" layoutInCell="1" allowOverlap="1" wp14:anchorId="5C90027E" wp14:editId="643B1E7C">
            <wp:simplePos x="0" y="0"/>
            <wp:positionH relativeFrom="column">
              <wp:posOffset>2209800</wp:posOffset>
            </wp:positionH>
            <wp:positionV relativeFrom="paragraph">
              <wp:posOffset>1123950</wp:posOffset>
            </wp:positionV>
            <wp:extent cx="4321810" cy="2464435"/>
            <wp:effectExtent l="0" t="0" r="2540" b="0"/>
            <wp:wrapTight wrapText="bothSides">
              <wp:wrapPolygon edited="0">
                <wp:start x="0" y="0"/>
                <wp:lineTo x="0" y="21372"/>
                <wp:lineTo x="21517" y="21372"/>
                <wp:lineTo x="21517"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p 4.PNG"/>
                    <pic:cNvPicPr/>
                  </pic:nvPicPr>
                  <pic:blipFill>
                    <a:blip r:embed="rId9">
                      <a:extLst>
                        <a:ext uri="{28A0092B-C50C-407E-A947-70E740481C1C}">
                          <a14:useLocalDpi xmlns:a14="http://schemas.microsoft.com/office/drawing/2010/main" val="0"/>
                        </a:ext>
                      </a:extLst>
                    </a:blip>
                    <a:stretch>
                      <a:fillRect/>
                    </a:stretch>
                  </pic:blipFill>
                  <pic:spPr>
                    <a:xfrm>
                      <a:off x="0" y="0"/>
                      <a:ext cx="4321810" cy="2464435"/>
                    </a:xfrm>
                    <a:prstGeom prst="rect">
                      <a:avLst/>
                    </a:prstGeom>
                  </pic:spPr>
                </pic:pic>
              </a:graphicData>
            </a:graphic>
          </wp:anchor>
        </w:drawing>
      </w:r>
      <w:r w:rsidRPr="001976D7">
        <w:rPr>
          <w:rFonts w:ascii="Times New Roman" w:hAnsi="Times New Roman" w:cs="Times New Roman"/>
          <w:sz w:val="28"/>
          <w:szCs w:val="28"/>
        </w:rPr>
        <w:t>the FY19 pre-COVID level, the industry has reached 96% in commercial vehicles and 99% in Three-wheelers, while the two-wheelers are still 12% down. India has the third lowest car penetration ratio among the top 13 markets. Despite being the second largest market in the world, India is well behind China, which is 6 times the size of the Indian market. India’s veh</w:t>
      </w:r>
      <w:r w:rsidR="001976D7">
        <w:rPr>
          <w:rFonts w:ascii="Times New Roman" w:hAnsi="Times New Roman" w:cs="Times New Roman"/>
          <w:sz w:val="28"/>
          <w:szCs w:val="28"/>
        </w:rPr>
        <w:t xml:space="preserve">icle manufacturing is </w:t>
      </w:r>
      <w:r w:rsidRPr="001976D7">
        <w:rPr>
          <w:rFonts w:ascii="Times New Roman" w:hAnsi="Times New Roman" w:cs="Times New Roman"/>
          <w:sz w:val="28"/>
          <w:szCs w:val="28"/>
        </w:rPr>
        <w:t>at about 24 vehicles per 1000 population. However, the world average stands at 314 vehicles per 1000 population, showing a significant potential for growth. The auto sector’s share of national GDP increased from 2.77% in 1992-1993 to around 7.1% in FY23, whereas it accounts for 45% of India’s manufacturing GDP</w:t>
      </w:r>
      <w:r w:rsidRPr="001976D7">
        <w:rPr>
          <w:rFonts w:ascii="Times New Roman" w:hAnsi="Times New Roman" w:cs="Times New Roman"/>
          <w:sz w:val="28"/>
          <w:szCs w:val="28"/>
        </w:rPr>
        <w:t>.</w:t>
      </w:r>
    </w:p>
    <w:p w14:paraId="6B1E9243" w14:textId="77777777" w:rsidR="00AD5D55" w:rsidRPr="00AD5D55" w:rsidRDefault="00AD5D55" w:rsidP="00AD5D55">
      <w:pPr>
        <w:spacing w:before="100" w:beforeAutospacing="1" w:after="100" w:afterAutospacing="1" w:line="240" w:lineRule="auto"/>
        <w:rPr>
          <w:rFonts w:ascii="Times New Roman" w:eastAsia="Times New Roman" w:hAnsi="Times New Roman" w:cs="Times New Roman"/>
          <w:sz w:val="28"/>
          <w:szCs w:val="28"/>
          <w:lang w:eastAsia="en-IN"/>
        </w:rPr>
      </w:pPr>
      <w:r w:rsidRPr="00AD5D55">
        <w:rPr>
          <w:rFonts w:ascii="Times New Roman" w:eastAsia="Times New Roman" w:hAnsi="Times New Roman" w:cs="Times New Roman"/>
          <w:b/>
          <w:bCs/>
          <w:sz w:val="28"/>
          <w:szCs w:val="28"/>
          <w:lang w:eastAsia="en-IN"/>
        </w:rPr>
        <w:t>Competition:</w:t>
      </w:r>
      <w:r w:rsidRPr="00AD5D55">
        <w:rPr>
          <w:rFonts w:ascii="Times New Roman" w:eastAsia="Times New Roman" w:hAnsi="Times New Roman" w:cs="Times New Roman"/>
          <w:sz w:val="28"/>
          <w:szCs w:val="28"/>
          <w:lang w:eastAsia="en-IN"/>
        </w:rPr>
        <w:t xml:space="preserve"> Tata competes with:</w:t>
      </w:r>
    </w:p>
    <w:p w14:paraId="0EDDF620" w14:textId="77777777" w:rsidR="00AD5D55" w:rsidRPr="00AD5D55" w:rsidRDefault="00AD5D55" w:rsidP="00AD5D55">
      <w:pPr>
        <w:numPr>
          <w:ilvl w:val="0"/>
          <w:numId w:val="4"/>
        </w:numPr>
        <w:spacing w:before="100" w:beforeAutospacing="1" w:after="100" w:afterAutospacing="1" w:line="240" w:lineRule="auto"/>
        <w:rPr>
          <w:rFonts w:ascii="Times New Roman" w:eastAsia="Times New Roman" w:hAnsi="Times New Roman" w:cs="Times New Roman"/>
          <w:sz w:val="28"/>
          <w:szCs w:val="28"/>
          <w:lang w:eastAsia="en-IN"/>
        </w:rPr>
      </w:pPr>
      <w:r w:rsidRPr="00AD5D55">
        <w:rPr>
          <w:rFonts w:ascii="Times New Roman" w:eastAsia="Times New Roman" w:hAnsi="Times New Roman" w:cs="Times New Roman"/>
          <w:b/>
          <w:bCs/>
          <w:sz w:val="28"/>
          <w:szCs w:val="28"/>
          <w:lang w:eastAsia="en-IN"/>
        </w:rPr>
        <w:t>Maruti Suzuki:</w:t>
      </w:r>
      <w:r w:rsidRPr="00AD5D55">
        <w:rPr>
          <w:rFonts w:ascii="Times New Roman" w:eastAsia="Times New Roman" w:hAnsi="Times New Roman" w:cs="Times New Roman"/>
          <w:sz w:val="28"/>
          <w:szCs w:val="28"/>
          <w:lang w:eastAsia="en-IN"/>
        </w:rPr>
        <w:t xml:space="preserve"> Market leader in small cars, but weak EV pipeline.</w:t>
      </w:r>
    </w:p>
    <w:p w14:paraId="7437DEBF" w14:textId="77777777" w:rsidR="00AD5D55" w:rsidRPr="00AD5D55" w:rsidRDefault="00AD5D55" w:rsidP="00AD5D55">
      <w:pPr>
        <w:numPr>
          <w:ilvl w:val="0"/>
          <w:numId w:val="4"/>
        </w:numPr>
        <w:spacing w:before="100" w:beforeAutospacing="1" w:after="100" w:afterAutospacing="1" w:line="240" w:lineRule="auto"/>
        <w:rPr>
          <w:rFonts w:ascii="Times New Roman" w:eastAsia="Times New Roman" w:hAnsi="Times New Roman" w:cs="Times New Roman"/>
          <w:sz w:val="28"/>
          <w:szCs w:val="28"/>
          <w:lang w:eastAsia="en-IN"/>
        </w:rPr>
      </w:pPr>
      <w:r w:rsidRPr="00AD5D55">
        <w:rPr>
          <w:rFonts w:ascii="Times New Roman" w:eastAsia="Times New Roman" w:hAnsi="Times New Roman" w:cs="Times New Roman"/>
          <w:b/>
          <w:bCs/>
          <w:sz w:val="28"/>
          <w:szCs w:val="28"/>
          <w:lang w:eastAsia="en-IN"/>
        </w:rPr>
        <w:t>Hyundai/Kia:</w:t>
      </w:r>
      <w:r w:rsidRPr="00AD5D55">
        <w:rPr>
          <w:rFonts w:ascii="Times New Roman" w:eastAsia="Times New Roman" w:hAnsi="Times New Roman" w:cs="Times New Roman"/>
          <w:sz w:val="28"/>
          <w:szCs w:val="28"/>
          <w:lang w:eastAsia="en-IN"/>
        </w:rPr>
        <w:t xml:space="preserve"> Strong product launches and brand equity.</w:t>
      </w:r>
    </w:p>
    <w:p w14:paraId="1E693D46" w14:textId="77777777" w:rsidR="00AD5D55" w:rsidRPr="00AD5D55" w:rsidRDefault="00AD5D55" w:rsidP="00AD5D55">
      <w:pPr>
        <w:numPr>
          <w:ilvl w:val="0"/>
          <w:numId w:val="4"/>
        </w:numPr>
        <w:spacing w:before="100" w:beforeAutospacing="1" w:after="100" w:afterAutospacing="1" w:line="240" w:lineRule="auto"/>
        <w:rPr>
          <w:rFonts w:ascii="Times New Roman" w:eastAsia="Times New Roman" w:hAnsi="Times New Roman" w:cs="Times New Roman"/>
          <w:sz w:val="28"/>
          <w:szCs w:val="28"/>
          <w:lang w:eastAsia="en-IN"/>
        </w:rPr>
      </w:pPr>
      <w:r w:rsidRPr="00AD5D55">
        <w:rPr>
          <w:rFonts w:ascii="Times New Roman" w:eastAsia="Times New Roman" w:hAnsi="Times New Roman" w:cs="Times New Roman"/>
          <w:b/>
          <w:bCs/>
          <w:sz w:val="28"/>
          <w:szCs w:val="28"/>
          <w:lang w:eastAsia="en-IN"/>
        </w:rPr>
        <w:t>Mahindra:</w:t>
      </w:r>
      <w:r w:rsidRPr="00AD5D55">
        <w:rPr>
          <w:rFonts w:ascii="Times New Roman" w:eastAsia="Times New Roman" w:hAnsi="Times New Roman" w:cs="Times New Roman"/>
          <w:sz w:val="28"/>
          <w:szCs w:val="28"/>
          <w:lang w:eastAsia="en-IN"/>
        </w:rPr>
        <w:t xml:space="preserve"> Competing in SUVs and EVs.</w:t>
      </w:r>
    </w:p>
    <w:p w14:paraId="466071E2" w14:textId="77777777" w:rsidR="00AD5D55" w:rsidRPr="00AD5D55" w:rsidRDefault="00AD5D55" w:rsidP="00AD5D55">
      <w:pPr>
        <w:numPr>
          <w:ilvl w:val="0"/>
          <w:numId w:val="4"/>
        </w:numPr>
        <w:spacing w:before="100" w:beforeAutospacing="1" w:after="100" w:afterAutospacing="1" w:line="240" w:lineRule="auto"/>
        <w:rPr>
          <w:rFonts w:ascii="Times New Roman" w:eastAsia="Times New Roman" w:hAnsi="Times New Roman" w:cs="Times New Roman"/>
          <w:sz w:val="28"/>
          <w:szCs w:val="28"/>
          <w:lang w:eastAsia="en-IN"/>
        </w:rPr>
      </w:pPr>
      <w:r w:rsidRPr="00AD5D55">
        <w:rPr>
          <w:rFonts w:ascii="Times New Roman" w:eastAsia="Times New Roman" w:hAnsi="Times New Roman" w:cs="Times New Roman"/>
          <w:b/>
          <w:bCs/>
          <w:sz w:val="28"/>
          <w:szCs w:val="28"/>
          <w:lang w:eastAsia="en-IN"/>
        </w:rPr>
        <w:t>International Players:</w:t>
      </w:r>
      <w:r w:rsidRPr="00AD5D55">
        <w:rPr>
          <w:rFonts w:ascii="Times New Roman" w:eastAsia="Times New Roman" w:hAnsi="Times New Roman" w:cs="Times New Roman"/>
          <w:sz w:val="28"/>
          <w:szCs w:val="28"/>
          <w:lang w:eastAsia="en-IN"/>
        </w:rPr>
        <w:t xml:space="preserve"> Toyota, Honda, MG are expanding footprints.</w:t>
      </w:r>
    </w:p>
    <w:p w14:paraId="7CFDC191" w14:textId="77777777" w:rsidR="00AD5D55" w:rsidRPr="00AD5D55" w:rsidRDefault="00AD5D55" w:rsidP="00AD5D55">
      <w:pPr>
        <w:spacing w:before="100" w:beforeAutospacing="1" w:after="100" w:afterAutospacing="1" w:line="240" w:lineRule="auto"/>
        <w:rPr>
          <w:rFonts w:ascii="Times New Roman" w:eastAsia="Times New Roman" w:hAnsi="Times New Roman" w:cs="Times New Roman"/>
          <w:sz w:val="28"/>
          <w:szCs w:val="28"/>
          <w:lang w:eastAsia="en-IN"/>
        </w:rPr>
      </w:pPr>
      <w:r w:rsidRPr="00AD5D55">
        <w:rPr>
          <w:rFonts w:ascii="Times New Roman" w:eastAsia="Times New Roman" w:hAnsi="Times New Roman" w:cs="Times New Roman"/>
          <w:sz w:val="28"/>
          <w:szCs w:val="28"/>
          <w:lang w:eastAsia="en-IN"/>
        </w:rPr>
        <w:t>Tata Motors’ scale, brand heritage, and early EV advantage give it a resilient market share across multiple segments.</w:t>
      </w:r>
    </w:p>
    <w:p w14:paraId="2DF7C90B" w14:textId="77777777" w:rsidR="00AD5D55" w:rsidRPr="00AD5D55" w:rsidRDefault="00AD5D55" w:rsidP="00AD5D55">
      <w:pPr>
        <w:spacing w:before="100" w:beforeAutospacing="1" w:after="100" w:afterAutospacing="1" w:line="240" w:lineRule="auto"/>
        <w:rPr>
          <w:rFonts w:ascii="Times New Roman" w:eastAsia="Times New Roman" w:hAnsi="Times New Roman" w:cs="Times New Roman"/>
          <w:sz w:val="28"/>
          <w:szCs w:val="28"/>
          <w:lang w:eastAsia="en-IN"/>
        </w:rPr>
      </w:pPr>
      <w:r w:rsidRPr="00AD5D55">
        <w:rPr>
          <w:rFonts w:ascii="Times New Roman" w:eastAsia="Times New Roman" w:hAnsi="Times New Roman" w:cs="Times New Roman"/>
          <w:b/>
          <w:bCs/>
          <w:sz w:val="28"/>
          <w:szCs w:val="28"/>
          <w:lang w:eastAsia="en-IN"/>
        </w:rPr>
        <w:t>Technology and Disruption:</w:t>
      </w:r>
    </w:p>
    <w:p w14:paraId="15E87E18" w14:textId="77777777" w:rsidR="00AD5D55" w:rsidRPr="00AD5D55" w:rsidRDefault="00AD5D55" w:rsidP="00AD5D55">
      <w:pPr>
        <w:numPr>
          <w:ilvl w:val="0"/>
          <w:numId w:val="5"/>
        </w:numPr>
        <w:spacing w:before="100" w:beforeAutospacing="1" w:after="100" w:afterAutospacing="1" w:line="240" w:lineRule="auto"/>
        <w:rPr>
          <w:rFonts w:ascii="Times New Roman" w:eastAsia="Times New Roman" w:hAnsi="Times New Roman" w:cs="Times New Roman"/>
          <w:sz w:val="28"/>
          <w:szCs w:val="28"/>
          <w:lang w:eastAsia="en-IN"/>
        </w:rPr>
      </w:pPr>
      <w:r w:rsidRPr="00AD5D55">
        <w:rPr>
          <w:rFonts w:ascii="Times New Roman" w:eastAsia="Times New Roman" w:hAnsi="Times New Roman" w:cs="Times New Roman"/>
          <w:b/>
          <w:bCs/>
          <w:sz w:val="28"/>
          <w:szCs w:val="28"/>
          <w:lang w:eastAsia="en-IN"/>
        </w:rPr>
        <w:t>EV Adoption:</w:t>
      </w:r>
      <w:r w:rsidRPr="00AD5D55">
        <w:rPr>
          <w:rFonts w:ascii="Times New Roman" w:eastAsia="Times New Roman" w:hAnsi="Times New Roman" w:cs="Times New Roman"/>
          <w:sz w:val="28"/>
          <w:szCs w:val="28"/>
          <w:lang w:eastAsia="en-IN"/>
        </w:rPr>
        <w:t xml:space="preserve"> Tata commands 80% of India’s EV passenger car market with </w:t>
      </w:r>
      <w:proofErr w:type="spellStart"/>
      <w:r w:rsidRPr="00AD5D55">
        <w:rPr>
          <w:rFonts w:ascii="Times New Roman" w:eastAsia="Times New Roman" w:hAnsi="Times New Roman" w:cs="Times New Roman"/>
          <w:sz w:val="28"/>
          <w:szCs w:val="28"/>
          <w:lang w:eastAsia="en-IN"/>
        </w:rPr>
        <w:t>Nexon</w:t>
      </w:r>
      <w:proofErr w:type="spellEnd"/>
      <w:r w:rsidRPr="00AD5D55">
        <w:rPr>
          <w:rFonts w:ascii="Times New Roman" w:eastAsia="Times New Roman" w:hAnsi="Times New Roman" w:cs="Times New Roman"/>
          <w:sz w:val="28"/>
          <w:szCs w:val="28"/>
          <w:lang w:eastAsia="en-IN"/>
        </w:rPr>
        <w:t xml:space="preserve"> EV, Tiago EV.</w:t>
      </w:r>
    </w:p>
    <w:p w14:paraId="385F9CBD" w14:textId="77777777" w:rsidR="00AD5D55" w:rsidRPr="00AD5D55" w:rsidRDefault="00AD5D55" w:rsidP="00AD5D55">
      <w:pPr>
        <w:numPr>
          <w:ilvl w:val="0"/>
          <w:numId w:val="5"/>
        </w:numPr>
        <w:spacing w:before="100" w:beforeAutospacing="1" w:after="100" w:afterAutospacing="1" w:line="240" w:lineRule="auto"/>
        <w:rPr>
          <w:rFonts w:ascii="Times New Roman" w:eastAsia="Times New Roman" w:hAnsi="Times New Roman" w:cs="Times New Roman"/>
          <w:sz w:val="28"/>
          <w:szCs w:val="28"/>
          <w:lang w:eastAsia="en-IN"/>
        </w:rPr>
      </w:pPr>
      <w:r w:rsidRPr="00AD5D55">
        <w:rPr>
          <w:rFonts w:ascii="Times New Roman" w:eastAsia="Times New Roman" w:hAnsi="Times New Roman" w:cs="Times New Roman"/>
          <w:b/>
          <w:bCs/>
          <w:sz w:val="28"/>
          <w:szCs w:val="28"/>
          <w:lang w:eastAsia="en-IN"/>
        </w:rPr>
        <w:t>Shared Mobility:</w:t>
      </w:r>
      <w:r w:rsidRPr="00AD5D55">
        <w:rPr>
          <w:rFonts w:ascii="Times New Roman" w:eastAsia="Times New Roman" w:hAnsi="Times New Roman" w:cs="Times New Roman"/>
          <w:sz w:val="28"/>
          <w:szCs w:val="28"/>
          <w:lang w:eastAsia="en-IN"/>
        </w:rPr>
        <w:t xml:space="preserve"> Partnerships with ride-share firms (like Uber, </w:t>
      </w:r>
      <w:proofErr w:type="spellStart"/>
      <w:r w:rsidRPr="00AD5D55">
        <w:rPr>
          <w:rFonts w:ascii="Times New Roman" w:eastAsia="Times New Roman" w:hAnsi="Times New Roman" w:cs="Times New Roman"/>
          <w:sz w:val="28"/>
          <w:szCs w:val="28"/>
          <w:lang w:eastAsia="en-IN"/>
        </w:rPr>
        <w:t>BluSmart</w:t>
      </w:r>
      <w:proofErr w:type="spellEnd"/>
      <w:r w:rsidRPr="00AD5D55">
        <w:rPr>
          <w:rFonts w:ascii="Times New Roman" w:eastAsia="Times New Roman" w:hAnsi="Times New Roman" w:cs="Times New Roman"/>
          <w:sz w:val="28"/>
          <w:szCs w:val="28"/>
          <w:lang w:eastAsia="en-IN"/>
        </w:rPr>
        <w:t>) add fleet revenues.</w:t>
      </w:r>
    </w:p>
    <w:p w14:paraId="470CD188" w14:textId="77777777" w:rsidR="00AD5D55" w:rsidRPr="00AD5D55" w:rsidRDefault="00AD5D55" w:rsidP="00AD5D55">
      <w:pPr>
        <w:numPr>
          <w:ilvl w:val="0"/>
          <w:numId w:val="5"/>
        </w:numPr>
        <w:spacing w:before="100" w:beforeAutospacing="1" w:after="100" w:afterAutospacing="1" w:line="240" w:lineRule="auto"/>
        <w:rPr>
          <w:rFonts w:ascii="Times New Roman" w:eastAsia="Times New Roman" w:hAnsi="Times New Roman" w:cs="Times New Roman"/>
          <w:sz w:val="28"/>
          <w:szCs w:val="28"/>
          <w:lang w:eastAsia="en-IN"/>
        </w:rPr>
      </w:pPr>
      <w:r w:rsidRPr="00AD5D55">
        <w:rPr>
          <w:rFonts w:ascii="Times New Roman" w:eastAsia="Times New Roman" w:hAnsi="Times New Roman" w:cs="Times New Roman"/>
          <w:b/>
          <w:bCs/>
          <w:sz w:val="28"/>
          <w:szCs w:val="28"/>
          <w:lang w:eastAsia="en-IN"/>
        </w:rPr>
        <w:t>Supply Chain Localization:</w:t>
      </w:r>
      <w:r w:rsidRPr="00AD5D55">
        <w:rPr>
          <w:rFonts w:ascii="Times New Roman" w:eastAsia="Times New Roman" w:hAnsi="Times New Roman" w:cs="Times New Roman"/>
          <w:sz w:val="28"/>
          <w:szCs w:val="28"/>
          <w:lang w:eastAsia="en-IN"/>
        </w:rPr>
        <w:t xml:space="preserve"> Post-COVID, firms are de-risking global supply chains with Make in India investments.</w:t>
      </w:r>
    </w:p>
    <w:p w14:paraId="51CF2433" w14:textId="77777777" w:rsidR="00AD5D55" w:rsidRPr="00AD5D55" w:rsidRDefault="00AD5D55" w:rsidP="00AD5D55">
      <w:pPr>
        <w:spacing w:before="100" w:beforeAutospacing="1" w:after="100" w:afterAutospacing="1" w:line="240" w:lineRule="auto"/>
        <w:rPr>
          <w:rFonts w:ascii="Times New Roman" w:eastAsia="Times New Roman" w:hAnsi="Times New Roman" w:cs="Times New Roman"/>
          <w:sz w:val="28"/>
          <w:szCs w:val="28"/>
          <w:lang w:eastAsia="en-IN"/>
        </w:rPr>
      </w:pPr>
      <w:r w:rsidRPr="00AD5D55">
        <w:rPr>
          <w:rFonts w:ascii="Times New Roman" w:eastAsia="Times New Roman" w:hAnsi="Times New Roman" w:cs="Times New Roman"/>
          <w:b/>
          <w:bCs/>
          <w:sz w:val="28"/>
          <w:szCs w:val="28"/>
          <w:lang w:eastAsia="en-IN"/>
        </w:rPr>
        <w:lastRenderedPageBreak/>
        <w:t>Revenue Linkage:</w:t>
      </w:r>
      <w:r w:rsidRPr="00AD5D55">
        <w:rPr>
          <w:rFonts w:ascii="Times New Roman" w:eastAsia="Times New Roman" w:hAnsi="Times New Roman" w:cs="Times New Roman"/>
          <w:sz w:val="28"/>
          <w:szCs w:val="28"/>
          <w:lang w:eastAsia="en-IN"/>
        </w:rPr>
        <w:t xml:space="preserve"> The above dynamics directly justify our 8–10% annual revenue growth estimates for Tata Motors, especially from its domestic passenger and EV segments.</w:t>
      </w:r>
    </w:p>
    <w:p w14:paraId="12AC918C" w14:textId="77777777" w:rsidR="00AD5D55" w:rsidRPr="00AD5D55" w:rsidRDefault="00AD5D55" w:rsidP="00AD5D55">
      <w:pPr>
        <w:spacing w:after="0" w:line="240" w:lineRule="auto"/>
        <w:rPr>
          <w:rFonts w:ascii="Times New Roman" w:eastAsia="Times New Roman" w:hAnsi="Times New Roman" w:cs="Times New Roman"/>
          <w:sz w:val="28"/>
          <w:szCs w:val="28"/>
          <w:lang w:eastAsia="en-IN"/>
        </w:rPr>
      </w:pPr>
      <w:r w:rsidRPr="00AD5D55">
        <w:rPr>
          <w:rFonts w:ascii="Times New Roman" w:eastAsia="Times New Roman" w:hAnsi="Times New Roman" w:cs="Times New Roman"/>
          <w:sz w:val="28"/>
          <w:szCs w:val="28"/>
          <w:lang w:eastAsia="en-IN"/>
        </w:rPr>
        <w:pict w14:anchorId="57A3A7CF">
          <v:rect id="_x0000_i1028" style="width:0;height:1.5pt" o:hralign="center" o:hrstd="t" o:hr="t" fillcolor="#a0a0a0" stroked="f"/>
        </w:pict>
      </w:r>
    </w:p>
    <w:p w14:paraId="0158533F" w14:textId="6A74D35A" w:rsidR="00AD5D55" w:rsidRPr="00AD5D55" w:rsidRDefault="00AD5D55" w:rsidP="00AD5D55">
      <w:pPr>
        <w:spacing w:before="100" w:beforeAutospacing="1" w:after="100" w:afterAutospacing="1" w:line="240" w:lineRule="auto"/>
        <w:rPr>
          <w:rFonts w:ascii="Times New Roman" w:eastAsia="Times New Roman" w:hAnsi="Times New Roman" w:cs="Times New Roman"/>
          <w:sz w:val="28"/>
          <w:szCs w:val="28"/>
          <w:lang w:eastAsia="en-IN"/>
        </w:rPr>
      </w:pPr>
      <w:r w:rsidRPr="00AD5D55">
        <w:rPr>
          <w:rFonts w:ascii="Times New Roman" w:eastAsia="Times New Roman" w:hAnsi="Times New Roman" w:cs="Times New Roman"/>
          <w:b/>
          <w:bCs/>
          <w:sz w:val="28"/>
          <w:szCs w:val="28"/>
          <w:lang w:eastAsia="en-IN"/>
        </w:rPr>
        <w:t xml:space="preserve">4. Company Strategic Overview </w:t>
      </w:r>
    </w:p>
    <w:p w14:paraId="347E51E2" w14:textId="77777777" w:rsidR="00AD5D55" w:rsidRPr="00AD5D55" w:rsidRDefault="00AD5D55" w:rsidP="00AD5D55">
      <w:pPr>
        <w:spacing w:before="100" w:beforeAutospacing="1" w:after="100" w:afterAutospacing="1" w:line="240" w:lineRule="auto"/>
        <w:rPr>
          <w:rFonts w:ascii="Times New Roman" w:eastAsia="Times New Roman" w:hAnsi="Times New Roman" w:cs="Times New Roman"/>
          <w:sz w:val="28"/>
          <w:szCs w:val="28"/>
          <w:lang w:eastAsia="en-IN"/>
        </w:rPr>
      </w:pPr>
      <w:r w:rsidRPr="00AD5D55">
        <w:rPr>
          <w:rFonts w:ascii="Times New Roman" w:eastAsia="Times New Roman" w:hAnsi="Times New Roman" w:cs="Times New Roman"/>
          <w:b/>
          <w:bCs/>
          <w:sz w:val="28"/>
          <w:szCs w:val="28"/>
          <w:lang w:eastAsia="en-IN"/>
        </w:rPr>
        <w:t>Business Model:</w:t>
      </w:r>
      <w:r w:rsidRPr="00AD5D55">
        <w:rPr>
          <w:rFonts w:ascii="Times New Roman" w:eastAsia="Times New Roman" w:hAnsi="Times New Roman" w:cs="Times New Roman"/>
          <w:sz w:val="28"/>
          <w:szCs w:val="28"/>
          <w:lang w:eastAsia="en-IN"/>
        </w:rPr>
        <w:t xml:space="preserve"> Tata Motors operates in two key segments:</w:t>
      </w:r>
    </w:p>
    <w:p w14:paraId="6D181534" w14:textId="77777777" w:rsidR="00AD5D55" w:rsidRPr="00AD5D55" w:rsidRDefault="00AD5D55" w:rsidP="00AD5D55">
      <w:pPr>
        <w:numPr>
          <w:ilvl w:val="0"/>
          <w:numId w:val="6"/>
        </w:numPr>
        <w:spacing w:before="100" w:beforeAutospacing="1" w:after="100" w:afterAutospacing="1" w:line="240" w:lineRule="auto"/>
        <w:rPr>
          <w:rFonts w:ascii="Times New Roman" w:eastAsia="Times New Roman" w:hAnsi="Times New Roman" w:cs="Times New Roman"/>
          <w:sz w:val="28"/>
          <w:szCs w:val="28"/>
          <w:lang w:eastAsia="en-IN"/>
        </w:rPr>
      </w:pPr>
      <w:r w:rsidRPr="00AD5D55">
        <w:rPr>
          <w:rFonts w:ascii="Times New Roman" w:eastAsia="Times New Roman" w:hAnsi="Times New Roman" w:cs="Times New Roman"/>
          <w:b/>
          <w:bCs/>
          <w:sz w:val="28"/>
          <w:szCs w:val="28"/>
          <w:lang w:eastAsia="en-IN"/>
        </w:rPr>
        <w:t>Tata Motors India:</w:t>
      </w:r>
      <w:r w:rsidRPr="00AD5D55">
        <w:rPr>
          <w:rFonts w:ascii="Times New Roman" w:eastAsia="Times New Roman" w:hAnsi="Times New Roman" w:cs="Times New Roman"/>
          <w:sz w:val="28"/>
          <w:szCs w:val="28"/>
          <w:lang w:eastAsia="en-IN"/>
        </w:rPr>
        <w:t xml:space="preserve"> Commercial and passenger vehicles, including electric vehicles.</w:t>
      </w:r>
    </w:p>
    <w:p w14:paraId="4FF269E2" w14:textId="77777777" w:rsidR="00AD5D55" w:rsidRPr="00AD5D55" w:rsidRDefault="00AD5D55" w:rsidP="00AD5D55">
      <w:pPr>
        <w:numPr>
          <w:ilvl w:val="0"/>
          <w:numId w:val="6"/>
        </w:numPr>
        <w:spacing w:before="100" w:beforeAutospacing="1" w:after="100" w:afterAutospacing="1" w:line="240" w:lineRule="auto"/>
        <w:rPr>
          <w:rFonts w:ascii="Times New Roman" w:eastAsia="Times New Roman" w:hAnsi="Times New Roman" w:cs="Times New Roman"/>
          <w:sz w:val="28"/>
          <w:szCs w:val="28"/>
          <w:lang w:eastAsia="en-IN"/>
        </w:rPr>
      </w:pPr>
      <w:r w:rsidRPr="00AD5D55">
        <w:rPr>
          <w:rFonts w:ascii="Times New Roman" w:eastAsia="Times New Roman" w:hAnsi="Times New Roman" w:cs="Times New Roman"/>
          <w:b/>
          <w:bCs/>
          <w:sz w:val="28"/>
          <w:szCs w:val="28"/>
          <w:lang w:eastAsia="en-IN"/>
        </w:rPr>
        <w:t>Jaguar Land Rover (JLR):</w:t>
      </w:r>
      <w:r w:rsidRPr="00AD5D55">
        <w:rPr>
          <w:rFonts w:ascii="Times New Roman" w:eastAsia="Times New Roman" w:hAnsi="Times New Roman" w:cs="Times New Roman"/>
          <w:sz w:val="28"/>
          <w:szCs w:val="28"/>
          <w:lang w:eastAsia="en-IN"/>
        </w:rPr>
        <w:t xml:space="preserve"> Luxury automotive segment, contributing significantly to revenues.</w:t>
      </w:r>
    </w:p>
    <w:p w14:paraId="21D4DA3F" w14:textId="77777777" w:rsidR="00AD5D55" w:rsidRPr="00AD5D55" w:rsidRDefault="00AD5D55" w:rsidP="00AD5D55">
      <w:pPr>
        <w:spacing w:before="100" w:beforeAutospacing="1" w:after="100" w:afterAutospacing="1" w:line="240" w:lineRule="auto"/>
        <w:rPr>
          <w:rFonts w:ascii="Times New Roman" w:eastAsia="Times New Roman" w:hAnsi="Times New Roman" w:cs="Times New Roman"/>
          <w:sz w:val="28"/>
          <w:szCs w:val="28"/>
          <w:lang w:eastAsia="en-IN"/>
        </w:rPr>
      </w:pPr>
      <w:r w:rsidRPr="00AD5D55">
        <w:rPr>
          <w:rFonts w:ascii="Times New Roman" w:eastAsia="Times New Roman" w:hAnsi="Times New Roman" w:cs="Times New Roman"/>
          <w:b/>
          <w:bCs/>
          <w:sz w:val="28"/>
          <w:szCs w:val="28"/>
          <w:lang w:eastAsia="en-IN"/>
        </w:rPr>
        <w:t>Strategic Moves:</w:t>
      </w:r>
    </w:p>
    <w:p w14:paraId="14103C1B" w14:textId="5FBADCD5" w:rsidR="005E4805" w:rsidRPr="00364AC9" w:rsidRDefault="00725BD3" w:rsidP="00AD5D55">
      <w:pPr>
        <w:numPr>
          <w:ilvl w:val="0"/>
          <w:numId w:val="7"/>
        </w:numPr>
        <w:spacing w:before="100" w:beforeAutospacing="1" w:after="100" w:afterAutospacing="1" w:line="240" w:lineRule="auto"/>
        <w:rPr>
          <w:rFonts w:ascii="Times New Roman" w:eastAsia="Times New Roman" w:hAnsi="Times New Roman" w:cs="Times New Roman"/>
          <w:sz w:val="28"/>
          <w:szCs w:val="28"/>
          <w:lang w:eastAsia="en-IN"/>
        </w:rPr>
      </w:pPr>
      <w:r w:rsidRPr="00364AC9">
        <w:rPr>
          <w:rFonts w:ascii="Times New Roman" w:hAnsi="Times New Roman" w:cs="Times New Roman"/>
          <w:sz w:val="28"/>
          <w:szCs w:val="28"/>
        </w:rPr>
        <w:t>Tata Motors</w:t>
      </w:r>
      <w:r w:rsidRPr="00364AC9">
        <w:rPr>
          <w:rFonts w:ascii="Times New Roman" w:hAnsi="Times New Roman" w:cs="Times New Roman"/>
          <w:sz w:val="28"/>
          <w:szCs w:val="28"/>
        </w:rPr>
        <w:t xml:space="preserve"> p</w:t>
      </w:r>
      <w:r w:rsidRPr="00364AC9">
        <w:rPr>
          <w:rFonts w:ascii="Times New Roman" w:hAnsi="Times New Roman" w:cs="Times New Roman"/>
          <w:sz w:val="28"/>
          <w:szCs w:val="28"/>
        </w:rPr>
        <w:t>roducts include commercial vehicles, passenger vehicles, vehicle parts, and sales of services, including maintenance services, extended warranties for commercial and passenger vehicles, support services, and insurance broking services. The significant revenue comes from the automotive operations, which contribute 99% to total revenue in FY24. The Operating Revenue grew at a CAGR of 5.66% during FY15 to FY24. However, the median revenue growth was 4.11% for the same period. The negative growth has been seen in FY20 and FY21 due to the impact of COVID-19. Whereas, the company posted a significant revenue growth in the last three financial years from FY22 to FY24. The revenue growth was seen in FY22 &amp; FY23 due to the economic recovery from the COVID-19. The majority of revenue growth came from the volume growth and favourable sales mix. The company’s source of revenue is split into five segments</w:t>
      </w:r>
      <w:r w:rsidRPr="00364AC9">
        <w:rPr>
          <w:rFonts w:ascii="Times New Roman" w:hAnsi="Times New Roman" w:cs="Times New Roman"/>
          <w:sz w:val="28"/>
          <w:szCs w:val="28"/>
        </w:rPr>
        <w:t>--</w:t>
      </w:r>
      <w:r w:rsidRPr="00364AC9">
        <w:rPr>
          <w:rFonts w:ascii="Times New Roman" w:hAnsi="Times New Roman" w:cs="Times New Roman"/>
          <w:sz w:val="28"/>
          <w:szCs w:val="28"/>
        </w:rPr>
        <w:t xml:space="preserve"> Commercial Vehicles, Passenger Vehicles, Jaguar Land Rover, Financing, and Other Operations. Their contribution in revenue was 17.91%, 11.90%, 68.84%, 0.93% and 0.42% respectively. The company generates the majority of its revenue from its JLR business. In FY24, Tata Motors generated 29% of total revenue from India, 15% from the USA, 13% from EC, UK, and China each, and 17% from others</w:t>
      </w:r>
      <w:r w:rsidRPr="00364AC9">
        <w:rPr>
          <w:rFonts w:ascii="Times New Roman" w:hAnsi="Times New Roman" w:cs="Times New Roman"/>
          <w:sz w:val="28"/>
          <w:szCs w:val="28"/>
        </w:rPr>
        <w:t>.</w:t>
      </w:r>
    </w:p>
    <w:p w14:paraId="0BC80405" w14:textId="77777777" w:rsidR="005E4805" w:rsidRPr="00364AC9" w:rsidRDefault="005E4805" w:rsidP="00AD5D55">
      <w:pPr>
        <w:spacing w:before="100" w:beforeAutospacing="1" w:after="100" w:afterAutospacing="1" w:line="240" w:lineRule="auto"/>
        <w:rPr>
          <w:rFonts w:ascii="Times New Roman" w:eastAsia="Times New Roman" w:hAnsi="Times New Roman" w:cs="Times New Roman"/>
          <w:sz w:val="28"/>
          <w:szCs w:val="28"/>
          <w:lang w:eastAsia="en-IN"/>
        </w:rPr>
      </w:pPr>
      <w:r w:rsidRPr="00364AC9">
        <w:rPr>
          <w:rFonts w:ascii="Times New Roman" w:eastAsia="Times New Roman" w:hAnsi="Times New Roman" w:cs="Times New Roman"/>
          <w:noProof/>
          <w:sz w:val="28"/>
          <w:szCs w:val="28"/>
          <w:lang w:eastAsia="en-IN"/>
        </w:rPr>
        <w:lastRenderedPageBreak/>
        <w:drawing>
          <wp:anchor distT="0" distB="0" distL="114300" distR="114300" simplePos="0" relativeHeight="251661312" behindDoc="1" locked="0" layoutInCell="1" allowOverlap="1" wp14:anchorId="1B8AABAE" wp14:editId="742071CB">
            <wp:simplePos x="0" y="0"/>
            <wp:positionH relativeFrom="column">
              <wp:posOffset>1647825</wp:posOffset>
            </wp:positionH>
            <wp:positionV relativeFrom="paragraph">
              <wp:posOffset>539115</wp:posOffset>
            </wp:positionV>
            <wp:extent cx="4542790" cy="2457450"/>
            <wp:effectExtent l="0" t="0" r="0" b="0"/>
            <wp:wrapTight wrapText="bothSides">
              <wp:wrapPolygon edited="0">
                <wp:start x="0" y="0"/>
                <wp:lineTo x="0" y="21433"/>
                <wp:lineTo x="21467" y="21433"/>
                <wp:lineTo x="21467"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p5.PNG"/>
                    <pic:cNvPicPr/>
                  </pic:nvPicPr>
                  <pic:blipFill>
                    <a:blip r:embed="rId10">
                      <a:extLst>
                        <a:ext uri="{28A0092B-C50C-407E-A947-70E740481C1C}">
                          <a14:useLocalDpi xmlns:a14="http://schemas.microsoft.com/office/drawing/2010/main" val="0"/>
                        </a:ext>
                      </a:extLst>
                    </a:blip>
                    <a:stretch>
                      <a:fillRect/>
                    </a:stretch>
                  </pic:blipFill>
                  <pic:spPr>
                    <a:xfrm>
                      <a:off x="0" y="0"/>
                      <a:ext cx="4542790" cy="2457450"/>
                    </a:xfrm>
                    <a:prstGeom prst="rect">
                      <a:avLst/>
                    </a:prstGeom>
                  </pic:spPr>
                </pic:pic>
              </a:graphicData>
            </a:graphic>
            <wp14:sizeRelH relativeFrom="margin">
              <wp14:pctWidth>0</wp14:pctWidth>
            </wp14:sizeRelH>
            <wp14:sizeRelV relativeFrom="margin">
              <wp14:pctHeight>0</wp14:pctHeight>
            </wp14:sizeRelV>
          </wp:anchor>
        </w:drawing>
      </w:r>
      <w:r w:rsidRPr="00364AC9">
        <w:rPr>
          <w:rFonts w:ascii="Times New Roman" w:hAnsi="Times New Roman" w:cs="Times New Roman"/>
          <w:sz w:val="28"/>
          <w:szCs w:val="28"/>
        </w:rPr>
        <w:t xml:space="preserve">The company’s EBIT margin was 8.61% in FY24. However, its peers’ average EBIT margin was 9.97% in FY24, which indicates that the company’s operational performance was similar to the industry’s performance in FY24. </w:t>
      </w:r>
      <w:proofErr w:type="gramStart"/>
      <w:r w:rsidRPr="00364AC9">
        <w:rPr>
          <w:rFonts w:ascii="Times New Roman" w:hAnsi="Times New Roman" w:cs="Times New Roman"/>
          <w:sz w:val="28"/>
          <w:szCs w:val="28"/>
        </w:rPr>
        <w:t>IT’s</w:t>
      </w:r>
      <w:proofErr w:type="gramEnd"/>
      <w:r w:rsidRPr="00364AC9">
        <w:rPr>
          <w:rFonts w:ascii="Times New Roman" w:hAnsi="Times New Roman" w:cs="Times New Roman"/>
          <w:sz w:val="28"/>
          <w:szCs w:val="28"/>
        </w:rPr>
        <w:t xml:space="preserve"> median EBIT margin was 4.52% during FY15 to FY24 even though its peer’s average median margin was 8.30% for the same period. The median EBIT Margin was lower than its peers because of slow growth in the top line and the higher depreciation &amp; amortization as compared to its peers during the analysis period, which led to the lower EBIT Margin than its peers during FY15 to FY23</w:t>
      </w:r>
    </w:p>
    <w:p w14:paraId="24063D0A" w14:textId="5B5FF85E" w:rsidR="00AD5D55" w:rsidRPr="00AD5D55" w:rsidRDefault="00AD5D55" w:rsidP="00AD5D55">
      <w:pPr>
        <w:spacing w:before="100" w:beforeAutospacing="1" w:after="100" w:afterAutospacing="1" w:line="240" w:lineRule="auto"/>
        <w:rPr>
          <w:rFonts w:ascii="Times New Roman" w:eastAsia="Times New Roman" w:hAnsi="Times New Roman" w:cs="Times New Roman"/>
          <w:sz w:val="28"/>
          <w:szCs w:val="28"/>
          <w:lang w:eastAsia="en-IN"/>
        </w:rPr>
      </w:pPr>
      <w:r w:rsidRPr="00AD5D55">
        <w:rPr>
          <w:rFonts w:ascii="Times New Roman" w:eastAsia="Times New Roman" w:hAnsi="Times New Roman" w:cs="Times New Roman"/>
          <w:b/>
          <w:bCs/>
          <w:sz w:val="28"/>
          <w:szCs w:val="28"/>
          <w:lang w:eastAsia="en-IN"/>
        </w:rPr>
        <w:t>Key Financials (FY2024):</w:t>
      </w:r>
    </w:p>
    <w:p w14:paraId="1E607D61" w14:textId="77777777" w:rsidR="00AD5D55" w:rsidRPr="00AD5D55" w:rsidRDefault="00AD5D55" w:rsidP="00AD5D55">
      <w:pPr>
        <w:numPr>
          <w:ilvl w:val="0"/>
          <w:numId w:val="8"/>
        </w:numPr>
        <w:spacing w:before="100" w:beforeAutospacing="1" w:after="100" w:afterAutospacing="1" w:line="240" w:lineRule="auto"/>
        <w:rPr>
          <w:rFonts w:ascii="Times New Roman" w:eastAsia="Times New Roman" w:hAnsi="Times New Roman" w:cs="Times New Roman"/>
          <w:sz w:val="28"/>
          <w:szCs w:val="28"/>
          <w:lang w:eastAsia="en-IN"/>
        </w:rPr>
      </w:pPr>
      <w:r w:rsidRPr="00AD5D55">
        <w:rPr>
          <w:rFonts w:ascii="Times New Roman" w:eastAsia="Times New Roman" w:hAnsi="Times New Roman" w:cs="Times New Roman"/>
          <w:b/>
          <w:bCs/>
          <w:sz w:val="28"/>
          <w:szCs w:val="28"/>
          <w:lang w:eastAsia="en-IN"/>
        </w:rPr>
        <w:t>EBIT:</w:t>
      </w:r>
      <w:r w:rsidRPr="00AD5D55">
        <w:rPr>
          <w:rFonts w:ascii="Times New Roman" w:eastAsia="Times New Roman" w:hAnsi="Times New Roman" w:cs="Times New Roman"/>
          <w:sz w:val="28"/>
          <w:szCs w:val="28"/>
          <w:lang w:eastAsia="en-IN"/>
        </w:rPr>
        <w:t xml:space="preserve"> ₹27,955.11 Cr</w:t>
      </w:r>
    </w:p>
    <w:p w14:paraId="76B6B66C" w14:textId="77777777" w:rsidR="00AD5D55" w:rsidRPr="00AD5D55" w:rsidRDefault="00AD5D55" w:rsidP="00AD5D55">
      <w:pPr>
        <w:numPr>
          <w:ilvl w:val="0"/>
          <w:numId w:val="8"/>
        </w:numPr>
        <w:spacing w:before="100" w:beforeAutospacing="1" w:after="100" w:afterAutospacing="1" w:line="240" w:lineRule="auto"/>
        <w:rPr>
          <w:rFonts w:ascii="Times New Roman" w:eastAsia="Times New Roman" w:hAnsi="Times New Roman" w:cs="Times New Roman"/>
          <w:sz w:val="28"/>
          <w:szCs w:val="28"/>
          <w:lang w:eastAsia="en-IN"/>
        </w:rPr>
      </w:pPr>
      <w:r w:rsidRPr="00AD5D55">
        <w:rPr>
          <w:rFonts w:ascii="Times New Roman" w:eastAsia="Times New Roman" w:hAnsi="Times New Roman" w:cs="Times New Roman"/>
          <w:b/>
          <w:bCs/>
          <w:sz w:val="28"/>
          <w:szCs w:val="28"/>
          <w:lang w:eastAsia="en-IN"/>
        </w:rPr>
        <w:t>Depreciation:</w:t>
      </w:r>
      <w:r w:rsidRPr="00AD5D55">
        <w:rPr>
          <w:rFonts w:ascii="Times New Roman" w:eastAsia="Times New Roman" w:hAnsi="Times New Roman" w:cs="Times New Roman"/>
          <w:sz w:val="28"/>
          <w:szCs w:val="28"/>
          <w:lang w:eastAsia="en-IN"/>
        </w:rPr>
        <w:t xml:space="preserve"> ₹27,270.13 Cr</w:t>
      </w:r>
    </w:p>
    <w:p w14:paraId="5A813250" w14:textId="77777777" w:rsidR="00AD5D55" w:rsidRPr="00AD5D55" w:rsidRDefault="00AD5D55" w:rsidP="00AD5D55">
      <w:pPr>
        <w:numPr>
          <w:ilvl w:val="0"/>
          <w:numId w:val="8"/>
        </w:numPr>
        <w:spacing w:before="100" w:beforeAutospacing="1" w:after="100" w:afterAutospacing="1" w:line="240" w:lineRule="auto"/>
        <w:rPr>
          <w:rFonts w:ascii="Times New Roman" w:eastAsia="Times New Roman" w:hAnsi="Times New Roman" w:cs="Times New Roman"/>
          <w:sz w:val="28"/>
          <w:szCs w:val="28"/>
          <w:lang w:eastAsia="en-IN"/>
        </w:rPr>
      </w:pPr>
      <w:proofErr w:type="spellStart"/>
      <w:r w:rsidRPr="00AD5D55">
        <w:rPr>
          <w:rFonts w:ascii="Times New Roman" w:eastAsia="Times New Roman" w:hAnsi="Times New Roman" w:cs="Times New Roman"/>
          <w:b/>
          <w:bCs/>
          <w:sz w:val="28"/>
          <w:szCs w:val="28"/>
          <w:lang w:eastAsia="en-IN"/>
        </w:rPr>
        <w:t>CapEx</w:t>
      </w:r>
      <w:proofErr w:type="spellEnd"/>
      <w:r w:rsidRPr="00AD5D55">
        <w:rPr>
          <w:rFonts w:ascii="Times New Roman" w:eastAsia="Times New Roman" w:hAnsi="Times New Roman" w:cs="Times New Roman"/>
          <w:b/>
          <w:bCs/>
          <w:sz w:val="28"/>
          <w:szCs w:val="28"/>
          <w:lang w:eastAsia="en-IN"/>
        </w:rPr>
        <w:t>:</w:t>
      </w:r>
      <w:r w:rsidRPr="00AD5D55">
        <w:rPr>
          <w:rFonts w:ascii="Times New Roman" w:eastAsia="Times New Roman" w:hAnsi="Times New Roman" w:cs="Times New Roman"/>
          <w:sz w:val="28"/>
          <w:szCs w:val="28"/>
          <w:lang w:eastAsia="en-IN"/>
        </w:rPr>
        <w:t xml:space="preserve"> ₹12,974.74 Cr</w:t>
      </w:r>
    </w:p>
    <w:p w14:paraId="29740240" w14:textId="77777777" w:rsidR="00AD5D55" w:rsidRPr="00AD5D55" w:rsidRDefault="00AD5D55" w:rsidP="00AD5D55">
      <w:pPr>
        <w:numPr>
          <w:ilvl w:val="0"/>
          <w:numId w:val="8"/>
        </w:numPr>
        <w:spacing w:before="100" w:beforeAutospacing="1" w:after="100" w:afterAutospacing="1" w:line="240" w:lineRule="auto"/>
        <w:rPr>
          <w:rFonts w:ascii="Times New Roman" w:eastAsia="Times New Roman" w:hAnsi="Times New Roman" w:cs="Times New Roman"/>
          <w:sz w:val="28"/>
          <w:szCs w:val="28"/>
          <w:lang w:eastAsia="en-IN"/>
        </w:rPr>
      </w:pPr>
      <w:r w:rsidRPr="00AD5D55">
        <w:rPr>
          <w:rFonts w:ascii="Times New Roman" w:eastAsia="Times New Roman" w:hAnsi="Times New Roman" w:cs="Times New Roman"/>
          <w:b/>
          <w:bCs/>
          <w:sz w:val="28"/>
          <w:szCs w:val="28"/>
          <w:lang w:eastAsia="en-IN"/>
        </w:rPr>
        <w:t>Working Capital Change:</w:t>
      </w:r>
      <w:r w:rsidRPr="00AD5D55">
        <w:rPr>
          <w:rFonts w:ascii="Times New Roman" w:eastAsia="Times New Roman" w:hAnsi="Times New Roman" w:cs="Times New Roman"/>
          <w:sz w:val="28"/>
          <w:szCs w:val="28"/>
          <w:lang w:eastAsia="en-IN"/>
        </w:rPr>
        <w:t xml:space="preserve"> ₹1,774 Cr</w:t>
      </w:r>
    </w:p>
    <w:p w14:paraId="62872D43" w14:textId="77777777" w:rsidR="00AD5D55" w:rsidRPr="00AD5D55" w:rsidRDefault="00AD5D55" w:rsidP="00AD5D55">
      <w:pPr>
        <w:spacing w:before="100" w:beforeAutospacing="1" w:after="100" w:afterAutospacing="1" w:line="240" w:lineRule="auto"/>
        <w:rPr>
          <w:rFonts w:ascii="Times New Roman" w:eastAsia="Times New Roman" w:hAnsi="Times New Roman" w:cs="Times New Roman"/>
          <w:sz w:val="28"/>
          <w:szCs w:val="28"/>
          <w:lang w:eastAsia="en-IN"/>
        </w:rPr>
      </w:pPr>
      <w:r w:rsidRPr="00AD5D55">
        <w:rPr>
          <w:rFonts w:ascii="Times New Roman" w:eastAsia="Times New Roman" w:hAnsi="Times New Roman" w:cs="Times New Roman"/>
          <w:b/>
          <w:bCs/>
          <w:sz w:val="28"/>
          <w:szCs w:val="28"/>
          <w:lang w:eastAsia="en-IN"/>
        </w:rPr>
        <w:t>Capital Structure:</w:t>
      </w:r>
    </w:p>
    <w:p w14:paraId="76E03F46" w14:textId="77777777" w:rsidR="00AD5D55" w:rsidRPr="00AD5D55" w:rsidRDefault="00AD5D55" w:rsidP="00AD5D55">
      <w:pPr>
        <w:numPr>
          <w:ilvl w:val="0"/>
          <w:numId w:val="9"/>
        </w:numPr>
        <w:spacing w:before="100" w:beforeAutospacing="1" w:after="100" w:afterAutospacing="1" w:line="240" w:lineRule="auto"/>
        <w:rPr>
          <w:rFonts w:ascii="Times New Roman" w:eastAsia="Times New Roman" w:hAnsi="Times New Roman" w:cs="Times New Roman"/>
          <w:sz w:val="28"/>
          <w:szCs w:val="28"/>
          <w:lang w:eastAsia="en-IN"/>
        </w:rPr>
      </w:pPr>
      <w:r w:rsidRPr="00AD5D55">
        <w:rPr>
          <w:rFonts w:ascii="Times New Roman" w:eastAsia="Times New Roman" w:hAnsi="Times New Roman" w:cs="Times New Roman"/>
          <w:sz w:val="28"/>
          <w:szCs w:val="28"/>
          <w:lang w:eastAsia="en-IN"/>
        </w:rPr>
        <w:t>Mix of equity and debt; ongoing deleveraging through improved cash flows.</w:t>
      </w:r>
    </w:p>
    <w:p w14:paraId="13E85BC4" w14:textId="77777777" w:rsidR="00AD5D55" w:rsidRPr="00AD5D55" w:rsidRDefault="00AD5D55" w:rsidP="00AD5D55">
      <w:pPr>
        <w:numPr>
          <w:ilvl w:val="0"/>
          <w:numId w:val="9"/>
        </w:numPr>
        <w:spacing w:before="100" w:beforeAutospacing="1" w:after="100" w:afterAutospacing="1" w:line="240" w:lineRule="auto"/>
        <w:rPr>
          <w:rFonts w:ascii="Times New Roman" w:eastAsia="Times New Roman" w:hAnsi="Times New Roman" w:cs="Times New Roman"/>
          <w:sz w:val="28"/>
          <w:szCs w:val="28"/>
          <w:lang w:eastAsia="en-IN"/>
        </w:rPr>
      </w:pPr>
      <w:r w:rsidRPr="00AD5D55">
        <w:rPr>
          <w:rFonts w:ascii="Times New Roman" w:eastAsia="Times New Roman" w:hAnsi="Times New Roman" w:cs="Times New Roman"/>
          <w:sz w:val="28"/>
          <w:szCs w:val="28"/>
          <w:lang w:eastAsia="en-IN"/>
        </w:rPr>
        <w:t>Strong liquidity, improved operating margins, and positive cash from operations.</w:t>
      </w:r>
    </w:p>
    <w:p w14:paraId="54152114" w14:textId="77777777" w:rsidR="00AD5D55" w:rsidRPr="00AD5D55" w:rsidRDefault="00AD5D55" w:rsidP="00AD5D55">
      <w:pPr>
        <w:spacing w:after="0" w:line="240" w:lineRule="auto"/>
        <w:rPr>
          <w:rFonts w:ascii="Times New Roman" w:eastAsia="Times New Roman" w:hAnsi="Times New Roman" w:cs="Times New Roman"/>
          <w:sz w:val="28"/>
          <w:szCs w:val="28"/>
          <w:lang w:eastAsia="en-IN"/>
        </w:rPr>
      </w:pPr>
      <w:r w:rsidRPr="00AD5D55">
        <w:rPr>
          <w:rFonts w:ascii="Times New Roman" w:eastAsia="Times New Roman" w:hAnsi="Times New Roman" w:cs="Times New Roman"/>
          <w:sz w:val="28"/>
          <w:szCs w:val="28"/>
          <w:lang w:eastAsia="en-IN"/>
        </w:rPr>
        <w:pict w14:anchorId="3C698432">
          <v:rect id="_x0000_i1029" style="width:0;height:1.5pt" o:hralign="center" o:hrstd="t" o:hr="t" fillcolor="#a0a0a0" stroked="f"/>
        </w:pict>
      </w:r>
    </w:p>
    <w:p w14:paraId="1915DF0F" w14:textId="77777777" w:rsidR="00364AC9" w:rsidRDefault="00364AC9" w:rsidP="00AD5D55">
      <w:pPr>
        <w:spacing w:before="100" w:beforeAutospacing="1" w:after="100" w:afterAutospacing="1" w:line="240" w:lineRule="auto"/>
        <w:rPr>
          <w:rFonts w:ascii="Times New Roman" w:eastAsia="Times New Roman" w:hAnsi="Times New Roman" w:cs="Times New Roman"/>
          <w:b/>
          <w:bCs/>
          <w:sz w:val="28"/>
          <w:szCs w:val="28"/>
          <w:lang w:eastAsia="en-IN"/>
        </w:rPr>
      </w:pPr>
    </w:p>
    <w:p w14:paraId="63BD6FB6" w14:textId="77777777" w:rsidR="00364AC9" w:rsidRDefault="00364AC9" w:rsidP="00AD5D55">
      <w:pPr>
        <w:spacing w:before="100" w:beforeAutospacing="1" w:after="100" w:afterAutospacing="1" w:line="240" w:lineRule="auto"/>
        <w:rPr>
          <w:rFonts w:ascii="Times New Roman" w:eastAsia="Times New Roman" w:hAnsi="Times New Roman" w:cs="Times New Roman"/>
          <w:b/>
          <w:bCs/>
          <w:sz w:val="28"/>
          <w:szCs w:val="28"/>
          <w:lang w:eastAsia="en-IN"/>
        </w:rPr>
      </w:pPr>
    </w:p>
    <w:p w14:paraId="6C32CE76" w14:textId="77777777" w:rsidR="00364AC9" w:rsidRDefault="00364AC9" w:rsidP="00AD5D55">
      <w:pPr>
        <w:spacing w:before="100" w:beforeAutospacing="1" w:after="100" w:afterAutospacing="1" w:line="240" w:lineRule="auto"/>
        <w:rPr>
          <w:rFonts w:ascii="Times New Roman" w:eastAsia="Times New Roman" w:hAnsi="Times New Roman" w:cs="Times New Roman"/>
          <w:b/>
          <w:bCs/>
          <w:sz w:val="28"/>
          <w:szCs w:val="28"/>
          <w:lang w:eastAsia="en-IN"/>
        </w:rPr>
      </w:pPr>
    </w:p>
    <w:p w14:paraId="2AAA5AFA" w14:textId="77777777" w:rsidR="00364AC9" w:rsidRDefault="00364AC9" w:rsidP="00AD5D55">
      <w:pPr>
        <w:spacing w:before="100" w:beforeAutospacing="1" w:after="100" w:afterAutospacing="1" w:line="240" w:lineRule="auto"/>
        <w:rPr>
          <w:rFonts w:ascii="Times New Roman" w:eastAsia="Times New Roman" w:hAnsi="Times New Roman" w:cs="Times New Roman"/>
          <w:b/>
          <w:bCs/>
          <w:sz w:val="28"/>
          <w:szCs w:val="28"/>
          <w:lang w:eastAsia="en-IN"/>
        </w:rPr>
      </w:pPr>
    </w:p>
    <w:p w14:paraId="49A2E2EB" w14:textId="742781C5" w:rsidR="00AD5D55" w:rsidRPr="00AD5D55" w:rsidRDefault="00AD5D55" w:rsidP="00AD5D55">
      <w:pPr>
        <w:spacing w:before="100" w:beforeAutospacing="1" w:after="100" w:afterAutospacing="1" w:line="240" w:lineRule="auto"/>
        <w:rPr>
          <w:rFonts w:ascii="Times New Roman" w:eastAsia="Times New Roman" w:hAnsi="Times New Roman" w:cs="Times New Roman"/>
          <w:sz w:val="28"/>
          <w:szCs w:val="28"/>
          <w:lang w:eastAsia="en-IN"/>
        </w:rPr>
      </w:pPr>
      <w:r w:rsidRPr="00AD5D55">
        <w:rPr>
          <w:rFonts w:ascii="Times New Roman" w:eastAsia="Times New Roman" w:hAnsi="Times New Roman" w:cs="Times New Roman"/>
          <w:b/>
          <w:bCs/>
          <w:sz w:val="28"/>
          <w:szCs w:val="28"/>
          <w:lang w:eastAsia="en-IN"/>
        </w:rPr>
        <w:lastRenderedPageBreak/>
        <w:t>5. Valuation Section</w:t>
      </w:r>
    </w:p>
    <w:p w14:paraId="08E8255F" w14:textId="134EED70" w:rsidR="00AD5D55" w:rsidRPr="00364AC9" w:rsidRDefault="00AD5D55" w:rsidP="00AD5D55">
      <w:pPr>
        <w:spacing w:before="100" w:beforeAutospacing="1" w:after="100" w:afterAutospacing="1" w:line="240" w:lineRule="auto"/>
        <w:rPr>
          <w:rFonts w:ascii="Times New Roman" w:eastAsia="Times New Roman" w:hAnsi="Times New Roman" w:cs="Times New Roman"/>
          <w:b/>
          <w:bCs/>
          <w:sz w:val="28"/>
          <w:szCs w:val="28"/>
          <w:lang w:eastAsia="en-IN"/>
        </w:rPr>
      </w:pPr>
      <w:r w:rsidRPr="00AD5D55">
        <w:rPr>
          <w:rFonts w:ascii="Times New Roman" w:eastAsia="Times New Roman" w:hAnsi="Times New Roman" w:cs="Times New Roman"/>
          <w:b/>
          <w:bCs/>
          <w:sz w:val="28"/>
          <w:szCs w:val="28"/>
          <w:lang w:eastAsia="en-IN"/>
        </w:rPr>
        <w:t>A. Discounted Cash Flow (DCF) Valuation</w:t>
      </w:r>
    </w:p>
    <w:p w14:paraId="55F7AF50" w14:textId="10AD08B2" w:rsidR="005E4805" w:rsidRPr="00AD5D55" w:rsidRDefault="005E4805" w:rsidP="00AD5D55">
      <w:pPr>
        <w:spacing w:before="100" w:beforeAutospacing="1" w:after="100" w:afterAutospacing="1" w:line="240" w:lineRule="auto"/>
        <w:rPr>
          <w:rFonts w:ascii="Times New Roman" w:eastAsia="Times New Roman" w:hAnsi="Times New Roman" w:cs="Times New Roman"/>
          <w:sz w:val="28"/>
          <w:szCs w:val="28"/>
          <w:lang w:eastAsia="en-IN"/>
        </w:rPr>
      </w:pPr>
      <w:r w:rsidRPr="00364AC9">
        <w:rPr>
          <w:rFonts w:ascii="Times New Roman" w:eastAsia="Times New Roman" w:hAnsi="Times New Roman" w:cs="Times New Roman"/>
          <w:noProof/>
          <w:sz w:val="28"/>
          <w:szCs w:val="28"/>
          <w:lang w:eastAsia="en-IN"/>
        </w:rPr>
        <w:drawing>
          <wp:inline distT="0" distB="0" distL="0" distR="0" wp14:anchorId="59334C2F" wp14:editId="7866ECF5">
            <wp:extent cx="6296025" cy="18288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p6.PNG"/>
                    <pic:cNvPicPr/>
                  </pic:nvPicPr>
                  <pic:blipFill>
                    <a:blip r:embed="rId11">
                      <a:extLst>
                        <a:ext uri="{28A0092B-C50C-407E-A947-70E740481C1C}">
                          <a14:useLocalDpi xmlns:a14="http://schemas.microsoft.com/office/drawing/2010/main" val="0"/>
                        </a:ext>
                      </a:extLst>
                    </a:blip>
                    <a:stretch>
                      <a:fillRect/>
                    </a:stretch>
                  </pic:blipFill>
                  <pic:spPr>
                    <a:xfrm>
                      <a:off x="0" y="0"/>
                      <a:ext cx="6296025" cy="1828800"/>
                    </a:xfrm>
                    <a:prstGeom prst="rect">
                      <a:avLst/>
                    </a:prstGeom>
                  </pic:spPr>
                </pic:pic>
              </a:graphicData>
            </a:graphic>
          </wp:inline>
        </w:drawing>
      </w:r>
    </w:p>
    <w:p w14:paraId="1D3D2BE5" w14:textId="1F9D5BE8" w:rsidR="00AD5D55" w:rsidRPr="00364AC9" w:rsidRDefault="00AD5D55" w:rsidP="00AD5D55">
      <w:pPr>
        <w:spacing w:before="100" w:beforeAutospacing="1" w:after="100" w:afterAutospacing="1" w:line="240" w:lineRule="auto"/>
        <w:rPr>
          <w:rFonts w:ascii="Times New Roman" w:eastAsia="Times New Roman" w:hAnsi="Times New Roman" w:cs="Times New Roman"/>
          <w:b/>
          <w:bCs/>
          <w:sz w:val="28"/>
          <w:szCs w:val="28"/>
          <w:lang w:eastAsia="en-IN"/>
        </w:rPr>
      </w:pPr>
      <w:r w:rsidRPr="00AD5D55">
        <w:rPr>
          <w:rFonts w:ascii="Times New Roman" w:eastAsia="Times New Roman" w:hAnsi="Times New Roman" w:cs="Times New Roman"/>
          <w:b/>
          <w:bCs/>
          <w:sz w:val="28"/>
          <w:szCs w:val="28"/>
          <w:lang w:eastAsia="en-IN"/>
        </w:rPr>
        <w:t>WACC Calculation:</w:t>
      </w:r>
    </w:p>
    <w:p w14:paraId="72DB9225" w14:textId="653B74B9" w:rsidR="005E4805" w:rsidRPr="00AD5D55" w:rsidRDefault="005E4805" w:rsidP="00AD5D55">
      <w:pPr>
        <w:spacing w:before="100" w:beforeAutospacing="1" w:after="100" w:afterAutospacing="1" w:line="240" w:lineRule="auto"/>
        <w:rPr>
          <w:rFonts w:ascii="Times New Roman" w:eastAsia="Times New Roman" w:hAnsi="Times New Roman" w:cs="Times New Roman"/>
          <w:sz w:val="28"/>
          <w:szCs w:val="28"/>
          <w:lang w:eastAsia="en-IN"/>
        </w:rPr>
      </w:pPr>
      <w:r w:rsidRPr="00364AC9">
        <w:rPr>
          <w:rFonts w:ascii="Times New Roman" w:eastAsia="Times New Roman" w:hAnsi="Times New Roman" w:cs="Times New Roman"/>
          <w:noProof/>
          <w:sz w:val="28"/>
          <w:szCs w:val="28"/>
          <w:lang w:eastAsia="en-IN"/>
        </w:rPr>
        <w:drawing>
          <wp:inline distT="0" distB="0" distL="0" distR="0" wp14:anchorId="34F9CC07" wp14:editId="2F588A8F">
            <wp:extent cx="5953125" cy="314325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p7.PNG"/>
                    <pic:cNvPicPr/>
                  </pic:nvPicPr>
                  <pic:blipFill>
                    <a:blip r:embed="rId12">
                      <a:extLst>
                        <a:ext uri="{28A0092B-C50C-407E-A947-70E740481C1C}">
                          <a14:useLocalDpi xmlns:a14="http://schemas.microsoft.com/office/drawing/2010/main" val="0"/>
                        </a:ext>
                      </a:extLst>
                    </a:blip>
                    <a:stretch>
                      <a:fillRect/>
                    </a:stretch>
                  </pic:blipFill>
                  <pic:spPr>
                    <a:xfrm>
                      <a:off x="0" y="0"/>
                      <a:ext cx="5953956" cy="3143689"/>
                    </a:xfrm>
                    <a:prstGeom prst="rect">
                      <a:avLst/>
                    </a:prstGeom>
                  </pic:spPr>
                </pic:pic>
              </a:graphicData>
            </a:graphic>
          </wp:inline>
        </w:drawing>
      </w:r>
    </w:p>
    <w:p w14:paraId="0719AA54" w14:textId="3850728A" w:rsidR="00AD5D55" w:rsidRPr="00364AC9" w:rsidRDefault="00AD5D55" w:rsidP="00AD5D55">
      <w:pPr>
        <w:spacing w:before="100" w:beforeAutospacing="1" w:after="100" w:afterAutospacing="1" w:line="240" w:lineRule="auto"/>
        <w:rPr>
          <w:rFonts w:ascii="Times New Roman" w:eastAsia="Times New Roman" w:hAnsi="Times New Roman" w:cs="Times New Roman"/>
          <w:sz w:val="28"/>
          <w:szCs w:val="28"/>
          <w:lang w:eastAsia="en-IN"/>
        </w:rPr>
      </w:pPr>
      <w:r w:rsidRPr="00AD5D55">
        <w:rPr>
          <w:rFonts w:ascii="Times New Roman" w:eastAsia="Times New Roman" w:hAnsi="Times New Roman" w:cs="Times New Roman"/>
          <w:b/>
          <w:bCs/>
          <w:sz w:val="28"/>
          <w:szCs w:val="28"/>
          <w:lang w:eastAsia="en-IN"/>
        </w:rPr>
        <w:t>Terminal Value:</w:t>
      </w:r>
      <w:r w:rsidRPr="00AD5D55">
        <w:rPr>
          <w:rFonts w:ascii="Times New Roman" w:eastAsia="Times New Roman" w:hAnsi="Times New Roman" w:cs="Times New Roman"/>
          <w:sz w:val="28"/>
          <w:szCs w:val="28"/>
          <w:lang w:eastAsia="en-IN"/>
        </w:rPr>
        <w:t xml:space="preserve"> Calculated using the Gordon Growth Model:</w:t>
      </w:r>
    </w:p>
    <w:p w14:paraId="0146D953" w14:textId="64764859" w:rsidR="005E4805" w:rsidRPr="00AD5D55" w:rsidRDefault="005E4805" w:rsidP="00AD5D55">
      <w:pPr>
        <w:spacing w:before="100" w:beforeAutospacing="1" w:after="100" w:afterAutospacing="1" w:line="240" w:lineRule="auto"/>
        <w:rPr>
          <w:rFonts w:ascii="Times New Roman" w:eastAsia="Times New Roman" w:hAnsi="Times New Roman" w:cs="Times New Roman"/>
          <w:sz w:val="28"/>
          <w:szCs w:val="28"/>
          <w:lang w:eastAsia="en-IN"/>
        </w:rPr>
      </w:pPr>
      <w:r w:rsidRPr="00364AC9">
        <w:rPr>
          <w:rFonts w:ascii="Times New Roman" w:eastAsia="Times New Roman" w:hAnsi="Times New Roman" w:cs="Times New Roman"/>
          <w:noProof/>
          <w:sz w:val="28"/>
          <w:szCs w:val="28"/>
          <w:lang w:eastAsia="en-IN"/>
        </w:rPr>
        <w:drawing>
          <wp:inline distT="0" distB="0" distL="0" distR="0" wp14:anchorId="28C27642" wp14:editId="69C8C674">
            <wp:extent cx="5058481" cy="140989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p8.PNG"/>
                    <pic:cNvPicPr/>
                  </pic:nvPicPr>
                  <pic:blipFill>
                    <a:blip r:embed="rId13">
                      <a:extLst>
                        <a:ext uri="{28A0092B-C50C-407E-A947-70E740481C1C}">
                          <a14:useLocalDpi xmlns:a14="http://schemas.microsoft.com/office/drawing/2010/main" val="0"/>
                        </a:ext>
                      </a:extLst>
                    </a:blip>
                    <a:stretch>
                      <a:fillRect/>
                    </a:stretch>
                  </pic:blipFill>
                  <pic:spPr>
                    <a:xfrm>
                      <a:off x="0" y="0"/>
                      <a:ext cx="5058481" cy="1409897"/>
                    </a:xfrm>
                    <a:prstGeom prst="rect">
                      <a:avLst/>
                    </a:prstGeom>
                  </pic:spPr>
                </pic:pic>
              </a:graphicData>
            </a:graphic>
          </wp:inline>
        </w:drawing>
      </w:r>
    </w:p>
    <w:p w14:paraId="27235092" w14:textId="77777777" w:rsidR="00AD5D55" w:rsidRPr="00AD5D55" w:rsidRDefault="00AD5D55" w:rsidP="00AD5D55">
      <w:pPr>
        <w:spacing w:after="0" w:line="240" w:lineRule="auto"/>
        <w:rPr>
          <w:rFonts w:ascii="Times New Roman" w:eastAsia="Times New Roman" w:hAnsi="Times New Roman" w:cs="Times New Roman"/>
          <w:sz w:val="28"/>
          <w:szCs w:val="28"/>
          <w:lang w:eastAsia="en-IN"/>
        </w:rPr>
      </w:pPr>
      <w:r w:rsidRPr="00AD5D55">
        <w:rPr>
          <w:rFonts w:ascii="Times New Roman" w:eastAsia="Times New Roman" w:hAnsi="Times New Roman" w:cs="Times New Roman"/>
          <w:sz w:val="28"/>
          <w:szCs w:val="28"/>
          <w:lang w:eastAsia="en-IN"/>
        </w:rPr>
        <w:pict w14:anchorId="37013D65">
          <v:rect id="_x0000_i1030" style="width:0;height:1.5pt" o:hralign="center" o:hrstd="t" o:hr="t" fillcolor="#a0a0a0" stroked="f"/>
        </w:pict>
      </w:r>
    </w:p>
    <w:p w14:paraId="50411425" w14:textId="77777777" w:rsidR="00364AC9" w:rsidRDefault="00364AC9" w:rsidP="00AD5D55">
      <w:pPr>
        <w:spacing w:before="100" w:beforeAutospacing="1" w:after="100" w:afterAutospacing="1" w:line="240" w:lineRule="auto"/>
        <w:rPr>
          <w:rFonts w:ascii="Times New Roman" w:eastAsia="Times New Roman" w:hAnsi="Times New Roman" w:cs="Times New Roman"/>
          <w:b/>
          <w:bCs/>
          <w:sz w:val="28"/>
          <w:szCs w:val="28"/>
          <w:lang w:eastAsia="en-IN"/>
        </w:rPr>
      </w:pPr>
    </w:p>
    <w:p w14:paraId="2605C7D0" w14:textId="77777777" w:rsidR="00364AC9" w:rsidRDefault="00364AC9" w:rsidP="00AD5D55">
      <w:pPr>
        <w:spacing w:before="100" w:beforeAutospacing="1" w:after="100" w:afterAutospacing="1" w:line="240" w:lineRule="auto"/>
        <w:rPr>
          <w:rFonts w:ascii="Times New Roman" w:eastAsia="Times New Roman" w:hAnsi="Times New Roman" w:cs="Times New Roman"/>
          <w:b/>
          <w:bCs/>
          <w:sz w:val="28"/>
          <w:szCs w:val="28"/>
          <w:lang w:eastAsia="en-IN"/>
        </w:rPr>
      </w:pPr>
    </w:p>
    <w:p w14:paraId="10D6B0A8" w14:textId="6BAEA53B" w:rsidR="00AD5D55" w:rsidRPr="00AD5D55" w:rsidRDefault="00AD5D55" w:rsidP="00AD5D55">
      <w:pPr>
        <w:spacing w:before="100" w:beforeAutospacing="1" w:after="100" w:afterAutospacing="1" w:line="240" w:lineRule="auto"/>
        <w:rPr>
          <w:rFonts w:ascii="Times New Roman" w:eastAsia="Times New Roman" w:hAnsi="Times New Roman" w:cs="Times New Roman"/>
          <w:sz w:val="28"/>
          <w:szCs w:val="28"/>
          <w:lang w:eastAsia="en-IN"/>
        </w:rPr>
      </w:pPr>
      <w:r w:rsidRPr="00AD5D55">
        <w:rPr>
          <w:rFonts w:ascii="Times New Roman" w:eastAsia="Times New Roman" w:hAnsi="Times New Roman" w:cs="Times New Roman"/>
          <w:b/>
          <w:bCs/>
          <w:sz w:val="28"/>
          <w:szCs w:val="28"/>
          <w:lang w:eastAsia="en-IN"/>
        </w:rPr>
        <w:t>6. Strategic Recommendation</w:t>
      </w:r>
    </w:p>
    <w:p w14:paraId="1743D8AD" w14:textId="77777777" w:rsidR="00AD5D55" w:rsidRPr="00AD5D55" w:rsidRDefault="00AD5D55" w:rsidP="00AD5D55">
      <w:pPr>
        <w:spacing w:before="100" w:beforeAutospacing="1" w:after="100" w:afterAutospacing="1" w:line="240" w:lineRule="auto"/>
        <w:rPr>
          <w:rFonts w:ascii="Times New Roman" w:eastAsia="Times New Roman" w:hAnsi="Times New Roman" w:cs="Times New Roman"/>
          <w:sz w:val="28"/>
          <w:szCs w:val="28"/>
          <w:lang w:eastAsia="en-IN"/>
        </w:rPr>
      </w:pPr>
      <w:r w:rsidRPr="00AD5D55">
        <w:rPr>
          <w:rFonts w:ascii="Times New Roman" w:eastAsia="Times New Roman" w:hAnsi="Times New Roman" w:cs="Times New Roman"/>
          <w:sz w:val="28"/>
          <w:szCs w:val="28"/>
          <w:lang w:eastAsia="en-IN"/>
        </w:rPr>
        <w:t xml:space="preserve">Tata Motors' intrinsic value suggests the stock is </w:t>
      </w:r>
      <w:r w:rsidRPr="00AD5D55">
        <w:rPr>
          <w:rFonts w:ascii="Times New Roman" w:eastAsia="Times New Roman" w:hAnsi="Times New Roman" w:cs="Times New Roman"/>
          <w:b/>
          <w:bCs/>
          <w:sz w:val="28"/>
          <w:szCs w:val="28"/>
          <w:lang w:eastAsia="en-IN"/>
        </w:rPr>
        <w:t>undervalued</w:t>
      </w:r>
      <w:r w:rsidRPr="00AD5D55">
        <w:rPr>
          <w:rFonts w:ascii="Times New Roman" w:eastAsia="Times New Roman" w:hAnsi="Times New Roman" w:cs="Times New Roman"/>
          <w:sz w:val="28"/>
          <w:szCs w:val="28"/>
          <w:lang w:eastAsia="en-IN"/>
        </w:rPr>
        <w:t>. The company stands to benefit from:</w:t>
      </w:r>
    </w:p>
    <w:p w14:paraId="20DC2ECE" w14:textId="77777777" w:rsidR="00AD5D55" w:rsidRPr="00AD5D55" w:rsidRDefault="00AD5D55" w:rsidP="00AD5D55">
      <w:pPr>
        <w:numPr>
          <w:ilvl w:val="0"/>
          <w:numId w:val="14"/>
        </w:numPr>
        <w:spacing w:before="100" w:beforeAutospacing="1" w:after="100" w:afterAutospacing="1" w:line="240" w:lineRule="auto"/>
        <w:rPr>
          <w:rFonts w:ascii="Times New Roman" w:eastAsia="Times New Roman" w:hAnsi="Times New Roman" w:cs="Times New Roman"/>
          <w:sz w:val="28"/>
          <w:szCs w:val="28"/>
          <w:lang w:eastAsia="en-IN"/>
        </w:rPr>
      </w:pPr>
      <w:r w:rsidRPr="00AD5D55">
        <w:rPr>
          <w:rFonts w:ascii="Times New Roman" w:eastAsia="Times New Roman" w:hAnsi="Times New Roman" w:cs="Times New Roman"/>
          <w:sz w:val="28"/>
          <w:szCs w:val="28"/>
          <w:lang w:eastAsia="en-IN"/>
        </w:rPr>
        <w:t>Strong EV leadership in India</w:t>
      </w:r>
    </w:p>
    <w:p w14:paraId="39FC5307" w14:textId="77777777" w:rsidR="00AD5D55" w:rsidRPr="00AD5D55" w:rsidRDefault="00AD5D55" w:rsidP="00AD5D55">
      <w:pPr>
        <w:numPr>
          <w:ilvl w:val="0"/>
          <w:numId w:val="14"/>
        </w:numPr>
        <w:spacing w:before="100" w:beforeAutospacing="1" w:after="100" w:afterAutospacing="1" w:line="240" w:lineRule="auto"/>
        <w:rPr>
          <w:rFonts w:ascii="Times New Roman" w:eastAsia="Times New Roman" w:hAnsi="Times New Roman" w:cs="Times New Roman"/>
          <w:sz w:val="28"/>
          <w:szCs w:val="28"/>
          <w:lang w:eastAsia="en-IN"/>
        </w:rPr>
      </w:pPr>
      <w:r w:rsidRPr="00AD5D55">
        <w:rPr>
          <w:rFonts w:ascii="Times New Roman" w:eastAsia="Times New Roman" w:hAnsi="Times New Roman" w:cs="Times New Roman"/>
          <w:sz w:val="28"/>
          <w:szCs w:val="28"/>
          <w:lang w:eastAsia="en-IN"/>
        </w:rPr>
        <w:t>Strategic JLR transformation</w:t>
      </w:r>
    </w:p>
    <w:p w14:paraId="200A043E" w14:textId="5C84AA8E" w:rsidR="00AD5D55" w:rsidRPr="00364AC9" w:rsidRDefault="00AD5D55" w:rsidP="00AD5D55">
      <w:pPr>
        <w:numPr>
          <w:ilvl w:val="0"/>
          <w:numId w:val="14"/>
        </w:numPr>
        <w:spacing w:before="100" w:beforeAutospacing="1" w:after="100" w:afterAutospacing="1" w:line="240" w:lineRule="auto"/>
        <w:rPr>
          <w:rFonts w:ascii="Times New Roman" w:eastAsia="Times New Roman" w:hAnsi="Times New Roman" w:cs="Times New Roman"/>
          <w:sz w:val="28"/>
          <w:szCs w:val="28"/>
          <w:lang w:eastAsia="en-IN"/>
        </w:rPr>
      </w:pPr>
      <w:r w:rsidRPr="00AD5D55">
        <w:rPr>
          <w:rFonts w:ascii="Times New Roman" w:eastAsia="Times New Roman" w:hAnsi="Times New Roman" w:cs="Times New Roman"/>
          <w:sz w:val="28"/>
          <w:szCs w:val="28"/>
          <w:lang w:eastAsia="en-IN"/>
        </w:rPr>
        <w:t>Resilient financial performance</w:t>
      </w:r>
    </w:p>
    <w:p w14:paraId="435A5633" w14:textId="178B7A79" w:rsidR="00364AC9" w:rsidRPr="00364AC9" w:rsidRDefault="00364AC9" w:rsidP="00364AC9">
      <w:pPr>
        <w:spacing w:before="100" w:beforeAutospacing="1" w:after="100" w:afterAutospacing="1" w:line="240" w:lineRule="auto"/>
        <w:ind w:left="720"/>
        <w:rPr>
          <w:rFonts w:ascii="Times New Roman" w:eastAsia="Times New Roman" w:hAnsi="Times New Roman" w:cs="Times New Roman"/>
          <w:sz w:val="28"/>
          <w:szCs w:val="28"/>
          <w:lang w:eastAsia="en-IN"/>
        </w:rPr>
      </w:pPr>
      <w:r w:rsidRPr="00364AC9">
        <w:rPr>
          <w:rFonts w:ascii="Times New Roman" w:eastAsia="Times New Roman" w:hAnsi="Times New Roman" w:cs="Times New Roman"/>
          <w:sz w:val="28"/>
          <w:szCs w:val="28"/>
          <w:lang w:eastAsia="en-IN"/>
        </w:rPr>
        <w:t>The company should utilize</w:t>
      </w:r>
      <w:r w:rsidRPr="00364AC9">
        <w:rPr>
          <w:rFonts w:ascii="Times New Roman" w:eastAsia="Times New Roman" w:hAnsi="Times New Roman" w:cs="Times New Roman"/>
          <w:sz w:val="28"/>
          <w:szCs w:val="28"/>
          <w:lang w:eastAsia="en-IN"/>
        </w:rPr>
        <w:t xml:space="preserve"> healthy operating and non-cash flow (especially from depreciation) to expand EV production capacity and invest in battery manufacturing or tech partnerships.</w:t>
      </w:r>
      <w:r w:rsidRPr="00364AC9">
        <w:rPr>
          <w:rFonts w:ascii="Times New Roman" w:eastAsia="Times New Roman" w:hAnsi="Times New Roman" w:cs="Times New Roman"/>
          <w:sz w:val="28"/>
          <w:szCs w:val="28"/>
          <w:lang w:eastAsia="en-IN"/>
        </w:rPr>
        <w:t xml:space="preserve"> </w:t>
      </w:r>
      <w:r w:rsidRPr="00364AC9">
        <w:rPr>
          <w:rFonts w:ascii="Times New Roman" w:eastAsia="Times New Roman" w:hAnsi="Times New Roman" w:cs="Times New Roman"/>
          <w:sz w:val="28"/>
          <w:szCs w:val="28"/>
          <w:lang w:eastAsia="en-IN"/>
        </w:rPr>
        <w:t>Although working capital changes are modest, refining inventory and receivables management can further boost free cash flows.</w:t>
      </w:r>
      <w:r w:rsidRPr="00364AC9">
        <w:rPr>
          <w:rFonts w:ascii="Times New Roman" w:eastAsia="Times New Roman" w:hAnsi="Times New Roman" w:cs="Times New Roman"/>
          <w:sz w:val="28"/>
          <w:szCs w:val="28"/>
          <w:lang w:eastAsia="en-IN"/>
        </w:rPr>
        <w:t xml:space="preserve"> Company has to ensure that </w:t>
      </w:r>
      <w:r w:rsidRPr="00364AC9">
        <w:rPr>
          <w:rFonts w:ascii="Times New Roman" w:eastAsia="Times New Roman" w:hAnsi="Times New Roman" w:cs="Times New Roman"/>
          <w:sz w:val="28"/>
          <w:szCs w:val="28"/>
          <w:lang w:eastAsia="en-IN"/>
        </w:rPr>
        <w:t>capital expenditure remain</w:t>
      </w:r>
      <w:r w:rsidRPr="00364AC9">
        <w:rPr>
          <w:rFonts w:ascii="Times New Roman" w:eastAsia="Times New Roman" w:hAnsi="Times New Roman" w:cs="Times New Roman"/>
          <w:sz w:val="28"/>
          <w:szCs w:val="28"/>
          <w:lang w:eastAsia="en-IN"/>
        </w:rPr>
        <w:t xml:space="preserve">s </w:t>
      </w:r>
      <w:r w:rsidRPr="00364AC9">
        <w:rPr>
          <w:rFonts w:ascii="Times New Roman" w:eastAsia="Times New Roman" w:hAnsi="Times New Roman" w:cs="Times New Roman"/>
          <w:sz w:val="28"/>
          <w:szCs w:val="28"/>
          <w:lang w:eastAsia="en-IN"/>
        </w:rPr>
        <w:t>focused on high-ROI projects (e.g., EVs, digital infrastructure, premium vehicles under JLR).</w:t>
      </w:r>
      <w:r w:rsidRPr="00364AC9">
        <w:rPr>
          <w:rFonts w:ascii="Times New Roman" w:eastAsia="Times New Roman" w:hAnsi="Times New Roman" w:cs="Times New Roman"/>
          <w:sz w:val="28"/>
          <w:szCs w:val="28"/>
          <w:lang w:eastAsia="en-IN"/>
        </w:rPr>
        <w:t xml:space="preserve"> </w:t>
      </w:r>
      <w:r w:rsidRPr="00364AC9">
        <w:rPr>
          <w:rFonts w:ascii="Times New Roman" w:eastAsia="Times New Roman" w:hAnsi="Times New Roman" w:cs="Times New Roman"/>
          <w:sz w:val="28"/>
          <w:szCs w:val="28"/>
          <w:lang w:eastAsia="en-IN"/>
        </w:rPr>
        <w:t>C</w:t>
      </w:r>
      <w:r w:rsidRPr="00364AC9">
        <w:rPr>
          <w:rFonts w:ascii="Times New Roman" w:eastAsia="Times New Roman" w:hAnsi="Times New Roman" w:cs="Times New Roman"/>
          <w:sz w:val="28"/>
          <w:szCs w:val="28"/>
          <w:lang w:eastAsia="en-IN"/>
        </w:rPr>
        <w:t>ompany should continue</w:t>
      </w:r>
      <w:r w:rsidRPr="00364AC9">
        <w:rPr>
          <w:rFonts w:ascii="Times New Roman" w:eastAsia="Times New Roman" w:hAnsi="Times New Roman" w:cs="Times New Roman"/>
          <w:sz w:val="28"/>
          <w:szCs w:val="28"/>
          <w:lang w:eastAsia="en-IN"/>
        </w:rPr>
        <w:t xml:space="preserve"> investing in future technologies like autonomous systems and connected vehicles to future-proof revenue streams.</w:t>
      </w:r>
      <w:r w:rsidRPr="00364AC9">
        <w:rPr>
          <w:rFonts w:ascii="Times New Roman" w:eastAsia="Times New Roman" w:hAnsi="Times New Roman" w:cs="Times New Roman"/>
          <w:sz w:val="28"/>
          <w:szCs w:val="28"/>
          <w:lang w:eastAsia="en-IN"/>
        </w:rPr>
        <w:t xml:space="preserve"> </w:t>
      </w:r>
      <w:r w:rsidRPr="00364AC9">
        <w:rPr>
          <w:rFonts w:ascii="Times New Roman" w:eastAsia="Times New Roman" w:hAnsi="Times New Roman" w:cs="Times New Roman"/>
          <w:sz w:val="28"/>
          <w:szCs w:val="28"/>
          <w:lang w:eastAsia="en-IN"/>
        </w:rPr>
        <w:t xml:space="preserve">If valuation continues to reflect undervaluation despite strong fundamentals, </w:t>
      </w:r>
      <w:r w:rsidRPr="00364AC9">
        <w:rPr>
          <w:rFonts w:ascii="Times New Roman" w:eastAsia="Times New Roman" w:hAnsi="Times New Roman" w:cs="Times New Roman"/>
          <w:sz w:val="28"/>
          <w:szCs w:val="28"/>
          <w:lang w:eastAsia="en-IN"/>
        </w:rPr>
        <w:t>the company should consider</w:t>
      </w:r>
      <w:r w:rsidRPr="00364AC9">
        <w:rPr>
          <w:rFonts w:ascii="Times New Roman" w:eastAsia="Times New Roman" w:hAnsi="Times New Roman" w:cs="Times New Roman"/>
          <w:sz w:val="28"/>
          <w:szCs w:val="28"/>
          <w:lang w:eastAsia="en-IN"/>
        </w:rPr>
        <w:t xml:space="preserve"> share buybacks or initiate consistent dividend pay</w:t>
      </w:r>
      <w:r w:rsidRPr="00364AC9">
        <w:rPr>
          <w:rFonts w:ascii="Times New Roman" w:eastAsia="Times New Roman" w:hAnsi="Times New Roman" w:cs="Times New Roman"/>
          <w:sz w:val="28"/>
          <w:szCs w:val="28"/>
          <w:lang w:eastAsia="en-IN"/>
        </w:rPr>
        <w:t xml:space="preserve"> </w:t>
      </w:r>
      <w:r w:rsidRPr="00364AC9">
        <w:rPr>
          <w:rFonts w:ascii="Times New Roman" w:eastAsia="Times New Roman" w:hAnsi="Times New Roman" w:cs="Times New Roman"/>
          <w:sz w:val="28"/>
          <w:szCs w:val="28"/>
          <w:lang w:eastAsia="en-IN"/>
        </w:rPr>
        <w:t>outs to enhance investor confidence</w:t>
      </w:r>
      <w:r w:rsidRPr="00364AC9">
        <w:rPr>
          <w:rFonts w:ascii="Times New Roman" w:eastAsia="Times New Roman" w:hAnsi="Times New Roman" w:cs="Times New Roman"/>
          <w:sz w:val="28"/>
          <w:szCs w:val="28"/>
          <w:lang w:eastAsia="en-IN"/>
        </w:rPr>
        <w:t>.</w:t>
      </w:r>
    </w:p>
    <w:p w14:paraId="688FE4C6" w14:textId="77777777" w:rsidR="00364AC9" w:rsidRPr="00AD5D55" w:rsidRDefault="00364AC9" w:rsidP="00364AC9">
      <w:pPr>
        <w:spacing w:before="100" w:beforeAutospacing="1" w:after="100" w:afterAutospacing="1" w:line="240" w:lineRule="auto"/>
        <w:ind w:left="720"/>
        <w:rPr>
          <w:rFonts w:ascii="Times New Roman" w:eastAsia="Times New Roman" w:hAnsi="Times New Roman" w:cs="Times New Roman"/>
          <w:sz w:val="28"/>
          <w:szCs w:val="28"/>
          <w:lang w:eastAsia="en-IN"/>
        </w:rPr>
      </w:pPr>
    </w:p>
    <w:p w14:paraId="3B518A0D" w14:textId="4E7E40B1" w:rsidR="00AD5D55" w:rsidRPr="00AD5D55" w:rsidRDefault="00AD5D55" w:rsidP="00AD5D55">
      <w:pPr>
        <w:spacing w:before="100" w:beforeAutospacing="1" w:after="100" w:afterAutospacing="1" w:line="240" w:lineRule="auto"/>
        <w:rPr>
          <w:rFonts w:ascii="Times New Roman" w:eastAsia="Times New Roman" w:hAnsi="Times New Roman" w:cs="Times New Roman"/>
          <w:sz w:val="28"/>
          <w:szCs w:val="28"/>
          <w:lang w:eastAsia="en-IN"/>
        </w:rPr>
      </w:pPr>
      <w:r w:rsidRPr="00AD5D55">
        <w:rPr>
          <w:rFonts w:ascii="Times New Roman" w:eastAsia="Times New Roman" w:hAnsi="Times New Roman" w:cs="Times New Roman"/>
          <w:b/>
          <w:bCs/>
          <w:sz w:val="28"/>
          <w:szCs w:val="28"/>
          <w:lang w:eastAsia="en-IN"/>
        </w:rPr>
        <w:t>Recommendation:</w:t>
      </w:r>
      <w:r w:rsidRPr="00AD5D55">
        <w:rPr>
          <w:rFonts w:ascii="Times New Roman" w:eastAsia="Times New Roman" w:hAnsi="Times New Roman" w:cs="Times New Roman"/>
          <w:sz w:val="28"/>
          <w:szCs w:val="28"/>
          <w:lang w:eastAsia="en-IN"/>
        </w:rPr>
        <w:t xml:space="preserve"> </w:t>
      </w:r>
      <w:r w:rsidRPr="00AD5D55">
        <w:rPr>
          <w:rFonts w:ascii="Times New Roman" w:eastAsia="Times New Roman" w:hAnsi="Times New Roman" w:cs="Times New Roman"/>
          <w:b/>
          <w:bCs/>
          <w:sz w:val="28"/>
          <w:szCs w:val="28"/>
          <w:lang w:eastAsia="en-IN"/>
        </w:rPr>
        <w:t>BUY</w:t>
      </w:r>
      <w:r w:rsidRPr="00AD5D55">
        <w:rPr>
          <w:rFonts w:ascii="Times New Roman" w:eastAsia="Times New Roman" w:hAnsi="Times New Roman" w:cs="Times New Roman"/>
          <w:sz w:val="28"/>
          <w:szCs w:val="28"/>
          <w:lang w:eastAsia="en-IN"/>
        </w:rPr>
        <w:t xml:space="preserve"> – Long-term investors should consider </w:t>
      </w:r>
      <w:r w:rsidR="005E4805" w:rsidRPr="00364AC9">
        <w:rPr>
          <w:rFonts w:ascii="Times New Roman" w:eastAsia="Times New Roman" w:hAnsi="Times New Roman" w:cs="Times New Roman"/>
          <w:sz w:val="28"/>
          <w:szCs w:val="28"/>
          <w:lang w:eastAsia="en-IN"/>
        </w:rPr>
        <w:t>TATA MOTORS as a viable option</w:t>
      </w:r>
      <w:r w:rsidRPr="00AD5D55">
        <w:rPr>
          <w:rFonts w:ascii="Times New Roman" w:eastAsia="Times New Roman" w:hAnsi="Times New Roman" w:cs="Times New Roman"/>
          <w:sz w:val="28"/>
          <w:szCs w:val="28"/>
          <w:lang w:eastAsia="en-IN"/>
        </w:rPr>
        <w:t>, especially with improving fundamentals and macroeconomic support.</w:t>
      </w:r>
      <w:r w:rsidR="005E4805" w:rsidRPr="00364AC9">
        <w:rPr>
          <w:rFonts w:ascii="Times New Roman" w:eastAsia="Times New Roman" w:hAnsi="Times New Roman" w:cs="Times New Roman"/>
          <w:sz w:val="28"/>
          <w:szCs w:val="28"/>
          <w:lang w:eastAsia="en-IN"/>
        </w:rPr>
        <w:t xml:space="preserve"> But for short term investors, TATA MOTORS is not a good option.</w:t>
      </w:r>
    </w:p>
    <w:p w14:paraId="5BB463F9" w14:textId="29FC7C0D" w:rsidR="00AD5D55" w:rsidRPr="00AD5D55" w:rsidRDefault="00AD5D55" w:rsidP="00AD5D55">
      <w:pPr>
        <w:spacing w:after="0" w:line="240" w:lineRule="auto"/>
        <w:rPr>
          <w:rFonts w:ascii="Times New Roman" w:eastAsia="Times New Roman" w:hAnsi="Times New Roman" w:cs="Times New Roman"/>
          <w:sz w:val="28"/>
          <w:szCs w:val="28"/>
          <w:lang w:eastAsia="en-IN"/>
        </w:rPr>
      </w:pPr>
    </w:p>
    <w:p w14:paraId="326C1BD4" w14:textId="77777777" w:rsidR="000B5106" w:rsidRPr="00364AC9" w:rsidRDefault="000B5106">
      <w:pPr>
        <w:rPr>
          <w:rFonts w:ascii="Times New Roman" w:hAnsi="Times New Roman" w:cs="Times New Roman"/>
          <w:sz w:val="28"/>
          <w:szCs w:val="28"/>
        </w:rPr>
      </w:pPr>
    </w:p>
    <w:sectPr w:rsidR="000B5106" w:rsidRPr="00364A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DE35BF"/>
    <w:multiLevelType w:val="multilevel"/>
    <w:tmpl w:val="3844F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2C1935"/>
    <w:multiLevelType w:val="multilevel"/>
    <w:tmpl w:val="5D2E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294FCD"/>
    <w:multiLevelType w:val="multilevel"/>
    <w:tmpl w:val="535AF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8B798E"/>
    <w:multiLevelType w:val="multilevel"/>
    <w:tmpl w:val="17486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F45B0F"/>
    <w:multiLevelType w:val="multilevel"/>
    <w:tmpl w:val="3626B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39719F"/>
    <w:multiLevelType w:val="multilevel"/>
    <w:tmpl w:val="714E2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6244FE"/>
    <w:multiLevelType w:val="multilevel"/>
    <w:tmpl w:val="0338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FB3606"/>
    <w:multiLevelType w:val="multilevel"/>
    <w:tmpl w:val="9C32D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BD56CB"/>
    <w:multiLevelType w:val="multilevel"/>
    <w:tmpl w:val="FB487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B80250"/>
    <w:multiLevelType w:val="multilevel"/>
    <w:tmpl w:val="EE780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2B4C68"/>
    <w:multiLevelType w:val="multilevel"/>
    <w:tmpl w:val="0F685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7F4BEC"/>
    <w:multiLevelType w:val="multilevel"/>
    <w:tmpl w:val="B1D4A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714056"/>
    <w:multiLevelType w:val="multilevel"/>
    <w:tmpl w:val="BDBEA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DD0EF2"/>
    <w:multiLevelType w:val="multilevel"/>
    <w:tmpl w:val="1526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265B3F"/>
    <w:multiLevelType w:val="multilevel"/>
    <w:tmpl w:val="90C68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086047"/>
    <w:multiLevelType w:val="multilevel"/>
    <w:tmpl w:val="9FE22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521219"/>
    <w:multiLevelType w:val="multilevel"/>
    <w:tmpl w:val="F5FC6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ED78B5"/>
    <w:multiLevelType w:val="multilevel"/>
    <w:tmpl w:val="1410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380370"/>
    <w:multiLevelType w:val="multilevel"/>
    <w:tmpl w:val="05305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9D10DB"/>
    <w:multiLevelType w:val="multilevel"/>
    <w:tmpl w:val="B17EC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F71A8D"/>
    <w:multiLevelType w:val="multilevel"/>
    <w:tmpl w:val="6CAE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0"/>
  </w:num>
  <w:num w:numId="3">
    <w:abstractNumId w:val="4"/>
  </w:num>
  <w:num w:numId="4">
    <w:abstractNumId w:val="2"/>
  </w:num>
  <w:num w:numId="5">
    <w:abstractNumId w:val="13"/>
  </w:num>
  <w:num w:numId="6">
    <w:abstractNumId w:val="12"/>
  </w:num>
  <w:num w:numId="7">
    <w:abstractNumId w:val="11"/>
  </w:num>
  <w:num w:numId="8">
    <w:abstractNumId w:val="18"/>
  </w:num>
  <w:num w:numId="9">
    <w:abstractNumId w:val="16"/>
  </w:num>
  <w:num w:numId="10">
    <w:abstractNumId w:val="17"/>
  </w:num>
  <w:num w:numId="11">
    <w:abstractNumId w:val="9"/>
  </w:num>
  <w:num w:numId="12">
    <w:abstractNumId w:val="7"/>
  </w:num>
  <w:num w:numId="13">
    <w:abstractNumId w:val="1"/>
  </w:num>
  <w:num w:numId="14">
    <w:abstractNumId w:val="19"/>
  </w:num>
  <w:num w:numId="15">
    <w:abstractNumId w:val="0"/>
  </w:num>
  <w:num w:numId="16">
    <w:abstractNumId w:val="14"/>
  </w:num>
  <w:num w:numId="17">
    <w:abstractNumId w:val="20"/>
  </w:num>
  <w:num w:numId="18">
    <w:abstractNumId w:val="6"/>
  </w:num>
  <w:num w:numId="19">
    <w:abstractNumId w:val="3"/>
  </w:num>
  <w:num w:numId="20">
    <w:abstractNumId w:val="15"/>
  </w:num>
  <w:num w:numId="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D55"/>
    <w:rsid w:val="000B5106"/>
    <w:rsid w:val="001976D7"/>
    <w:rsid w:val="002A6B6F"/>
    <w:rsid w:val="00364AC9"/>
    <w:rsid w:val="00542E67"/>
    <w:rsid w:val="00567B21"/>
    <w:rsid w:val="005E4805"/>
    <w:rsid w:val="006375A9"/>
    <w:rsid w:val="00725BD3"/>
    <w:rsid w:val="00766F68"/>
    <w:rsid w:val="008553CD"/>
    <w:rsid w:val="00AD5D55"/>
    <w:rsid w:val="00F573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7D90F"/>
  <w15:chartTrackingRefBased/>
  <w15:docId w15:val="{89AA40C2-717D-4820-9C33-C54A61DD5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D5D5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D5D5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7525126">
      <w:bodyDiv w:val="1"/>
      <w:marLeft w:val="0"/>
      <w:marRight w:val="0"/>
      <w:marTop w:val="0"/>
      <w:marBottom w:val="0"/>
      <w:divBdr>
        <w:top w:val="none" w:sz="0" w:space="0" w:color="auto"/>
        <w:left w:val="none" w:sz="0" w:space="0" w:color="auto"/>
        <w:bottom w:val="none" w:sz="0" w:space="0" w:color="auto"/>
        <w:right w:val="none" w:sz="0" w:space="0" w:color="auto"/>
      </w:divBdr>
      <w:divsChild>
        <w:div w:id="901670244">
          <w:marLeft w:val="0"/>
          <w:marRight w:val="0"/>
          <w:marTop w:val="0"/>
          <w:marBottom w:val="0"/>
          <w:divBdr>
            <w:top w:val="none" w:sz="0" w:space="0" w:color="auto"/>
            <w:left w:val="none" w:sz="0" w:space="0" w:color="auto"/>
            <w:bottom w:val="none" w:sz="0" w:space="0" w:color="auto"/>
            <w:right w:val="none" w:sz="0" w:space="0" w:color="auto"/>
          </w:divBdr>
        </w:div>
        <w:div w:id="1461609380">
          <w:marLeft w:val="0"/>
          <w:marRight w:val="0"/>
          <w:marTop w:val="0"/>
          <w:marBottom w:val="0"/>
          <w:divBdr>
            <w:top w:val="none" w:sz="0" w:space="0" w:color="auto"/>
            <w:left w:val="none" w:sz="0" w:space="0" w:color="auto"/>
            <w:bottom w:val="none" w:sz="0" w:space="0" w:color="auto"/>
            <w:right w:val="none" w:sz="0" w:space="0" w:color="auto"/>
          </w:divBdr>
        </w:div>
        <w:div w:id="817527855">
          <w:marLeft w:val="0"/>
          <w:marRight w:val="0"/>
          <w:marTop w:val="0"/>
          <w:marBottom w:val="0"/>
          <w:divBdr>
            <w:top w:val="none" w:sz="0" w:space="0" w:color="auto"/>
            <w:left w:val="none" w:sz="0" w:space="0" w:color="auto"/>
            <w:bottom w:val="none" w:sz="0" w:space="0" w:color="auto"/>
            <w:right w:val="none" w:sz="0" w:space="0" w:color="auto"/>
          </w:divBdr>
        </w:div>
        <w:div w:id="1905288214">
          <w:marLeft w:val="0"/>
          <w:marRight w:val="0"/>
          <w:marTop w:val="0"/>
          <w:marBottom w:val="0"/>
          <w:divBdr>
            <w:top w:val="none" w:sz="0" w:space="0" w:color="auto"/>
            <w:left w:val="none" w:sz="0" w:space="0" w:color="auto"/>
            <w:bottom w:val="none" w:sz="0" w:space="0" w:color="auto"/>
            <w:right w:val="none" w:sz="0" w:space="0" w:color="auto"/>
          </w:divBdr>
        </w:div>
        <w:div w:id="188186041">
          <w:marLeft w:val="0"/>
          <w:marRight w:val="0"/>
          <w:marTop w:val="0"/>
          <w:marBottom w:val="0"/>
          <w:divBdr>
            <w:top w:val="none" w:sz="0" w:space="0" w:color="auto"/>
            <w:left w:val="none" w:sz="0" w:space="0" w:color="auto"/>
            <w:bottom w:val="none" w:sz="0" w:space="0" w:color="auto"/>
            <w:right w:val="none" w:sz="0" w:space="0" w:color="auto"/>
          </w:divBdr>
        </w:div>
        <w:div w:id="119538848">
          <w:marLeft w:val="0"/>
          <w:marRight w:val="0"/>
          <w:marTop w:val="0"/>
          <w:marBottom w:val="0"/>
          <w:divBdr>
            <w:top w:val="none" w:sz="0" w:space="0" w:color="auto"/>
            <w:left w:val="none" w:sz="0" w:space="0" w:color="auto"/>
            <w:bottom w:val="none" w:sz="0" w:space="0" w:color="auto"/>
            <w:right w:val="none" w:sz="0" w:space="0" w:color="auto"/>
          </w:divBdr>
        </w:div>
        <w:div w:id="2108505313">
          <w:marLeft w:val="0"/>
          <w:marRight w:val="0"/>
          <w:marTop w:val="0"/>
          <w:marBottom w:val="0"/>
          <w:divBdr>
            <w:top w:val="none" w:sz="0" w:space="0" w:color="auto"/>
            <w:left w:val="none" w:sz="0" w:space="0" w:color="auto"/>
            <w:bottom w:val="none" w:sz="0" w:space="0" w:color="auto"/>
            <w:right w:val="none" w:sz="0" w:space="0" w:color="auto"/>
          </w:divBdr>
        </w:div>
      </w:divsChild>
    </w:div>
    <w:div w:id="959724185">
      <w:bodyDiv w:val="1"/>
      <w:marLeft w:val="0"/>
      <w:marRight w:val="0"/>
      <w:marTop w:val="0"/>
      <w:marBottom w:val="0"/>
      <w:divBdr>
        <w:top w:val="none" w:sz="0" w:space="0" w:color="auto"/>
        <w:left w:val="none" w:sz="0" w:space="0" w:color="auto"/>
        <w:bottom w:val="none" w:sz="0" w:space="0" w:color="auto"/>
        <w:right w:val="none" w:sz="0" w:space="0" w:color="auto"/>
      </w:divBdr>
    </w:div>
    <w:div w:id="1212035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9</Pages>
  <Words>1916</Words>
  <Characters>10922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dc:creator>
  <cp:keywords/>
  <dc:description/>
  <cp:lastModifiedBy>MY</cp:lastModifiedBy>
  <cp:revision>1</cp:revision>
  <dcterms:created xsi:type="dcterms:W3CDTF">2025-04-22T20:01:00Z</dcterms:created>
  <dcterms:modified xsi:type="dcterms:W3CDTF">2025-04-22T22:18:00Z</dcterms:modified>
</cp:coreProperties>
</file>