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C067" w14:textId="77777777" w:rsidR="00B154ED" w:rsidRDefault="00000000" w:rsidP="005B4C71">
      <w:pPr>
        <w:spacing w:before="1100"/>
        <w:jc w:val="center"/>
        <w:rPr>
          <w:rFonts w:hint="eastAsia"/>
        </w:rPr>
      </w:pPr>
      <w:r>
        <w:rPr>
          <w:b/>
          <w:color w:val="1F4E79"/>
          <w:sz w:val="46"/>
        </w:rPr>
        <w:t>FINANCIAL PERFORMANCE ANALYSIS</w:t>
      </w:r>
      <w:r>
        <w:rPr>
          <w:b/>
          <w:color w:val="1F4E79"/>
          <w:sz w:val="46"/>
        </w:rPr>
        <w:br/>
        <w:t>OF LEADING TECHNOLOGY COMPANIES</w:t>
      </w:r>
    </w:p>
    <w:p w14:paraId="41E70F1A" w14:textId="77777777" w:rsidR="00B154ED" w:rsidRDefault="00000000">
      <w:pPr>
        <w:jc w:val="center"/>
        <w:rPr>
          <w:rFonts w:hint="eastAsia"/>
        </w:rPr>
      </w:pPr>
      <w:r>
        <w:rPr>
          <w:i/>
        </w:rPr>
        <w:t>Analyzing Growth, Profitability and Financial Risk Using Python, SQL, Excel and Power BI</w:t>
      </w:r>
    </w:p>
    <w:p w14:paraId="583B308F" w14:textId="77777777" w:rsidR="00B154ED" w:rsidRDefault="00000000">
      <w:pPr>
        <w:jc w:val="center"/>
        <w:rPr>
          <w:rFonts w:hint="eastAsia"/>
        </w:rPr>
      </w:pPr>
      <w:r>
        <w:t>Project Report | FY2021–FY2025</w:t>
      </w:r>
    </w:p>
    <w:p w14:paraId="71C2CF2A" w14:textId="77777777" w:rsidR="00B154ED" w:rsidRDefault="00000000">
      <w:pPr>
        <w:jc w:val="center"/>
        <w:rPr>
          <w:rFonts w:hint="eastAsia"/>
        </w:rPr>
      </w:pPr>
      <w:r>
        <w:t>Adobe • Alphabet • Amazon • Apple • Cisco • IBM • Meta • Microsoft • NVIDIA • Oracle</w:t>
      </w:r>
    </w:p>
    <w:p w14:paraId="599269B4" w14:textId="77777777" w:rsidR="00B154ED" w:rsidRDefault="00000000">
      <w:pPr>
        <w:rPr>
          <w:rFonts w:hint="eastAsia"/>
        </w:rPr>
      </w:pPr>
      <w:r>
        <w:br w:type="page"/>
      </w:r>
    </w:p>
    <w:p w14:paraId="60EE0A83" w14:textId="77777777" w:rsidR="00B154ED" w:rsidRDefault="00000000">
      <w:pPr>
        <w:pStyle w:val="Heading1"/>
      </w:pPr>
      <w:r>
        <w:lastRenderedPageBreak/>
        <w:t>1. Executive Summary</w:t>
      </w:r>
    </w:p>
    <w:p w14:paraId="2716218D" w14:textId="77777777" w:rsidR="00B154ED" w:rsidRDefault="00000000">
      <w:pPr>
        <w:rPr>
          <w:rFonts w:hint="eastAsia"/>
        </w:rPr>
      </w:pPr>
      <w:r>
        <w:t>This project compares ten leading technology companies across their reported fiscal years 2021–2025. The dataset contains 50 company-year observations. Four indicators are analyzed: revenue growth, net profit margin, return on assets (ROA), and liabilities as a percentage of assets. Python supports data analysis and visualization, SQL supports querying, Excel provides calculations and a dashboard, and Power BI presents interactive views.</w:t>
      </w:r>
    </w:p>
    <w:p w14:paraId="1711EF86" w14:textId="77777777" w:rsidR="00B154ED" w:rsidRDefault="00000000">
      <w:pPr>
        <w:rPr>
          <w:rFonts w:hint="eastAsia"/>
        </w:rPr>
      </w:pPr>
      <w:r>
        <w:t>In this sample, NVIDIA had the highest average revenue growth (75.42%), average net profit margin (36.62%) and average ROA (31.66%). Apple also recorded a high average ROA (27.93%). Oracle had the highest average liability-to-asset ratio (96.52%). These are historical descriptive findings, not forecasts or investment recommendations.</w:t>
      </w:r>
    </w:p>
    <w:p w14:paraId="261E9E3B" w14:textId="77777777" w:rsidR="00B154ED" w:rsidRDefault="00000000">
      <w:pPr>
        <w:pStyle w:val="Heading1"/>
      </w:pPr>
      <w:r>
        <w:t>2. Research Question and Objectives</w:t>
      </w:r>
    </w:p>
    <w:p w14:paraId="7FA8F9E6" w14:textId="77777777" w:rsidR="00B154ED" w:rsidRDefault="00000000">
      <w:pPr>
        <w:rPr>
          <w:rFonts w:hint="eastAsia"/>
        </w:rPr>
      </w:pPr>
      <w:r>
        <w:t>Research question: How did the financial performance of major technology companies change from 2021–2025, and what can their growth, profitability and financial-risk ratios tell us about their performance?</w:t>
      </w:r>
    </w:p>
    <w:p w14:paraId="1087DCCD" w14:textId="77777777" w:rsidR="00B154ED" w:rsidRDefault="00000000">
      <w:pPr>
        <w:pStyle w:val="ListBullet"/>
        <w:rPr>
          <w:rFonts w:hint="eastAsia"/>
        </w:rPr>
      </w:pPr>
      <w:r>
        <w:t>Compare revenue growth across the ten companies.</w:t>
      </w:r>
    </w:p>
    <w:p w14:paraId="472E5BD8" w14:textId="77777777" w:rsidR="00B154ED" w:rsidRDefault="00000000">
      <w:pPr>
        <w:pStyle w:val="ListBullet"/>
        <w:rPr>
          <w:rFonts w:hint="eastAsia"/>
        </w:rPr>
      </w:pPr>
      <w:r>
        <w:t>Assess profitability using net profit margin.</w:t>
      </w:r>
    </w:p>
    <w:p w14:paraId="58865039" w14:textId="77777777" w:rsidR="00B154ED" w:rsidRDefault="00000000">
      <w:pPr>
        <w:pStyle w:val="ListBullet"/>
        <w:rPr>
          <w:rFonts w:hint="eastAsia"/>
        </w:rPr>
      </w:pPr>
      <w:r>
        <w:t>Compare earnings relative to year-end assets using ROA.</w:t>
      </w:r>
    </w:p>
    <w:p w14:paraId="33C083FB" w14:textId="77777777" w:rsidR="00B154ED" w:rsidRDefault="00000000">
      <w:pPr>
        <w:pStyle w:val="ListBullet"/>
        <w:rPr>
          <w:rFonts w:hint="eastAsia"/>
        </w:rPr>
      </w:pPr>
      <w:r>
        <w:t>Compare balance-sheet leverage using liabilities divided by assets.</w:t>
      </w:r>
    </w:p>
    <w:p w14:paraId="7B9415E3" w14:textId="77777777" w:rsidR="00B154ED" w:rsidRDefault="00000000">
      <w:pPr>
        <w:pStyle w:val="ListBullet"/>
        <w:rPr>
          <w:rFonts w:hint="eastAsia"/>
        </w:rPr>
      </w:pPr>
      <w:r>
        <w:t>Use descriptive statistics, trend charts, SQL queries and correlation analysis to identify patterns.</w:t>
      </w:r>
    </w:p>
    <w:p w14:paraId="7B18A045" w14:textId="77777777" w:rsidR="00B154ED" w:rsidRDefault="00000000">
      <w:pPr>
        <w:pStyle w:val="Heading1"/>
      </w:pPr>
      <w:r>
        <w:t>3. Data and Methodology</w:t>
      </w:r>
    </w:p>
    <w:p w14:paraId="7AC96C2D" w14:textId="77777777" w:rsidR="00B154ED" w:rsidRDefault="00000000">
      <w:pPr>
        <w:rPr>
          <w:rFonts w:hint="eastAsia"/>
        </w:rPr>
      </w:pPr>
      <w:r>
        <w:t>The dataset was assembled from SEC Company Facts data for Adobe, Alphabet, Amazon, Apple, Cisco, IBM, Meta, Microsoft, NVIDIA and Oracle. It contains 50 observations (10 companies × 5 fiscal years) and 11 fields: company, ticker, fiscal_year, revenue, net_income, total_assets, total_liabilities, revenue_growth_pct, net_profit_margin_pct, roa_pct and liability_to_asset_pct. Each company’s reported fiscal year is used as-is; fiscal years were not calendarized.</w:t>
      </w:r>
    </w:p>
    <w:p w14:paraId="1C47F6F5" w14:textId="77777777" w:rsidR="00B154ED" w:rsidRDefault="00000000">
      <w:pPr>
        <w:rPr>
          <w:rFonts w:hint="eastAsia"/>
        </w:rPr>
      </w:pPr>
      <w:r>
        <w:t>Ratios:</w:t>
      </w:r>
    </w:p>
    <w:tbl>
      <w:tblPr>
        <w:tblStyle w:val="LightShading-Accent1"/>
        <w:tblW w:w="0" w:type="auto"/>
        <w:jc w:val="center"/>
        <w:tblLook w:val="04A0" w:firstRow="1" w:lastRow="0" w:firstColumn="1" w:lastColumn="0" w:noHBand="0" w:noVBand="1"/>
      </w:tblPr>
      <w:tblGrid>
        <w:gridCol w:w="5112"/>
        <w:gridCol w:w="5112"/>
      </w:tblGrid>
      <w:tr w:rsidR="00B154ED" w14:paraId="0D81A884" w14:textId="77777777" w:rsidTr="00B154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shd w:val="clear" w:color="auto" w:fill="1F4E79"/>
          </w:tcPr>
          <w:p w14:paraId="0FD9CB2E" w14:textId="77777777" w:rsidR="00B154ED" w:rsidRDefault="00000000">
            <w:pPr>
              <w:rPr>
                <w:rFonts w:hint="eastAsia"/>
              </w:rPr>
            </w:pPr>
            <w:r>
              <w:rPr>
                <w:color w:val="FFFFFF"/>
                <w:sz w:val="16"/>
              </w:rPr>
              <w:t>Metric</w:t>
            </w:r>
          </w:p>
        </w:tc>
        <w:tc>
          <w:tcPr>
            <w:tcW w:w="5112" w:type="dxa"/>
            <w:shd w:val="clear" w:color="auto" w:fill="1F4E79"/>
          </w:tcPr>
          <w:p w14:paraId="315463B3"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Formula</w:t>
            </w:r>
          </w:p>
        </w:tc>
      </w:tr>
      <w:tr w:rsidR="00B154ED" w14:paraId="26304B82"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tcPr>
          <w:p w14:paraId="422A854D" w14:textId="77777777" w:rsidR="00B154ED" w:rsidRDefault="00000000">
            <w:pPr>
              <w:rPr>
                <w:rFonts w:hint="eastAsia"/>
              </w:rPr>
            </w:pPr>
            <w:r>
              <w:rPr>
                <w:sz w:val="16"/>
              </w:rPr>
              <w:t>Revenue growth (%)</w:t>
            </w:r>
          </w:p>
        </w:tc>
        <w:tc>
          <w:tcPr>
            <w:tcW w:w="5112" w:type="dxa"/>
          </w:tcPr>
          <w:p w14:paraId="7448C166"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(Current revenue − prior-year revenue) / prior-year revenue × 100</w:t>
            </w:r>
          </w:p>
        </w:tc>
      </w:tr>
      <w:tr w:rsidR="00B154ED" w14:paraId="0889C649"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5112" w:type="dxa"/>
          </w:tcPr>
          <w:p w14:paraId="25CD91F8" w14:textId="77777777" w:rsidR="00B154ED" w:rsidRDefault="00000000">
            <w:pPr>
              <w:rPr>
                <w:rFonts w:hint="eastAsia"/>
              </w:rPr>
            </w:pPr>
            <w:r>
              <w:rPr>
                <w:sz w:val="16"/>
              </w:rPr>
              <w:t>Net profit margin (%)</w:t>
            </w:r>
          </w:p>
        </w:tc>
        <w:tc>
          <w:tcPr>
            <w:tcW w:w="5112" w:type="dxa"/>
          </w:tcPr>
          <w:p w14:paraId="5A65A578"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Net income / revenue × 100</w:t>
            </w:r>
          </w:p>
        </w:tc>
      </w:tr>
      <w:tr w:rsidR="00B154ED" w14:paraId="5EC9335C"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12" w:type="dxa"/>
          </w:tcPr>
          <w:p w14:paraId="2888A242" w14:textId="77777777" w:rsidR="00B154ED" w:rsidRDefault="00000000">
            <w:pPr>
              <w:rPr>
                <w:rFonts w:hint="eastAsia"/>
              </w:rPr>
            </w:pPr>
            <w:r>
              <w:rPr>
                <w:sz w:val="16"/>
              </w:rPr>
              <w:t>ROA (%)</w:t>
            </w:r>
          </w:p>
        </w:tc>
        <w:tc>
          <w:tcPr>
            <w:tcW w:w="5112" w:type="dxa"/>
          </w:tcPr>
          <w:p w14:paraId="1CC5793F"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Net income / year-end total assets × 100</w:t>
            </w:r>
          </w:p>
        </w:tc>
      </w:tr>
      <w:tr w:rsidR="00B154ED" w14:paraId="080318C8"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5112" w:type="dxa"/>
          </w:tcPr>
          <w:p w14:paraId="67C44994" w14:textId="77777777" w:rsidR="00B154ED" w:rsidRDefault="00000000">
            <w:pPr>
              <w:rPr>
                <w:rFonts w:hint="eastAsia"/>
              </w:rPr>
            </w:pPr>
            <w:r>
              <w:rPr>
                <w:sz w:val="16"/>
              </w:rPr>
              <w:t>Liability-to-asset (%)</w:t>
            </w:r>
          </w:p>
        </w:tc>
        <w:tc>
          <w:tcPr>
            <w:tcW w:w="5112" w:type="dxa"/>
          </w:tcPr>
          <w:p w14:paraId="7047A7F3"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Total liabilities / total assets × 100</w:t>
            </w:r>
          </w:p>
        </w:tc>
      </w:tr>
    </w:tbl>
    <w:p w14:paraId="79DA5BBD" w14:textId="77777777" w:rsidR="00B154ED" w:rsidRDefault="00000000">
      <w:pPr>
        <w:rPr>
          <w:rFonts w:hint="eastAsia"/>
        </w:rPr>
      </w:pPr>
      <w:r>
        <w:t>Average revenue growth excludes FY2021 because FY2020 comparison data is not included. Ratios are represented in percentage points: for example, 24.23 means 24.23%, not 0.2423. For Amazon and Oracle, total liabilities were derived from total liabilities and stockholders’ equity minus stockholders’ equity where a consistent direct liabilities tag was unavailable for the full period.</w:t>
      </w:r>
    </w:p>
    <w:p w14:paraId="48FE4C82" w14:textId="77777777" w:rsidR="00B154ED" w:rsidRDefault="00000000">
      <w:pPr>
        <w:pStyle w:val="Heading1"/>
      </w:pPr>
      <w:r>
        <w:t>4. Average Results</w:t>
      </w:r>
    </w:p>
    <w:tbl>
      <w:tblPr>
        <w:tblStyle w:val="LightShading-Accent1"/>
        <w:tblW w:w="0" w:type="auto"/>
        <w:jc w:val="center"/>
        <w:tblLook w:val="04A0" w:firstRow="1" w:lastRow="0" w:firstColumn="1" w:lastColumn="0" w:noHBand="0" w:noVBand="1"/>
      </w:tblPr>
      <w:tblGrid>
        <w:gridCol w:w="2045"/>
        <w:gridCol w:w="2045"/>
        <w:gridCol w:w="2045"/>
        <w:gridCol w:w="2045"/>
        <w:gridCol w:w="2045"/>
      </w:tblGrid>
      <w:tr w:rsidR="00B154ED" w14:paraId="7AB1C09E" w14:textId="77777777" w:rsidTr="00B154E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shd w:val="clear" w:color="auto" w:fill="1F4E79"/>
          </w:tcPr>
          <w:p w14:paraId="5EC9F1F7" w14:textId="77777777" w:rsidR="00B154ED" w:rsidRDefault="00000000">
            <w:pPr>
              <w:rPr>
                <w:rFonts w:hint="eastAsia"/>
              </w:rPr>
            </w:pPr>
            <w:r>
              <w:rPr>
                <w:color w:val="FFFFFF"/>
                <w:sz w:val="16"/>
              </w:rPr>
              <w:t>Company</w:t>
            </w:r>
          </w:p>
        </w:tc>
        <w:tc>
          <w:tcPr>
            <w:tcW w:w="2045" w:type="dxa"/>
            <w:shd w:val="clear" w:color="auto" w:fill="1F4E79"/>
          </w:tcPr>
          <w:p w14:paraId="0454694D"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Growth</w:t>
            </w:r>
          </w:p>
        </w:tc>
        <w:tc>
          <w:tcPr>
            <w:tcW w:w="2045" w:type="dxa"/>
            <w:shd w:val="clear" w:color="auto" w:fill="1F4E79"/>
          </w:tcPr>
          <w:p w14:paraId="355856E9"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Net margin</w:t>
            </w:r>
          </w:p>
        </w:tc>
        <w:tc>
          <w:tcPr>
            <w:tcW w:w="2045" w:type="dxa"/>
            <w:shd w:val="clear" w:color="auto" w:fill="1F4E79"/>
          </w:tcPr>
          <w:p w14:paraId="190AFB5E"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ROA</w:t>
            </w:r>
          </w:p>
        </w:tc>
        <w:tc>
          <w:tcPr>
            <w:tcW w:w="2045" w:type="dxa"/>
            <w:shd w:val="clear" w:color="auto" w:fill="1F4E79"/>
          </w:tcPr>
          <w:p w14:paraId="555A0D01"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Liabilities/assets</w:t>
            </w:r>
          </w:p>
        </w:tc>
      </w:tr>
      <w:tr w:rsidR="00B154ED" w14:paraId="555664EE"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103764C3" w14:textId="77777777" w:rsidR="00B154ED" w:rsidRDefault="00000000">
            <w:pPr>
              <w:rPr>
                <w:rFonts w:hint="eastAsia"/>
              </w:rPr>
            </w:pPr>
            <w:r>
              <w:rPr>
                <w:sz w:val="16"/>
              </w:rPr>
              <w:t>NVIDIA</w:t>
            </w:r>
          </w:p>
        </w:tc>
        <w:tc>
          <w:tcPr>
            <w:tcW w:w="2045" w:type="dxa"/>
          </w:tcPr>
          <w:p w14:paraId="38214DF4"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75.42%</w:t>
            </w:r>
          </w:p>
        </w:tc>
        <w:tc>
          <w:tcPr>
            <w:tcW w:w="2045" w:type="dxa"/>
          </w:tcPr>
          <w:p w14:paraId="70B85D8F"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36.62%</w:t>
            </w:r>
          </w:p>
        </w:tc>
        <w:tc>
          <w:tcPr>
            <w:tcW w:w="2045" w:type="dxa"/>
          </w:tcPr>
          <w:p w14:paraId="6BEA2192"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31.66%</w:t>
            </w:r>
          </w:p>
        </w:tc>
        <w:tc>
          <w:tcPr>
            <w:tcW w:w="2045" w:type="dxa"/>
          </w:tcPr>
          <w:p w14:paraId="1016CA2A"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38.19%</w:t>
            </w:r>
          </w:p>
        </w:tc>
      </w:tr>
      <w:tr w:rsidR="00B154ED" w14:paraId="315D9375"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6E6AD6B9" w14:textId="77777777" w:rsidR="00B154ED" w:rsidRDefault="00000000">
            <w:pPr>
              <w:rPr>
                <w:rFonts w:hint="eastAsia"/>
              </w:rPr>
            </w:pPr>
            <w:r>
              <w:rPr>
                <w:sz w:val="16"/>
              </w:rPr>
              <w:t>Microsoft</w:t>
            </w:r>
          </w:p>
        </w:tc>
        <w:tc>
          <w:tcPr>
            <w:tcW w:w="2045" w:type="dxa"/>
          </w:tcPr>
          <w:p w14:paraId="13BC765D"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13.86%</w:t>
            </w:r>
          </w:p>
        </w:tc>
        <w:tc>
          <w:tcPr>
            <w:tcW w:w="2045" w:type="dxa"/>
          </w:tcPr>
          <w:p w14:paraId="40158AB4"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35.88%</w:t>
            </w:r>
          </w:p>
        </w:tc>
        <w:tc>
          <w:tcPr>
            <w:tcW w:w="2045" w:type="dxa"/>
          </w:tcPr>
          <w:p w14:paraId="1576E8B8"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17.90%</w:t>
            </w:r>
          </w:p>
        </w:tc>
        <w:tc>
          <w:tcPr>
            <w:tcW w:w="2045" w:type="dxa"/>
          </w:tcPr>
          <w:p w14:paraId="0DCA9FB5"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50.77%</w:t>
            </w:r>
          </w:p>
        </w:tc>
      </w:tr>
      <w:tr w:rsidR="00B154ED" w14:paraId="3CF4482F"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6DEECBE3" w14:textId="77777777" w:rsidR="00B154ED" w:rsidRDefault="00000000">
            <w:pPr>
              <w:rPr>
                <w:rFonts w:hint="eastAsia"/>
              </w:rPr>
            </w:pPr>
            <w:r>
              <w:rPr>
                <w:sz w:val="16"/>
              </w:rPr>
              <w:t>Meta</w:t>
            </w:r>
          </w:p>
        </w:tc>
        <w:tc>
          <w:tcPr>
            <w:tcW w:w="2045" w:type="dxa"/>
          </w:tcPr>
          <w:p w14:paraId="7D10C23D"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14.67%</w:t>
            </w:r>
          </w:p>
        </w:tc>
        <w:tc>
          <w:tcPr>
            <w:tcW w:w="2045" w:type="dxa"/>
          </w:tcPr>
          <w:p w14:paraId="06F8AB41"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30.05%</w:t>
            </w:r>
          </w:p>
        </w:tc>
        <w:tc>
          <w:tcPr>
            <w:tcW w:w="2045" w:type="dxa"/>
          </w:tcPr>
          <w:p w14:paraId="0CCE914B"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18.47%</w:t>
            </w:r>
          </w:p>
        </w:tc>
        <w:tc>
          <w:tcPr>
            <w:tcW w:w="2045" w:type="dxa"/>
          </w:tcPr>
          <w:p w14:paraId="6BA891F5"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32.97%</w:t>
            </w:r>
          </w:p>
        </w:tc>
      </w:tr>
      <w:tr w:rsidR="00B154ED" w14:paraId="332B66FF"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0282075F" w14:textId="77777777" w:rsidR="00B154ED" w:rsidRDefault="00000000">
            <w:pPr>
              <w:rPr>
                <w:rFonts w:hint="eastAsia"/>
              </w:rPr>
            </w:pPr>
            <w:r>
              <w:rPr>
                <w:sz w:val="16"/>
              </w:rPr>
              <w:t>Alphabet</w:t>
            </w:r>
          </w:p>
        </w:tc>
        <w:tc>
          <w:tcPr>
            <w:tcW w:w="2045" w:type="dxa"/>
          </w:tcPr>
          <w:p w14:paraId="51618840"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11.85%</w:t>
            </w:r>
          </w:p>
        </w:tc>
        <w:tc>
          <w:tcPr>
            <w:tcW w:w="2045" w:type="dxa"/>
          </w:tcPr>
          <w:p w14:paraId="25B4D6B2"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27.23%</w:t>
            </w:r>
          </w:p>
        </w:tc>
        <w:tc>
          <w:tcPr>
            <w:tcW w:w="2045" w:type="dxa"/>
          </w:tcPr>
          <w:p w14:paraId="259D342C"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20.07%</w:t>
            </w:r>
          </w:p>
        </w:tc>
        <w:tc>
          <w:tcPr>
            <w:tcW w:w="2045" w:type="dxa"/>
          </w:tcPr>
          <w:p w14:paraId="1AE736BB"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29.49%</w:t>
            </w:r>
          </w:p>
        </w:tc>
      </w:tr>
      <w:tr w:rsidR="00B154ED" w14:paraId="787D01A0"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231B0DEB" w14:textId="77777777" w:rsidR="00B154ED" w:rsidRDefault="00000000">
            <w:pPr>
              <w:rPr>
                <w:rFonts w:hint="eastAsia"/>
              </w:rPr>
            </w:pPr>
            <w:r>
              <w:rPr>
                <w:sz w:val="16"/>
              </w:rPr>
              <w:t>Apple</w:t>
            </w:r>
          </w:p>
        </w:tc>
        <w:tc>
          <w:tcPr>
            <w:tcW w:w="2045" w:type="dxa"/>
          </w:tcPr>
          <w:p w14:paraId="5FF1BC92"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3.36%</w:t>
            </w:r>
          </w:p>
        </w:tc>
        <w:tc>
          <w:tcPr>
            <w:tcW w:w="2045" w:type="dxa"/>
          </w:tcPr>
          <w:p w14:paraId="57DC22D3"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25.48%</w:t>
            </w:r>
          </w:p>
        </w:tc>
        <w:tc>
          <w:tcPr>
            <w:tcW w:w="2045" w:type="dxa"/>
          </w:tcPr>
          <w:p w14:paraId="3330E72C"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27.93%</w:t>
            </w:r>
          </w:p>
        </w:tc>
        <w:tc>
          <w:tcPr>
            <w:tcW w:w="2045" w:type="dxa"/>
          </w:tcPr>
          <w:p w14:paraId="762159C0"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82.78%</w:t>
            </w:r>
          </w:p>
        </w:tc>
      </w:tr>
      <w:tr w:rsidR="00B154ED" w14:paraId="57A2A058"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6EB44019" w14:textId="77777777" w:rsidR="00B154ED" w:rsidRDefault="00000000">
            <w:pPr>
              <w:rPr>
                <w:rFonts w:hint="eastAsia"/>
              </w:rPr>
            </w:pPr>
            <w:r>
              <w:rPr>
                <w:sz w:val="16"/>
              </w:rPr>
              <w:t>Adobe</w:t>
            </w:r>
          </w:p>
        </w:tc>
        <w:tc>
          <w:tcPr>
            <w:tcW w:w="2045" w:type="dxa"/>
          </w:tcPr>
          <w:p w14:paraId="140BEB5B"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10.78%</w:t>
            </w:r>
          </w:p>
        </w:tc>
        <w:tc>
          <w:tcPr>
            <w:tcW w:w="2045" w:type="dxa"/>
          </w:tcPr>
          <w:p w14:paraId="2850C7AB"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28.28%</w:t>
            </w:r>
          </w:p>
        </w:tc>
        <w:tc>
          <w:tcPr>
            <w:tcW w:w="2045" w:type="dxa"/>
          </w:tcPr>
          <w:p w14:paraId="3E08BB25"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19.20%</w:t>
            </w:r>
          </w:p>
        </w:tc>
        <w:tc>
          <w:tcPr>
            <w:tcW w:w="2045" w:type="dxa"/>
          </w:tcPr>
          <w:p w14:paraId="700053FA"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50.48%</w:t>
            </w:r>
          </w:p>
        </w:tc>
      </w:tr>
      <w:tr w:rsidR="00B154ED" w14:paraId="3487216F"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14EE39FF" w14:textId="77777777" w:rsidR="00B154ED" w:rsidRDefault="00000000">
            <w:pPr>
              <w:rPr>
                <w:rFonts w:hint="eastAsia"/>
              </w:rPr>
            </w:pPr>
            <w:r>
              <w:rPr>
                <w:sz w:val="16"/>
              </w:rPr>
              <w:t>Amazon</w:t>
            </w:r>
          </w:p>
        </w:tc>
        <w:tc>
          <w:tcPr>
            <w:tcW w:w="2045" w:type="dxa"/>
          </w:tcPr>
          <w:p w14:paraId="12339FF1"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11.15%</w:t>
            </w:r>
          </w:p>
        </w:tc>
        <w:tc>
          <w:tcPr>
            <w:tcW w:w="2045" w:type="dxa"/>
          </w:tcPr>
          <w:p w14:paraId="618B8BC8"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6.40%</w:t>
            </w:r>
          </w:p>
        </w:tc>
        <w:tc>
          <w:tcPr>
            <w:tcW w:w="2045" w:type="dxa"/>
          </w:tcPr>
          <w:p w14:paraId="417E7071"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6.42%</w:t>
            </w:r>
          </w:p>
        </w:tc>
        <w:tc>
          <w:tcPr>
            <w:tcW w:w="2045" w:type="dxa"/>
          </w:tcPr>
          <w:p w14:paraId="2AAC7166"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60.26%</w:t>
            </w:r>
          </w:p>
        </w:tc>
      </w:tr>
      <w:tr w:rsidR="00B154ED" w14:paraId="258B51B1"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3F1A6ED3" w14:textId="77777777" w:rsidR="00B154ED" w:rsidRDefault="00000000">
            <w:pPr>
              <w:rPr>
                <w:rFonts w:hint="eastAsia"/>
              </w:rPr>
            </w:pPr>
            <w:r>
              <w:rPr>
                <w:sz w:val="16"/>
              </w:rPr>
              <w:t>Cisco</w:t>
            </w:r>
          </w:p>
        </w:tc>
        <w:tc>
          <w:tcPr>
            <w:tcW w:w="2045" w:type="dxa"/>
          </w:tcPr>
          <w:p w14:paraId="741A63C6"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3.43%</w:t>
            </w:r>
          </w:p>
        </w:tc>
        <w:tc>
          <w:tcPr>
            <w:tcW w:w="2045" w:type="dxa"/>
          </w:tcPr>
          <w:p w14:paraId="33729BF1"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20.69%</w:t>
            </w:r>
          </w:p>
        </w:tc>
        <w:tc>
          <w:tcPr>
            <w:tcW w:w="2045" w:type="dxa"/>
          </w:tcPr>
          <w:p w14:paraId="4ED52D83"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10.49%</w:t>
            </w:r>
          </w:p>
        </w:tc>
        <w:tc>
          <w:tcPr>
            <w:tcW w:w="2045" w:type="dxa"/>
          </w:tcPr>
          <w:p w14:paraId="633FE6EF"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59.39%</w:t>
            </w:r>
          </w:p>
        </w:tc>
      </w:tr>
      <w:tr w:rsidR="00B154ED" w14:paraId="7526B4A3" w14:textId="77777777" w:rsidTr="00B154E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45" w:type="dxa"/>
          </w:tcPr>
          <w:p w14:paraId="6CC9B83B" w14:textId="77777777" w:rsidR="00B154ED" w:rsidRDefault="00000000">
            <w:pPr>
              <w:rPr>
                <w:rFonts w:hint="eastAsia"/>
              </w:rPr>
            </w:pPr>
            <w:r>
              <w:rPr>
                <w:sz w:val="16"/>
              </w:rPr>
              <w:t>IBM</w:t>
            </w:r>
          </w:p>
        </w:tc>
        <w:tc>
          <w:tcPr>
            <w:tcW w:w="2045" w:type="dxa"/>
          </w:tcPr>
          <w:p w14:paraId="11ADB3D6"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4.20%</w:t>
            </w:r>
          </w:p>
        </w:tc>
        <w:tc>
          <w:tcPr>
            <w:tcW w:w="2045" w:type="dxa"/>
          </w:tcPr>
          <w:p w14:paraId="4FD8CAB8"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10.03%</w:t>
            </w:r>
          </w:p>
        </w:tc>
        <w:tc>
          <w:tcPr>
            <w:tcW w:w="2045" w:type="dxa"/>
          </w:tcPr>
          <w:p w14:paraId="4AE5D49A"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4.51%</w:t>
            </w:r>
          </w:p>
        </w:tc>
        <w:tc>
          <w:tcPr>
            <w:tcW w:w="2045" w:type="dxa"/>
          </w:tcPr>
          <w:p w14:paraId="6E19F707"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82.01%</w:t>
            </w:r>
          </w:p>
        </w:tc>
      </w:tr>
      <w:tr w:rsidR="00B154ED" w14:paraId="061829E2" w14:textId="77777777" w:rsidTr="00B154ED">
        <w:trPr>
          <w:jc w:val="center"/>
        </w:trPr>
        <w:tc>
          <w:tcPr>
            <w:cnfStyle w:val="001000000000" w:firstRow="0" w:lastRow="0" w:firstColumn="1" w:lastColumn="0" w:oddVBand="0" w:evenVBand="0" w:oddHBand="0" w:evenHBand="0" w:firstRowFirstColumn="0" w:firstRowLastColumn="0" w:lastRowFirstColumn="0" w:lastRowLastColumn="0"/>
            <w:tcW w:w="2045" w:type="dxa"/>
          </w:tcPr>
          <w:p w14:paraId="68ECBD09" w14:textId="77777777" w:rsidR="00B154ED" w:rsidRDefault="00000000">
            <w:pPr>
              <w:rPr>
                <w:rFonts w:hint="eastAsia"/>
              </w:rPr>
            </w:pPr>
            <w:r>
              <w:rPr>
                <w:sz w:val="16"/>
              </w:rPr>
              <w:t>Oracle</w:t>
            </w:r>
          </w:p>
        </w:tc>
        <w:tc>
          <w:tcPr>
            <w:tcW w:w="2045" w:type="dxa"/>
          </w:tcPr>
          <w:p w14:paraId="5D1CEACB"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9.24%</w:t>
            </w:r>
          </w:p>
        </w:tc>
        <w:tc>
          <w:tcPr>
            <w:tcW w:w="2045" w:type="dxa"/>
          </w:tcPr>
          <w:p w14:paraId="3968567F"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21.65%</w:t>
            </w:r>
          </w:p>
        </w:tc>
        <w:tc>
          <w:tcPr>
            <w:tcW w:w="2045" w:type="dxa"/>
          </w:tcPr>
          <w:p w14:paraId="72CB1D6D"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7.55%</w:t>
            </w:r>
          </w:p>
        </w:tc>
        <w:tc>
          <w:tcPr>
            <w:tcW w:w="2045" w:type="dxa"/>
          </w:tcPr>
          <w:p w14:paraId="7534CFE3"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96.52%</w:t>
            </w:r>
          </w:p>
        </w:tc>
      </w:tr>
    </w:tbl>
    <w:p w14:paraId="680B84A9" w14:textId="77777777" w:rsidR="00B154ED" w:rsidRDefault="00000000">
      <w:pPr>
        <w:pStyle w:val="Heading1"/>
      </w:pPr>
      <w:r>
        <w:lastRenderedPageBreak/>
        <w:t>5. Interpretation of Findings</w:t>
      </w:r>
    </w:p>
    <w:p w14:paraId="1CED4520" w14:textId="77777777" w:rsidR="00B154ED" w:rsidRDefault="00000000">
      <w:pPr>
        <w:pStyle w:val="Heading2"/>
      </w:pPr>
      <w:r>
        <w:t>Growth</w:t>
      </w:r>
    </w:p>
    <w:p w14:paraId="5581AE85" w14:textId="77777777" w:rsidR="00B154ED" w:rsidRDefault="00000000">
      <w:pPr>
        <w:rPr>
          <w:rFonts w:hint="eastAsia"/>
        </w:rPr>
      </w:pPr>
      <w:r>
        <w:t>NVIDIA’s average revenue growth was much higher than that of the other companies, influenced by particularly strong growth in individual years. Its five-year average should not be assumed to represent a sustainable future growth rate. Meta and Microsoft also showed comparatively high average growth, while Apple and Cisco had lower averages in this period.</w:t>
      </w:r>
    </w:p>
    <w:p w14:paraId="6B11129C" w14:textId="77777777" w:rsidR="00B154ED" w:rsidRDefault="00000000">
      <w:pPr>
        <w:pStyle w:val="Heading2"/>
      </w:pPr>
      <w:r>
        <w:t>Profitability and asset returns</w:t>
      </w:r>
    </w:p>
    <w:p w14:paraId="0903D2E7" w14:textId="77777777" w:rsidR="00B154ED" w:rsidRDefault="00000000">
      <w:pPr>
        <w:rPr>
          <w:rFonts w:hint="eastAsia"/>
        </w:rPr>
      </w:pPr>
      <w:r>
        <w:t>NVIDIA had the highest average net profit margin and ROA in the sample. Microsoft also showed a high average margin, while Apple’s average ROA was 27.93%. Net profit margin measures net income per unit of revenue; ROA compares net income with year-end assets. ROA may differ from calculations that use average assets.</w:t>
      </w:r>
    </w:p>
    <w:p w14:paraId="72BE8E81" w14:textId="77777777" w:rsidR="00B154ED" w:rsidRDefault="00000000">
      <w:pPr>
        <w:pStyle w:val="Heading2"/>
      </w:pPr>
      <w:r>
        <w:t>Financial risk</w:t>
      </w:r>
    </w:p>
    <w:p w14:paraId="136DD99C" w14:textId="77777777" w:rsidR="00B154ED" w:rsidRDefault="00000000">
      <w:pPr>
        <w:rPr>
          <w:rFonts w:hint="eastAsia"/>
        </w:rPr>
      </w:pPr>
      <w:r>
        <w:t>Oracle’s average liability-to-asset ratio was highest at 96.52%, followed by Apple at 82.78% and IBM at 82.01%. A high ratio can indicate greater reliance on liabilities, but does not by itself prove financial distress; cash flow, debt terms, leases and business model also matter. Oracle’s annual maximum was above 100%, which merits cautious interpretation under the definitions used.</w:t>
      </w:r>
    </w:p>
    <w:p w14:paraId="7841FB21" w14:textId="77777777" w:rsidR="00B154ED" w:rsidRDefault="00000000">
      <w:pPr>
        <w:pStyle w:val="Heading2"/>
      </w:pPr>
      <w:r>
        <w:t>Correlation</w:t>
      </w:r>
    </w:p>
    <w:tbl>
      <w:tblPr>
        <w:tblStyle w:val="LightShading-Accent1"/>
        <w:tblW w:w="0" w:type="auto"/>
        <w:tblLook w:val="04A0" w:firstRow="1" w:lastRow="0" w:firstColumn="1" w:lastColumn="0" w:noHBand="0" w:noVBand="1"/>
      </w:tblPr>
      <w:tblGrid>
        <w:gridCol w:w="5112"/>
        <w:gridCol w:w="5112"/>
      </w:tblGrid>
      <w:tr w:rsidR="00B154ED" w14:paraId="377F69C0" w14:textId="77777777" w:rsidTr="00B154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shd w:val="clear" w:color="auto" w:fill="1F4E79"/>
          </w:tcPr>
          <w:p w14:paraId="164C0971" w14:textId="77777777" w:rsidR="00B154ED" w:rsidRDefault="00000000">
            <w:pPr>
              <w:rPr>
                <w:rFonts w:hint="eastAsia"/>
              </w:rPr>
            </w:pPr>
            <w:r>
              <w:rPr>
                <w:color w:val="FFFFFF"/>
                <w:sz w:val="16"/>
              </w:rPr>
              <w:t>Pair of ratios</w:t>
            </w:r>
          </w:p>
        </w:tc>
        <w:tc>
          <w:tcPr>
            <w:tcW w:w="5112" w:type="dxa"/>
            <w:shd w:val="clear" w:color="auto" w:fill="1F4E79"/>
          </w:tcPr>
          <w:p w14:paraId="7E12EF9E" w14:textId="77777777" w:rsidR="00B154ED" w:rsidRDefault="00000000">
            <w:pPr>
              <w:cnfStyle w:val="100000000000" w:firstRow="1" w:lastRow="0" w:firstColumn="0" w:lastColumn="0" w:oddVBand="0" w:evenVBand="0" w:oddHBand="0" w:evenHBand="0" w:firstRowFirstColumn="0" w:firstRowLastColumn="0" w:lastRowFirstColumn="0" w:lastRowLastColumn="0"/>
              <w:rPr>
                <w:rFonts w:hint="eastAsia"/>
              </w:rPr>
            </w:pPr>
            <w:r>
              <w:rPr>
                <w:color w:val="FFFFFF"/>
                <w:sz w:val="16"/>
              </w:rPr>
              <w:t>Correlation</w:t>
            </w:r>
          </w:p>
        </w:tc>
      </w:tr>
      <w:tr w:rsidR="00B154ED" w14:paraId="2DB2548C" w14:textId="77777777" w:rsidTr="00B15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2E08AD36" w14:textId="77777777" w:rsidR="00B154ED" w:rsidRDefault="00000000">
            <w:pPr>
              <w:rPr>
                <w:rFonts w:hint="eastAsia"/>
              </w:rPr>
            </w:pPr>
            <w:r>
              <w:rPr>
                <w:b w:val="0"/>
                <w:sz w:val="16"/>
              </w:rPr>
              <w:t>Revenue growth and net profit margin</w:t>
            </w:r>
          </w:p>
        </w:tc>
        <w:tc>
          <w:tcPr>
            <w:tcW w:w="5112" w:type="dxa"/>
          </w:tcPr>
          <w:p w14:paraId="1DE9CEE1"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0.66</w:t>
            </w:r>
          </w:p>
        </w:tc>
      </w:tr>
      <w:tr w:rsidR="00B154ED" w14:paraId="24D94DFD" w14:textId="77777777" w:rsidTr="00B154ED">
        <w:tc>
          <w:tcPr>
            <w:cnfStyle w:val="001000000000" w:firstRow="0" w:lastRow="0" w:firstColumn="1" w:lastColumn="0" w:oddVBand="0" w:evenVBand="0" w:oddHBand="0" w:evenHBand="0" w:firstRowFirstColumn="0" w:firstRowLastColumn="0" w:lastRowFirstColumn="0" w:lastRowLastColumn="0"/>
            <w:tcW w:w="5112" w:type="dxa"/>
          </w:tcPr>
          <w:p w14:paraId="2D624B4A" w14:textId="77777777" w:rsidR="00B154ED" w:rsidRDefault="00000000">
            <w:pPr>
              <w:rPr>
                <w:rFonts w:hint="eastAsia"/>
              </w:rPr>
            </w:pPr>
            <w:r>
              <w:rPr>
                <w:b w:val="0"/>
                <w:sz w:val="16"/>
              </w:rPr>
              <w:t>Revenue growth and ROA</w:t>
            </w:r>
          </w:p>
        </w:tc>
        <w:tc>
          <w:tcPr>
            <w:tcW w:w="5112" w:type="dxa"/>
          </w:tcPr>
          <w:p w14:paraId="2EEF13DA"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0.73</w:t>
            </w:r>
          </w:p>
        </w:tc>
      </w:tr>
      <w:tr w:rsidR="00B154ED" w14:paraId="37B4BE78" w14:textId="77777777" w:rsidTr="00B15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3F91BACD" w14:textId="77777777" w:rsidR="00B154ED" w:rsidRDefault="00000000">
            <w:pPr>
              <w:rPr>
                <w:rFonts w:hint="eastAsia"/>
              </w:rPr>
            </w:pPr>
            <w:r>
              <w:rPr>
                <w:b w:val="0"/>
                <w:sz w:val="16"/>
              </w:rPr>
              <w:t>Revenue growth and liability-to-asset</w:t>
            </w:r>
          </w:p>
        </w:tc>
        <w:tc>
          <w:tcPr>
            <w:tcW w:w="5112" w:type="dxa"/>
          </w:tcPr>
          <w:p w14:paraId="54B826C9"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−0.39</w:t>
            </w:r>
          </w:p>
        </w:tc>
      </w:tr>
      <w:tr w:rsidR="00B154ED" w14:paraId="6E01E72F" w14:textId="77777777" w:rsidTr="00B154ED">
        <w:tc>
          <w:tcPr>
            <w:cnfStyle w:val="001000000000" w:firstRow="0" w:lastRow="0" w:firstColumn="1" w:lastColumn="0" w:oddVBand="0" w:evenVBand="0" w:oddHBand="0" w:evenHBand="0" w:firstRowFirstColumn="0" w:firstRowLastColumn="0" w:lastRowFirstColumn="0" w:lastRowLastColumn="0"/>
            <w:tcW w:w="5112" w:type="dxa"/>
          </w:tcPr>
          <w:p w14:paraId="2BFBC614" w14:textId="77777777" w:rsidR="00B154ED" w:rsidRDefault="00000000">
            <w:pPr>
              <w:rPr>
                <w:rFonts w:hint="eastAsia"/>
              </w:rPr>
            </w:pPr>
            <w:r>
              <w:rPr>
                <w:b w:val="0"/>
                <w:sz w:val="16"/>
              </w:rPr>
              <w:t>Net profit margin and ROA</w:t>
            </w:r>
          </w:p>
        </w:tc>
        <w:tc>
          <w:tcPr>
            <w:tcW w:w="5112" w:type="dxa"/>
          </w:tcPr>
          <w:p w14:paraId="74EAC7DA"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0.81</w:t>
            </w:r>
          </w:p>
        </w:tc>
      </w:tr>
      <w:tr w:rsidR="00B154ED" w14:paraId="4548024D" w14:textId="77777777" w:rsidTr="00B154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12" w:type="dxa"/>
          </w:tcPr>
          <w:p w14:paraId="5A0EF2FA" w14:textId="77777777" w:rsidR="00B154ED" w:rsidRDefault="00000000">
            <w:pPr>
              <w:rPr>
                <w:rFonts w:hint="eastAsia"/>
              </w:rPr>
            </w:pPr>
            <w:r>
              <w:rPr>
                <w:b w:val="0"/>
                <w:sz w:val="16"/>
              </w:rPr>
              <w:t>Net profit margin and liability-to-asset</w:t>
            </w:r>
          </w:p>
        </w:tc>
        <w:tc>
          <w:tcPr>
            <w:tcW w:w="5112" w:type="dxa"/>
          </w:tcPr>
          <w:p w14:paraId="0A8C593C" w14:textId="77777777" w:rsidR="00B154ED" w:rsidRDefault="00000000">
            <w:pPr>
              <w:cnfStyle w:val="000000100000" w:firstRow="0" w:lastRow="0" w:firstColumn="0" w:lastColumn="0" w:oddVBand="0" w:evenVBand="0" w:oddHBand="1" w:evenHBand="0" w:firstRowFirstColumn="0" w:firstRowLastColumn="0" w:lastRowFirstColumn="0" w:lastRowLastColumn="0"/>
              <w:rPr>
                <w:rFonts w:hint="eastAsia"/>
              </w:rPr>
            </w:pPr>
            <w:r>
              <w:rPr>
                <w:sz w:val="16"/>
              </w:rPr>
              <w:t>−0.48</w:t>
            </w:r>
          </w:p>
        </w:tc>
      </w:tr>
      <w:tr w:rsidR="00B154ED" w14:paraId="3A617039" w14:textId="77777777" w:rsidTr="00B154ED">
        <w:tc>
          <w:tcPr>
            <w:cnfStyle w:val="001000000000" w:firstRow="0" w:lastRow="0" w:firstColumn="1" w:lastColumn="0" w:oddVBand="0" w:evenVBand="0" w:oddHBand="0" w:evenHBand="0" w:firstRowFirstColumn="0" w:firstRowLastColumn="0" w:lastRowFirstColumn="0" w:lastRowLastColumn="0"/>
            <w:tcW w:w="5112" w:type="dxa"/>
          </w:tcPr>
          <w:p w14:paraId="768D23F4" w14:textId="77777777" w:rsidR="00B154ED" w:rsidRDefault="00000000">
            <w:pPr>
              <w:rPr>
                <w:rFonts w:hint="eastAsia"/>
              </w:rPr>
            </w:pPr>
            <w:r>
              <w:rPr>
                <w:b w:val="0"/>
                <w:sz w:val="16"/>
              </w:rPr>
              <w:t>ROA and liability-to-asset</w:t>
            </w:r>
          </w:p>
        </w:tc>
        <w:tc>
          <w:tcPr>
            <w:tcW w:w="5112" w:type="dxa"/>
          </w:tcPr>
          <w:p w14:paraId="1FA93BA2" w14:textId="77777777" w:rsidR="00B154ED" w:rsidRDefault="00000000">
            <w:pPr>
              <w:cnfStyle w:val="000000000000" w:firstRow="0" w:lastRow="0" w:firstColumn="0" w:lastColumn="0" w:oddVBand="0" w:evenVBand="0" w:oddHBand="0" w:evenHBand="0" w:firstRowFirstColumn="0" w:firstRowLastColumn="0" w:lastRowFirstColumn="0" w:lastRowLastColumn="0"/>
              <w:rPr>
                <w:rFonts w:hint="eastAsia"/>
              </w:rPr>
            </w:pPr>
            <w:r>
              <w:rPr>
                <w:sz w:val="16"/>
              </w:rPr>
              <w:t>−0.41</w:t>
            </w:r>
          </w:p>
        </w:tc>
      </w:tr>
    </w:tbl>
    <w:p w14:paraId="471B014A" w14:textId="77777777" w:rsidR="00B154ED" w:rsidRDefault="00000000">
      <w:pPr>
        <w:rPr>
          <w:rFonts w:hint="eastAsia"/>
        </w:rPr>
      </w:pPr>
      <w:r>
        <w:t>Growth had positive correlations with net profit margin (0.66) and ROA (0.73), and net profit margin and ROA had a positive correlation (0.81). The liability-to-asset ratio was negatively correlated with the other three indicators in this dataset. Correlation indicates association, not causation; pooled observations may also reflect differences between firms.</w:t>
      </w:r>
    </w:p>
    <w:p w14:paraId="720D51C4" w14:textId="29825960" w:rsidR="00B154ED" w:rsidRDefault="00000000">
      <w:pPr>
        <w:pStyle w:val="Heading1"/>
      </w:pPr>
      <w:r>
        <w:t>6. Visualizations and Power BI Dashboard</w:t>
      </w:r>
    </w:p>
    <w:p w14:paraId="6CCF2125" w14:textId="77777777" w:rsidR="005B4C71" w:rsidRPr="005B4C71" w:rsidRDefault="005B4C71" w:rsidP="005B4C71">
      <w:pPr>
        <w:spacing w:before="60"/>
        <w:rPr>
          <w:lang w:val="en-IN"/>
        </w:rPr>
      </w:pPr>
      <w:r w:rsidRPr="005B4C71">
        <w:rPr>
          <w:lang w:val="en-IN"/>
        </w:rPr>
        <w:t>The Python analysis includes six charts illustrating revenue growth, profitability, return on assets, financial leverage, revenue trends, and correlations among financial metrics. The Power BI dashboard presents these findings across three pages: Financial Overview, Growth &amp; Profitability, and Financial Risk.</w:t>
      </w:r>
    </w:p>
    <w:p w14:paraId="11897E3A" w14:textId="0807A298" w:rsidR="00B154ED" w:rsidRDefault="00000000">
      <w:pPr>
        <w:spacing w:before="60"/>
        <w:rPr>
          <w:b/>
        </w:rPr>
      </w:pPr>
      <w:r>
        <w:rPr>
          <w:b/>
        </w:rPr>
        <w:lastRenderedPageBreak/>
        <w:t>Figure 1. Average revenue growth by company</w:t>
      </w:r>
      <w:r w:rsidR="005B4C71">
        <w:rPr>
          <w:noProof/>
        </w:rPr>
        <w:drawing>
          <wp:inline distT="0" distB="0" distL="0" distR="0" wp14:anchorId="01334D26" wp14:editId="0E686CA1">
            <wp:extent cx="6492240" cy="3858895"/>
            <wp:effectExtent l="0" t="0" r="3810" b="8255"/>
            <wp:docPr id="3210829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858895"/>
                    </a:xfrm>
                    <a:prstGeom prst="rect">
                      <a:avLst/>
                    </a:prstGeom>
                    <a:noFill/>
                    <a:ln>
                      <a:noFill/>
                    </a:ln>
                  </pic:spPr>
                </pic:pic>
              </a:graphicData>
            </a:graphic>
          </wp:inline>
        </w:drawing>
      </w:r>
    </w:p>
    <w:p w14:paraId="56BD8199" w14:textId="77777777" w:rsidR="005B4C71" w:rsidRDefault="005B4C71">
      <w:pPr>
        <w:spacing w:before="60"/>
      </w:pPr>
    </w:p>
    <w:p w14:paraId="06A14F50" w14:textId="77777777" w:rsidR="005B4C71" w:rsidRDefault="005B4C71">
      <w:pPr>
        <w:spacing w:before="60"/>
        <w:rPr>
          <w:rFonts w:hint="eastAsia"/>
        </w:rPr>
      </w:pPr>
    </w:p>
    <w:p w14:paraId="69039FA8" w14:textId="4297EDD4" w:rsidR="00B154ED" w:rsidRDefault="00000000">
      <w:pPr>
        <w:spacing w:before="60"/>
        <w:rPr>
          <w:rFonts w:hint="eastAsia"/>
        </w:rPr>
      </w:pPr>
      <w:r>
        <w:rPr>
          <w:b/>
        </w:rPr>
        <w:t>Figure 2. Average net profit margin by company</w:t>
      </w:r>
      <w:r w:rsidR="005B4C71">
        <w:rPr>
          <w:noProof/>
        </w:rPr>
        <w:drawing>
          <wp:inline distT="0" distB="0" distL="0" distR="0" wp14:anchorId="22EA2A65" wp14:editId="5FB6D8FF">
            <wp:extent cx="6492240" cy="3858895"/>
            <wp:effectExtent l="0" t="0" r="3810" b="8255"/>
            <wp:docPr id="18681339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858895"/>
                    </a:xfrm>
                    <a:prstGeom prst="rect">
                      <a:avLst/>
                    </a:prstGeom>
                    <a:noFill/>
                    <a:ln>
                      <a:noFill/>
                    </a:ln>
                  </pic:spPr>
                </pic:pic>
              </a:graphicData>
            </a:graphic>
          </wp:inline>
        </w:drawing>
      </w:r>
    </w:p>
    <w:p w14:paraId="61C377A7" w14:textId="01C0DC4C" w:rsidR="00B154ED" w:rsidRDefault="00000000">
      <w:pPr>
        <w:spacing w:before="60"/>
        <w:rPr>
          <w:b/>
        </w:rPr>
      </w:pPr>
      <w:r>
        <w:rPr>
          <w:b/>
        </w:rPr>
        <w:lastRenderedPageBreak/>
        <w:t>Figure 3. Average return on assets by company</w:t>
      </w:r>
      <w:r w:rsidR="005B4C71">
        <w:rPr>
          <w:noProof/>
        </w:rPr>
        <w:drawing>
          <wp:inline distT="0" distB="0" distL="0" distR="0" wp14:anchorId="2F92AC4A" wp14:editId="1400F0D7">
            <wp:extent cx="6492240" cy="3858895"/>
            <wp:effectExtent l="0" t="0" r="3810" b="8255"/>
            <wp:docPr id="86544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858895"/>
                    </a:xfrm>
                    <a:prstGeom prst="rect">
                      <a:avLst/>
                    </a:prstGeom>
                    <a:noFill/>
                    <a:ln>
                      <a:noFill/>
                    </a:ln>
                  </pic:spPr>
                </pic:pic>
              </a:graphicData>
            </a:graphic>
          </wp:inline>
        </w:drawing>
      </w:r>
    </w:p>
    <w:p w14:paraId="0369B8CF" w14:textId="77777777" w:rsidR="005B4C71" w:rsidRDefault="005B4C71">
      <w:pPr>
        <w:spacing w:before="60"/>
        <w:rPr>
          <w:b/>
        </w:rPr>
      </w:pPr>
    </w:p>
    <w:p w14:paraId="7AC787CB" w14:textId="77777777" w:rsidR="005B4C71" w:rsidRDefault="005B4C71">
      <w:pPr>
        <w:spacing w:before="60"/>
        <w:rPr>
          <w:rFonts w:hint="eastAsia"/>
        </w:rPr>
      </w:pPr>
    </w:p>
    <w:p w14:paraId="71E636DA" w14:textId="7B2D8B4D" w:rsidR="00B154ED" w:rsidRDefault="00000000">
      <w:pPr>
        <w:spacing w:before="60"/>
        <w:rPr>
          <w:rFonts w:hint="eastAsia"/>
        </w:rPr>
      </w:pPr>
      <w:r>
        <w:rPr>
          <w:b/>
        </w:rPr>
        <w:t>Figure 4. Average liability-to-asset ratio</w:t>
      </w:r>
      <w:r w:rsidR="005B4C71">
        <w:rPr>
          <w:noProof/>
        </w:rPr>
        <w:drawing>
          <wp:inline distT="0" distB="0" distL="0" distR="0" wp14:anchorId="335759A4" wp14:editId="76386592">
            <wp:extent cx="6492240" cy="3864610"/>
            <wp:effectExtent l="0" t="0" r="3810" b="2540"/>
            <wp:docPr id="514852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92240" cy="3864610"/>
                    </a:xfrm>
                    <a:prstGeom prst="rect">
                      <a:avLst/>
                    </a:prstGeom>
                    <a:noFill/>
                    <a:ln>
                      <a:noFill/>
                    </a:ln>
                  </pic:spPr>
                </pic:pic>
              </a:graphicData>
            </a:graphic>
          </wp:inline>
        </w:drawing>
      </w:r>
    </w:p>
    <w:p w14:paraId="6E8B8D0B" w14:textId="203B7537" w:rsidR="00B154ED" w:rsidRDefault="00000000">
      <w:pPr>
        <w:spacing w:before="60"/>
        <w:rPr>
          <w:rFonts w:hint="eastAsia"/>
        </w:rPr>
      </w:pPr>
      <w:r>
        <w:rPr>
          <w:b/>
        </w:rPr>
        <w:lastRenderedPageBreak/>
        <w:t>Figure 5. Revenue trends of technology companies</w:t>
      </w:r>
      <w:r w:rsidR="005B4C71">
        <w:rPr>
          <w:noProof/>
        </w:rPr>
        <w:drawing>
          <wp:inline distT="0" distB="0" distL="0" distR="0" wp14:anchorId="74389684" wp14:editId="6476BB84">
            <wp:extent cx="6492240" cy="3755390"/>
            <wp:effectExtent l="0" t="0" r="3810" b="0"/>
            <wp:docPr id="221354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755390"/>
                    </a:xfrm>
                    <a:prstGeom prst="rect">
                      <a:avLst/>
                    </a:prstGeom>
                    <a:noFill/>
                    <a:ln>
                      <a:noFill/>
                    </a:ln>
                  </pic:spPr>
                </pic:pic>
              </a:graphicData>
            </a:graphic>
          </wp:inline>
        </w:drawing>
      </w:r>
    </w:p>
    <w:p w14:paraId="220315DC" w14:textId="66EAD66F" w:rsidR="00B154ED" w:rsidRDefault="00000000">
      <w:pPr>
        <w:spacing w:before="60"/>
        <w:rPr>
          <w:rFonts w:hint="eastAsia"/>
        </w:rPr>
      </w:pPr>
      <w:r>
        <w:rPr>
          <w:b/>
        </w:rPr>
        <w:lastRenderedPageBreak/>
        <w:t>Figure 6. Correlation between financial performance ratios</w:t>
      </w:r>
      <w:r w:rsidR="005B4C71">
        <w:rPr>
          <w:noProof/>
        </w:rPr>
        <w:drawing>
          <wp:inline distT="0" distB="0" distL="0" distR="0" wp14:anchorId="7B9EA051" wp14:editId="11DE76A1">
            <wp:extent cx="6492240" cy="5015865"/>
            <wp:effectExtent l="0" t="0" r="3810" b="0"/>
            <wp:docPr id="226834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5015865"/>
                    </a:xfrm>
                    <a:prstGeom prst="rect">
                      <a:avLst/>
                    </a:prstGeom>
                    <a:noFill/>
                    <a:ln>
                      <a:noFill/>
                    </a:ln>
                  </pic:spPr>
                </pic:pic>
              </a:graphicData>
            </a:graphic>
          </wp:inline>
        </w:drawing>
      </w:r>
    </w:p>
    <w:p w14:paraId="6A9C98B8" w14:textId="1044D694" w:rsidR="00B154ED" w:rsidRDefault="00000000">
      <w:pPr>
        <w:spacing w:before="60"/>
        <w:rPr>
          <w:b/>
        </w:rPr>
      </w:pPr>
      <w:r>
        <w:rPr>
          <w:b/>
        </w:rPr>
        <w:lastRenderedPageBreak/>
        <w:t>Power BI page 1. Financial Overview</w:t>
      </w:r>
      <w:r w:rsidR="005B4C71">
        <w:rPr>
          <w:noProof/>
        </w:rPr>
        <w:drawing>
          <wp:inline distT="0" distB="0" distL="0" distR="0" wp14:anchorId="4B8FBE67" wp14:editId="6D9ED8C9">
            <wp:extent cx="6492240" cy="3681730"/>
            <wp:effectExtent l="0" t="0" r="3810" b="0"/>
            <wp:docPr id="884064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92240" cy="3681730"/>
                    </a:xfrm>
                    <a:prstGeom prst="rect">
                      <a:avLst/>
                    </a:prstGeom>
                    <a:noFill/>
                    <a:ln>
                      <a:noFill/>
                    </a:ln>
                  </pic:spPr>
                </pic:pic>
              </a:graphicData>
            </a:graphic>
          </wp:inline>
        </w:drawing>
      </w:r>
    </w:p>
    <w:p w14:paraId="75666189" w14:textId="77777777" w:rsidR="005B4C71" w:rsidRDefault="005B4C71">
      <w:pPr>
        <w:spacing w:before="60"/>
        <w:rPr>
          <w:b/>
        </w:rPr>
      </w:pPr>
    </w:p>
    <w:p w14:paraId="0FE5732D" w14:textId="77777777" w:rsidR="005B4C71" w:rsidRDefault="005B4C71">
      <w:pPr>
        <w:spacing w:before="60"/>
        <w:rPr>
          <w:rFonts w:hint="eastAsia"/>
        </w:rPr>
      </w:pPr>
    </w:p>
    <w:p w14:paraId="3830D860" w14:textId="5FE01D95" w:rsidR="00B154ED" w:rsidRDefault="00000000">
      <w:pPr>
        <w:spacing w:before="60"/>
        <w:rPr>
          <w:rFonts w:hint="eastAsia"/>
        </w:rPr>
      </w:pPr>
      <w:r>
        <w:rPr>
          <w:b/>
        </w:rPr>
        <w:t>Power BI page 2. Growth &amp; Profitability</w:t>
      </w:r>
      <w:r w:rsidR="005B4C71">
        <w:rPr>
          <w:noProof/>
        </w:rPr>
        <w:drawing>
          <wp:inline distT="0" distB="0" distL="0" distR="0" wp14:anchorId="1A57F10B" wp14:editId="5F946D3F">
            <wp:extent cx="6492240" cy="3632200"/>
            <wp:effectExtent l="0" t="0" r="3810" b="6350"/>
            <wp:docPr id="2013382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92240" cy="3632200"/>
                    </a:xfrm>
                    <a:prstGeom prst="rect">
                      <a:avLst/>
                    </a:prstGeom>
                    <a:noFill/>
                    <a:ln>
                      <a:noFill/>
                    </a:ln>
                  </pic:spPr>
                </pic:pic>
              </a:graphicData>
            </a:graphic>
          </wp:inline>
        </w:drawing>
      </w:r>
    </w:p>
    <w:p w14:paraId="5578DA22" w14:textId="3AC1925D" w:rsidR="00B154ED" w:rsidRDefault="00000000">
      <w:pPr>
        <w:spacing w:before="60"/>
        <w:rPr>
          <w:rFonts w:hint="eastAsia"/>
        </w:rPr>
      </w:pPr>
      <w:r>
        <w:rPr>
          <w:b/>
        </w:rPr>
        <w:lastRenderedPageBreak/>
        <w:t>Power BI page 3. Financial Risk</w:t>
      </w:r>
      <w:r w:rsidR="005B4C71">
        <w:rPr>
          <w:noProof/>
        </w:rPr>
        <w:drawing>
          <wp:inline distT="0" distB="0" distL="0" distR="0" wp14:anchorId="03E50724" wp14:editId="33990FF0">
            <wp:extent cx="6492240" cy="3669030"/>
            <wp:effectExtent l="0" t="0" r="3810" b="7620"/>
            <wp:docPr id="19483584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92240" cy="3669030"/>
                    </a:xfrm>
                    <a:prstGeom prst="rect">
                      <a:avLst/>
                    </a:prstGeom>
                    <a:noFill/>
                    <a:ln>
                      <a:noFill/>
                    </a:ln>
                  </pic:spPr>
                </pic:pic>
              </a:graphicData>
            </a:graphic>
          </wp:inline>
        </w:drawing>
      </w:r>
    </w:p>
    <w:p w14:paraId="173D27C0" w14:textId="77777777" w:rsidR="00B154ED" w:rsidRDefault="00000000">
      <w:pPr>
        <w:pStyle w:val="Heading1"/>
      </w:pPr>
      <w:r>
        <w:t>7. Tools Used</w:t>
      </w:r>
    </w:p>
    <w:p w14:paraId="202AA1FB" w14:textId="77777777" w:rsidR="00B154ED" w:rsidRDefault="00000000">
      <w:pPr>
        <w:pStyle w:val="ListBullet"/>
        <w:rPr>
          <w:rFonts w:hint="eastAsia"/>
        </w:rPr>
      </w:pPr>
      <w:r>
        <w:t>Python (pandas, Matplotlib, Seaborn): data preparation, ratio calculations, summaries, charts and correlation heatmap.</w:t>
      </w:r>
    </w:p>
    <w:p w14:paraId="1E94DAA0" w14:textId="77777777" w:rsidR="00B154ED" w:rsidRDefault="00000000">
      <w:pPr>
        <w:pStyle w:val="ListBullet"/>
        <w:rPr>
          <w:rFonts w:hint="eastAsia"/>
        </w:rPr>
      </w:pPr>
      <w:r>
        <w:t>SQL / SQLite: aggregation, filtering, sorting and LAG() for prior-year revenue comparisons.</w:t>
      </w:r>
    </w:p>
    <w:p w14:paraId="4F93E7B1" w14:textId="77777777" w:rsidR="00B154ED" w:rsidRDefault="00000000">
      <w:pPr>
        <w:pStyle w:val="ListBullet"/>
        <w:rPr>
          <w:rFonts w:hint="eastAsia"/>
        </w:rPr>
      </w:pPr>
      <w:r>
        <w:t>Excel: raw data, financial analysis, company-level summary formulas and dashboard charts.</w:t>
      </w:r>
    </w:p>
    <w:p w14:paraId="782C5AA6" w14:textId="77777777" w:rsidR="00B154ED" w:rsidRDefault="00000000">
      <w:pPr>
        <w:pStyle w:val="ListBullet"/>
        <w:rPr>
          <w:rFonts w:hint="eastAsia"/>
        </w:rPr>
      </w:pPr>
      <w:r>
        <w:t>Power BI: interactive pages for overview, growth and profitability, and financial risk.</w:t>
      </w:r>
    </w:p>
    <w:p w14:paraId="589E7AFA" w14:textId="77777777" w:rsidR="00B154ED" w:rsidRDefault="00000000">
      <w:pPr>
        <w:pStyle w:val="Heading1"/>
      </w:pPr>
      <w:r>
        <w:t>8. Limitations</w:t>
      </w:r>
    </w:p>
    <w:p w14:paraId="52E0BF95" w14:textId="77777777" w:rsidR="00B154ED" w:rsidRDefault="00000000">
      <w:pPr>
        <w:pStyle w:val="ListBullet"/>
        <w:rPr>
          <w:rFonts w:hint="eastAsia"/>
        </w:rPr>
      </w:pPr>
      <w:r>
        <w:t>The analysis covers ten selected companies, not the entire technology sector.</w:t>
      </w:r>
    </w:p>
    <w:p w14:paraId="13228D26" w14:textId="77777777" w:rsidR="00B154ED" w:rsidRDefault="00000000">
      <w:pPr>
        <w:pStyle w:val="ListBullet"/>
        <w:rPr>
          <w:rFonts w:hint="eastAsia"/>
        </w:rPr>
      </w:pPr>
      <w:r>
        <w:t>Reported fiscal years differ by company and are not calendarized.</w:t>
      </w:r>
    </w:p>
    <w:p w14:paraId="2F8DB25D" w14:textId="77777777" w:rsidR="00B154ED" w:rsidRDefault="00000000">
      <w:pPr>
        <w:pStyle w:val="ListBullet"/>
        <w:rPr>
          <w:rFonts w:hint="eastAsia"/>
        </w:rPr>
      </w:pPr>
      <w:r>
        <w:t>FY2021 growth is unavailable because FY2020 data is not included.</w:t>
      </w:r>
    </w:p>
    <w:p w14:paraId="6A005F2B" w14:textId="77777777" w:rsidR="00B154ED" w:rsidRDefault="00000000">
      <w:pPr>
        <w:pStyle w:val="ListBullet"/>
        <w:rPr>
          <w:rFonts w:hint="eastAsia"/>
        </w:rPr>
      </w:pPr>
      <w:r>
        <w:t>ROA uses year-end assets, not average assets.</w:t>
      </w:r>
    </w:p>
    <w:p w14:paraId="2B4FD61B" w14:textId="77777777" w:rsidR="00B154ED" w:rsidRDefault="00000000">
      <w:pPr>
        <w:pStyle w:val="ListBullet"/>
        <w:rPr>
          <w:rFonts w:hint="eastAsia"/>
        </w:rPr>
      </w:pPr>
      <w:r>
        <w:t>Liabilities for Amazon and Oracle were derived from balance-sheet components where a consistent direct tag was unavailable.</w:t>
      </w:r>
    </w:p>
    <w:p w14:paraId="30D58959" w14:textId="77777777" w:rsidR="00B154ED" w:rsidRDefault="00000000">
      <w:pPr>
        <w:pStyle w:val="ListBullet"/>
        <w:rPr>
          <w:rFonts w:hint="eastAsia"/>
        </w:rPr>
      </w:pPr>
      <w:r>
        <w:t>Correlations are descriptive and do not establish causation.</w:t>
      </w:r>
    </w:p>
    <w:p w14:paraId="0B02F660" w14:textId="77777777" w:rsidR="00B154ED" w:rsidRDefault="00000000">
      <w:pPr>
        <w:pStyle w:val="ListBullet"/>
        <w:rPr>
          <w:rFonts w:hint="eastAsia"/>
        </w:rPr>
      </w:pPr>
      <w:r>
        <w:t>The analysis is historical and is not a forecast or investment recommendation.</w:t>
      </w:r>
    </w:p>
    <w:p w14:paraId="6BAEA69E" w14:textId="77777777" w:rsidR="003A6951" w:rsidRDefault="003A6951">
      <w:pPr>
        <w:rPr>
          <w:rFonts w:asciiTheme="majorHAnsi" w:eastAsiaTheme="majorEastAsia" w:hAnsiTheme="majorHAnsi" w:cstheme="majorBidi"/>
          <w:b/>
          <w:bCs/>
          <w:color w:val="365F91" w:themeColor="accent1" w:themeShade="BF"/>
          <w:sz w:val="30"/>
          <w:szCs w:val="28"/>
        </w:rPr>
      </w:pPr>
      <w:r>
        <w:br w:type="page"/>
      </w:r>
    </w:p>
    <w:p w14:paraId="556C5BD5" w14:textId="527849A8" w:rsidR="003A6951" w:rsidRDefault="003A6951" w:rsidP="003A6951">
      <w:pPr>
        <w:pStyle w:val="Heading1"/>
        <w:rPr>
          <w:rFonts w:ascii="Times New Roman" w:hAnsi="Times New Roman"/>
          <w:sz w:val="48"/>
        </w:rPr>
      </w:pPr>
      <w:r>
        <w:lastRenderedPageBreak/>
        <w:t>9. Conclusion</w:t>
      </w:r>
    </w:p>
    <w:p w14:paraId="390BD172" w14:textId="77777777" w:rsidR="003A6951" w:rsidRPr="003A6951" w:rsidRDefault="003A6951" w:rsidP="003A6951">
      <w:pPr>
        <w:pStyle w:val="NormalWeb"/>
        <w:rPr>
          <w:rFonts w:ascii="Aptos" w:hAnsi="Aptos"/>
          <w:sz w:val="18"/>
          <w:szCs w:val="18"/>
        </w:rPr>
      </w:pPr>
      <w:r w:rsidRPr="003A6951">
        <w:rPr>
          <w:rFonts w:ascii="Aptos" w:hAnsi="Aptos"/>
          <w:sz w:val="18"/>
          <w:szCs w:val="18"/>
        </w:rPr>
        <w:t>The analysis highlights distinct financial performance patterns across the ten selected technology companies during FY2021–FY2025. NVIDIA recorded the highest average revenue growth, net profit margin and return on assets in the sample. Microsoft also demonstrated a high average net profit margin, while Oracle had the highest average liability-to-asset ratio. The correlation analysis identified associations among growth, profitability, asset returns and financial leverage; however, these relationships do not establish causation.</w:t>
      </w:r>
    </w:p>
    <w:p w14:paraId="156EDECE" w14:textId="77777777" w:rsidR="003A6951" w:rsidRPr="003A6951" w:rsidRDefault="003A6951" w:rsidP="003A6951">
      <w:pPr>
        <w:pStyle w:val="NormalWeb"/>
        <w:rPr>
          <w:rFonts w:ascii="Aptos" w:hAnsi="Aptos"/>
          <w:sz w:val="18"/>
          <w:szCs w:val="18"/>
        </w:rPr>
      </w:pPr>
      <w:r w:rsidRPr="003A6951">
        <w:rPr>
          <w:rFonts w:ascii="Aptos" w:hAnsi="Aptos"/>
          <w:sz w:val="18"/>
          <w:szCs w:val="18"/>
        </w:rPr>
        <w:t>The project demonstrates an end-to-end workflow for collecting public financial data, calculating financial ratios, conducting descriptive analysis and presenting findings using Python, SQL, Excel and Power BI. The analysis is limited to ten technology companies and five fiscal years, and differences in fiscal year-ends and business models may affect comparisons. Future work could expand the sample, extend the period, validate calculations against individual company filings and compare companies within specific technology sub-industries.</w:t>
      </w:r>
    </w:p>
    <w:p w14:paraId="55630309" w14:textId="77777777" w:rsidR="003A6951" w:rsidRDefault="003A6951" w:rsidP="003A6951">
      <w:pPr>
        <w:pStyle w:val="Heading1"/>
        <w:rPr>
          <w:lang w:val="en-IN"/>
        </w:rPr>
      </w:pPr>
      <w:r w:rsidRPr="003A6951">
        <w:rPr>
          <w:lang w:val="en-IN"/>
        </w:rPr>
        <w:t>Data Source</w:t>
      </w:r>
    </w:p>
    <w:p w14:paraId="79BFE4FA" w14:textId="46D78701" w:rsidR="003A6951" w:rsidRPr="003A6951" w:rsidRDefault="003A6951" w:rsidP="003A6951">
      <w:pPr>
        <w:pStyle w:val="Heading1"/>
        <w:rPr>
          <w:lang w:val="en-IN"/>
        </w:rPr>
      </w:pPr>
      <w:r w:rsidRPr="003A6951">
        <w:rPr>
          <w:rFonts w:ascii="Aptos" w:hAnsi="Aptos"/>
          <w:b w:val="0"/>
          <w:bCs w:val="0"/>
          <w:color w:val="auto"/>
          <w:sz w:val="18"/>
          <w:szCs w:val="18"/>
          <w:lang w:val="en-IN"/>
        </w:rPr>
        <w:t>U.S. Securities and Exchange Commission (SEC), Company Facts dataset, accessed through the SEC’s public data resources. The analysis covers FY2021–FY2025. Financial ratios were calculated from reported financial statement data, using year-end total assets for return on assets. Fiscal years were retained as reported by each company.</w:t>
      </w:r>
    </w:p>
    <w:p w14:paraId="13F0A187" w14:textId="36D34D3E" w:rsidR="00B154ED" w:rsidRPr="003A6951" w:rsidRDefault="00B154ED" w:rsidP="003A6951">
      <w:pPr>
        <w:pStyle w:val="Heading1"/>
        <w:rPr>
          <w:rFonts w:ascii="Aptos" w:hAnsi="Aptos"/>
          <w:b w:val="0"/>
          <w:bCs w:val="0"/>
          <w:color w:val="auto"/>
          <w:sz w:val="18"/>
          <w:szCs w:val="18"/>
        </w:rPr>
      </w:pPr>
    </w:p>
    <w:sectPr w:rsidR="00B154ED" w:rsidRPr="003A6951"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91AA6" w14:textId="77777777" w:rsidR="007153D0" w:rsidRDefault="007153D0">
      <w:pPr>
        <w:spacing w:after="0" w:line="240" w:lineRule="auto"/>
        <w:rPr>
          <w:rFonts w:hint="eastAsia"/>
        </w:rPr>
      </w:pPr>
      <w:r>
        <w:separator/>
      </w:r>
    </w:p>
  </w:endnote>
  <w:endnote w:type="continuationSeparator" w:id="0">
    <w:p w14:paraId="4B9189BD" w14:textId="77777777" w:rsidR="007153D0" w:rsidRDefault="007153D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445D3" w14:textId="77777777" w:rsidR="00B154ED" w:rsidRDefault="00000000">
    <w:pPr>
      <w:pStyle w:val="Footer"/>
      <w:jc w:val="center"/>
      <w:rPr>
        <w:rFonts w:hint="eastAsia"/>
      </w:rPr>
    </w:pPr>
    <w:r>
      <w:rPr>
        <w:color w:val="646464"/>
        <w:sz w:val="16"/>
      </w:rPr>
      <w:t>Financial Performance Analysis | FY2021–FY2025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B2FB9" w14:textId="77777777" w:rsidR="007153D0" w:rsidRDefault="007153D0">
      <w:pPr>
        <w:spacing w:after="0" w:line="240" w:lineRule="auto"/>
        <w:rPr>
          <w:rFonts w:hint="eastAsia"/>
        </w:rPr>
      </w:pPr>
      <w:r>
        <w:separator/>
      </w:r>
    </w:p>
  </w:footnote>
  <w:footnote w:type="continuationSeparator" w:id="0">
    <w:p w14:paraId="03C46B85" w14:textId="77777777" w:rsidR="007153D0" w:rsidRDefault="007153D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8049184">
    <w:abstractNumId w:val="8"/>
  </w:num>
  <w:num w:numId="2" w16cid:durableId="280111846">
    <w:abstractNumId w:val="6"/>
  </w:num>
  <w:num w:numId="3" w16cid:durableId="1924097302">
    <w:abstractNumId w:val="5"/>
  </w:num>
  <w:num w:numId="4" w16cid:durableId="165052167">
    <w:abstractNumId w:val="4"/>
  </w:num>
  <w:num w:numId="5" w16cid:durableId="1521352780">
    <w:abstractNumId w:val="7"/>
  </w:num>
  <w:num w:numId="6" w16cid:durableId="399402606">
    <w:abstractNumId w:val="3"/>
  </w:num>
  <w:num w:numId="7" w16cid:durableId="2142262537">
    <w:abstractNumId w:val="2"/>
  </w:num>
  <w:num w:numId="8" w16cid:durableId="1027171509">
    <w:abstractNumId w:val="1"/>
  </w:num>
  <w:num w:numId="9" w16cid:durableId="102205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6951"/>
    <w:rsid w:val="005B4C71"/>
    <w:rsid w:val="007153D0"/>
    <w:rsid w:val="00AA1D8D"/>
    <w:rsid w:val="00B154ED"/>
    <w:rsid w:val="00B47730"/>
    <w:rsid w:val="00CB0664"/>
    <w:rsid w:val="00DC42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DAAE2"/>
  <w14:defaultImageDpi w14:val="300"/>
  <w15:docId w15:val="{E794F86F-1BA1-4076-952B-E7E5F4CCF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6951"/>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10</Pages>
  <Words>1211</Words>
  <Characters>6906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Vanshika Patel Tirumani</cp:lastModifiedBy>
  <cp:revision>2</cp:revision>
  <dcterms:created xsi:type="dcterms:W3CDTF">2013-12-23T23:15:00Z</dcterms:created>
  <dcterms:modified xsi:type="dcterms:W3CDTF">2026-10-10T08:55:00Z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f6ab82acf8aa75eeb5653cfcf957b80e8f486b3b483326d60fe8bff7627291af</vt:lpwstr>
  </property>
</Properties>
</file>