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36204568"/>
        <w:docPartObj>
          <w:docPartGallery w:val="Cover Pages"/>
          <w:docPartUnique/>
        </w:docPartObj>
      </w:sdtPr>
      <w:sdtEndPr>
        <w:rPr>
          <w:b/>
          <w:bCs/>
        </w:rPr>
      </w:sdtEndPr>
      <w:sdtContent>
        <w:p w14:paraId="374AA911" w14:textId="60A39732" w:rsidR="00892DD3" w:rsidRDefault="00892DD3">
          <w:r>
            <w:rPr>
              <w:noProof/>
            </w:rPr>
            <mc:AlternateContent>
              <mc:Choice Requires="wpg">
                <w:drawing>
                  <wp:anchor distT="0" distB="0" distL="114300" distR="114300" simplePos="0" relativeHeight="251662336" behindDoc="0" locked="0" layoutInCell="1" allowOverlap="1" wp14:anchorId="4644CA31" wp14:editId="580D8B8C">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22294E1"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1AAF5A38" wp14:editId="5424E072">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F8B583A" w14:textId="2F065DF0" w:rsidR="00892DD3" w:rsidRDefault="00892DD3">
                                    <w:pPr>
                                      <w:pStyle w:val="NoSpacing"/>
                                      <w:jc w:val="right"/>
                                      <w:rPr>
                                        <w:color w:val="595959" w:themeColor="text1" w:themeTint="A6"/>
                                        <w:sz w:val="28"/>
                                        <w:szCs w:val="28"/>
                                      </w:rPr>
                                    </w:pPr>
                                    <w:r>
                                      <w:rPr>
                                        <w:color w:val="595959" w:themeColor="text1" w:themeTint="A6"/>
                                        <w:sz w:val="28"/>
                                        <w:szCs w:val="28"/>
                                      </w:rPr>
                                      <w:t>Vanshika Singh</w:t>
                                    </w:r>
                                  </w:p>
                                </w:sdtContent>
                              </w:sdt>
                              <w:p w14:paraId="1FC49F02" w14:textId="3EE00FFA" w:rsidR="00892DD3"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892DD3">
                                      <w:rPr>
                                        <w:color w:val="595959" w:themeColor="text1" w:themeTint="A6"/>
                                        <w:sz w:val="18"/>
                                        <w:szCs w:val="18"/>
                                      </w:rPr>
                                      <w:t>23043137</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AAF5A38"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F8B583A" w14:textId="2F065DF0" w:rsidR="00892DD3" w:rsidRDefault="00892DD3">
                              <w:pPr>
                                <w:pStyle w:val="NoSpacing"/>
                                <w:jc w:val="right"/>
                                <w:rPr>
                                  <w:color w:val="595959" w:themeColor="text1" w:themeTint="A6"/>
                                  <w:sz w:val="28"/>
                                  <w:szCs w:val="28"/>
                                </w:rPr>
                              </w:pPr>
                              <w:r>
                                <w:rPr>
                                  <w:color w:val="595959" w:themeColor="text1" w:themeTint="A6"/>
                                  <w:sz w:val="28"/>
                                  <w:szCs w:val="28"/>
                                </w:rPr>
                                <w:t>Vanshika Singh</w:t>
                              </w:r>
                            </w:p>
                          </w:sdtContent>
                        </w:sdt>
                        <w:p w14:paraId="1FC49F02" w14:textId="3EE00FFA" w:rsidR="00892DD3"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892DD3">
                                <w:rPr>
                                  <w:color w:val="595959" w:themeColor="text1" w:themeTint="A6"/>
                                  <w:sz w:val="18"/>
                                  <w:szCs w:val="18"/>
                                </w:rPr>
                                <w:t>23043137</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5C367E8" wp14:editId="5475F7BC">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7EAB21F7" w14:textId="6158099A" w:rsidR="00892DD3" w:rsidRDefault="00892DD3">
                                    <w:pPr>
                                      <w:pStyle w:val="NoSpacing"/>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5C367E8"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7EAB21F7" w14:textId="6158099A" w:rsidR="00892DD3" w:rsidRDefault="00892DD3">
                              <w:pPr>
                                <w:pStyle w:val="NoSpacing"/>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4CADD9F0" wp14:editId="448EA294">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D7F35D" w14:textId="29FBECAD" w:rsidR="00892DD3"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92DD3">
                                      <w:rPr>
                                        <w:caps/>
                                        <w:color w:val="4472C4" w:themeColor="accent1"/>
                                        <w:sz w:val="64"/>
                                        <w:szCs w:val="64"/>
                                      </w:rPr>
                                      <w:t>Growth Analysis of Rajasthan</w:t>
                                    </w:r>
                                    <w:r w:rsidR="007D667E">
                                      <w:rPr>
                                        <w:caps/>
                                        <w:color w:val="4472C4" w:themeColor="accent1"/>
                                        <w:sz w:val="64"/>
                                        <w:szCs w:val="64"/>
                                      </w:rPr>
                                      <w:t>’s economy</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BA020BB" w14:textId="3F76C893" w:rsidR="00892DD3" w:rsidRDefault="00892DD3">
                                    <w:pPr>
                                      <w:jc w:val="right"/>
                                      <w:rPr>
                                        <w:smallCaps/>
                                        <w:color w:val="404040" w:themeColor="text1" w:themeTint="BF"/>
                                        <w:sz w:val="36"/>
                                        <w:szCs w:val="36"/>
                                      </w:rPr>
                                    </w:pPr>
                                    <w:r>
                                      <w:rPr>
                                        <w:color w:val="404040" w:themeColor="text1" w:themeTint="BF"/>
                                        <w:sz w:val="36"/>
                                        <w:szCs w:val="36"/>
                                      </w:rPr>
                                      <w:t>2011-24</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CADD9F0"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54D7F35D" w14:textId="29FBECAD" w:rsidR="00892DD3"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92DD3">
                                <w:rPr>
                                  <w:caps/>
                                  <w:color w:val="4472C4" w:themeColor="accent1"/>
                                  <w:sz w:val="64"/>
                                  <w:szCs w:val="64"/>
                                </w:rPr>
                                <w:t>Growth Analysis of Rajasthan</w:t>
                              </w:r>
                              <w:r w:rsidR="007D667E">
                                <w:rPr>
                                  <w:caps/>
                                  <w:color w:val="4472C4" w:themeColor="accent1"/>
                                  <w:sz w:val="64"/>
                                  <w:szCs w:val="64"/>
                                </w:rPr>
                                <w:t>’s economy</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BA020BB" w14:textId="3F76C893" w:rsidR="00892DD3" w:rsidRDefault="00892DD3">
                              <w:pPr>
                                <w:jc w:val="right"/>
                                <w:rPr>
                                  <w:smallCaps/>
                                  <w:color w:val="404040" w:themeColor="text1" w:themeTint="BF"/>
                                  <w:sz w:val="36"/>
                                  <w:szCs w:val="36"/>
                                </w:rPr>
                              </w:pPr>
                              <w:r>
                                <w:rPr>
                                  <w:color w:val="404040" w:themeColor="text1" w:themeTint="BF"/>
                                  <w:sz w:val="36"/>
                                  <w:szCs w:val="36"/>
                                </w:rPr>
                                <w:t>2011-24</w:t>
                              </w:r>
                            </w:p>
                          </w:sdtContent>
                        </w:sdt>
                      </w:txbxContent>
                    </v:textbox>
                    <w10:wrap type="square" anchorx="page" anchory="page"/>
                  </v:shape>
                </w:pict>
              </mc:Fallback>
            </mc:AlternateContent>
          </w:r>
        </w:p>
        <w:p w14:paraId="561BF453" w14:textId="00D543EC" w:rsidR="004A418D" w:rsidRDefault="00892DD3" w:rsidP="00777FCE">
          <w:pPr>
            <w:rPr>
              <w:b/>
              <w:bCs/>
            </w:rPr>
          </w:pPr>
          <w:r>
            <w:rPr>
              <w:b/>
              <w:bCs/>
            </w:rPr>
            <w:br w:type="page"/>
          </w:r>
        </w:p>
      </w:sdtContent>
    </w:sdt>
    <w:p w14:paraId="67218D12" w14:textId="64B9F714" w:rsidR="004A418D" w:rsidRPr="003B30A5" w:rsidRDefault="004A418D" w:rsidP="00777FCE">
      <w:pPr>
        <w:spacing w:line="276" w:lineRule="auto"/>
        <w:jc w:val="both"/>
        <w:rPr>
          <w:b/>
          <w:bCs/>
          <w:sz w:val="28"/>
          <w:szCs w:val="28"/>
          <w:u w:val="single"/>
        </w:rPr>
      </w:pPr>
      <w:r w:rsidRPr="003B30A5">
        <w:rPr>
          <w:b/>
          <w:bCs/>
          <w:sz w:val="28"/>
          <w:szCs w:val="28"/>
          <w:u w:val="single"/>
        </w:rPr>
        <w:lastRenderedPageBreak/>
        <w:t>Introduction</w:t>
      </w:r>
    </w:p>
    <w:p w14:paraId="7A454EE3" w14:textId="19DD35B1" w:rsidR="00533D3E" w:rsidRPr="00533D3E" w:rsidRDefault="00533D3E" w:rsidP="00777FCE">
      <w:pPr>
        <w:spacing w:line="276" w:lineRule="auto"/>
        <w:jc w:val="both"/>
      </w:pPr>
      <w:r w:rsidRPr="00533D3E">
        <w:t xml:space="preserve">Rajasthan holds a strategically significant geographical position, lying between the Northern and Western growth hubs of India, with the Delhi-Mumbai Industrial Corridor passing through it. The state has successfully attracted numerous multinational and domestic companies across sectors such as Information Technology, Textiles, Chemicals, </w:t>
      </w:r>
      <w:proofErr w:type="spellStart"/>
      <w:r w:rsidRPr="00533D3E">
        <w:t>Agro</w:t>
      </w:r>
      <w:proofErr w:type="spellEnd"/>
      <w:r w:rsidRPr="00533D3E">
        <w:t xml:space="preserve">-processing, Cement, </w:t>
      </w:r>
      <w:r w:rsidR="00713FA2">
        <w:t xml:space="preserve">and </w:t>
      </w:r>
      <w:r w:rsidRPr="00533D3E">
        <w:t>Granite.</w:t>
      </w:r>
      <w:r w:rsidR="006C37D1">
        <w:t xml:space="preserve"> </w:t>
      </w:r>
      <w:r w:rsidRPr="00533D3E">
        <w:t xml:space="preserve">Until the early to mid-1980s, Rajasthan's progress on </w:t>
      </w:r>
      <w:r w:rsidR="00713FA2">
        <w:t>socio-economic</w:t>
      </w:r>
      <w:r w:rsidRPr="00533D3E">
        <w:t xml:space="preserve"> indicators was slow, with only a 3% annual increase in Gross State Domestic Product (GSDP) and minimal growth in per capita income. However, since the 1980s, the state has shown steady improvement. Over the last </w:t>
      </w:r>
      <w:r w:rsidR="00713FA2">
        <w:t>30 years</w:t>
      </w:r>
      <w:r w:rsidRPr="00533D3E">
        <w:t xml:space="preserve">, Rajasthan's economy has </w:t>
      </w:r>
      <w:r w:rsidR="00713FA2">
        <w:t>seen</w:t>
      </w:r>
      <w:r w:rsidRPr="00533D3E">
        <w:t xml:space="preserve"> an average annual 6.05%</w:t>
      </w:r>
      <w:r w:rsidR="00713FA2">
        <w:t xml:space="preserve"> growth rate</w:t>
      </w:r>
      <w:r w:rsidRPr="00533D3E">
        <w:t>. The decadal growth rates were 5.94% in the 1980s, 6.53% in the 1990s, and 7.17% in the 2000s, indicating a consistently higher growth trajectory.</w:t>
      </w:r>
    </w:p>
    <w:p w14:paraId="63CF0536" w14:textId="77777777" w:rsidR="00E313FD" w:rsidRDefault="00E313FD" w:rsidP="00777FCE">
      <w:pPr>
        <w:spacing w:line="276" w:lineRule="auto"/>
        <w:jc w:val="both"/>
        <w:rPr>
          <w:b/>
          <w:bCs/>
        </w:rPr>
      </w:pPr>
    </w:p>
    <w:p w14:paraId="1BE90111" w14:textId="29601C11" w:rsidR="00E25852" w:rsidRPr="00986F5D" w:rsidRDefault="00EC71D7" w:rsidP="00777FCE">
      <w:pPr>
        <w:spacing w:line="276" w:lineRule="auto"/>
        <w:jc w:val="both"/>
        <w:rPr>
          <w:b/>
          <w:bCs/>
          <w:sz w:val="28"/>
          <w:szCs w:val="28"/>
          <w:u w:val="single"/>
        </w:rPr>
      </w:pPr>
      <w:r w:rsidRPr="00986F5D">
        <w:rPr>
          <w:b/>
          <w:bCs/>
          <w:sz w:val="28"/>
          <w:szCs w:val="28"/>
          <w:u w:val="single"/>
        </w:rPr>
        <w:t>Growth Trajectory</w:t>
      </w:r>
    </w:p>
    <w:p w14:paraId="34946493" w14:textId="0F433AA3" w:rsidR="00416136" w:rsidRDefault="00A4755F" w:rsidP="00777FCE">
      <w:pPr>
        <w:spacing w:line="276" w:lineRule="auto"/>
        <w:jc w:val="both"/>
      </w:pPr>
      <w:r w:rsidRPr="00A4755F">
        <w:t>Rajasthan's economy is predominantly agrarian, characterized by significant fluctuations in agricultural output and productivity, which have led to substantial variations in the state's GSDP over time. However, despite these challenges, the state's economy has demonstrated a strong growth trajectory in recent years.</w:t>
      </w:r>
      <w:r>
        <w:t xml:space="preserve"> According to the </w:t>
      </w:r>
      <w:r w:rsidRPr="003B30A5">
        <w:t>MOSPI</w:t>
      </w:r>
      <w:r w:rsidR="003B30A5">
        <w:t xml:space="preserve"> data</w:t>
      </w:r>
      <w:r>
        <w:t xml:space="preserve">, </w:t>
      </w:r>
      <w:r w:rsidR="00416136">
        <w:t xml:space="preserve">the Gross State Value Added (GSVA) at constant (2011-12) prices, as on 01/08/2024, for 2023-24 is </w:t>
      </w:r>
      <w:r>
        <w:t xml:space="preserve">Rs. </w:t>
      </w:r>
      <w:r w:rsidRPr="00A4755F">
        <w:t>8</w:t>
      </w:r>
      <w:r>
        <w:t>,</w:t>
      </w:r>
      <w:r w:rsidRPr="00A4755F">
        <w:t>45</w:t>
      </w:r>
      <w:r>
        <w:t>,</w:t>
      </w:r>
      <w:r w:rsidRPr="00A4755F">
        <w:t>11</w:t>
      </w:r>
      <w:r>
        <w:t>,</w:t>
      </w:r>
      <w:r w:rsidRPr="00A4755F">
        <w:t>511</w:t>
      </w:r>
      <w:r w:rsidR="00416136">
        <w:t xml:space="preserve"> lakh. This is against the Rs. </w:t>
      </w:r>
      <w:r w:rsidR="00416136" w:rsidRPr="00416136">
        <w:t>7</w:t>
      </w:r>
      <w:r w:rsidR="00416136">
        <w:t>,</w:t>
      </w:r>
      <w:r w:rsidR="00416136" w:rsidRPr="00416136">
        <w:t>82</w:t>
      </w:r>
      <w:r w:rsidR="00416136">
        <w:t>,</w:t>
      </w:r>
      <w:r w:rsidR="00416136" w:rsidRPr="00416136">
        <w:t>28</w:t>
      </w:r>
      <w:r w:rsidR="00416136">
        <w:t>,</w:t>
      </w:r>
      <w:r w:rsidR="00416136" w:rsidRPr="00416136">
        <w:t>738</w:t>
      </w:r>
      <w:r w:rsidR="00416136">
        <w:t xml:space="preserve"> lakh GSVA for 2022-23, an increase of 8%. </w:t>
      </w:r>
      <w:r w:rsidR="00416136" w:rsidRPr="00416136">
        <w:t>This has positioned Rajasthan as one of the fastest-growing states in India.</w:t>
      </w:r>
      <w:r w:rsidR="00416136">
        <w:t xml:space="preserve"> </w:t>
      </w:r>
    </w:p>
    <w:p w14:paraId="6FDF9A3D" w14:textId="77777777" w:rsidR="000A35F1" w:rsidRDefault="000A35F1" w:rsidP="00777FCE">
      <w:pPr>
        <w:spacing w:line="276" w:lineRule="auto"/>
        <w:jc w:val="both"/>
      </w:pPr>
    </w:p>
    <w:p w14:paraId="4E346A3B" w14:textId="05DE96FB" w:rsidR="000A35F1" w:rsidRPr="000A35F1" w:rsidRDefault="00B33C60" w:rsidP="001D4F28">
      <w:pPr>
        <w:spacing w:line="276" w:lineRule="auto"/>
        <w:jc w:val="center"/>
        <w:rPr>
          <w:b/>
          <w:bCs/>
        </w:rPr>
      </w:pPr>
      <w:r w:rsidRPr="000A35F1">
        <w:rPr>
          <w:b/>
          <w:bCs/>
        </w:rPr>
        <w:t xml:space="preserve">Table </w:t>
      </w:r>
      <w:r w:rsidR="004A418D">
        <w:rPr>
          <w:b/>
          <w:bCs/>
        </w:rPr>
        <w:t>1</w:t>
      </w:r>
      <w:r w:rsidRPr="000A35F1">
        <w:rPr>
          <w:b/>
          <w:bCs/>
        </w:rPr>
        <w:t>: Gross Domestic Product at Constant (2011-12) Prices</w:t>
      </w:r>
      <w:r w:rsidR="001D4F28">
        <w:rPr>
          <w:b/>
          <w:bCs/>
        </w:rPr>
        <w:t xml:space="preserve"> </w:t>
      </w:r>
      <w:r w:rsidR="000A35F1" w:rsidRPr="000A35F1">
        <w:rPr>
          <w:b/>
          <w:bCs/>
        </w:rPr>
        <w:t>(Rs Crore)</w:t>
      </w:r>
    </w:p>
    <w:tbl>
      <w:tblPr>
        <w:tblStyle w:val="GridTable5Dark-Accent6"/>
        <w:tblW w:w="0" w:type="auto"/>
        <w:tblLook w:val="04A0" w:firstRow="1" w:lastRow="0" w:firstColumn="1" w:lastColumn="0" w:noHBand="0" w:noVBand="1"/>
      </w:tblPr>
      <w:tblGrid>
        <w:gridCol w:w="1803"/>
        <w:gridCol w:w="1803"/>
        <w:gridCol w:w="1803"/>
        <w:gridCol w:w="1803"/>
        <w:gridCol w:w="1804"/>
      </w:tblGrid>
      <w:tr w:rsidR="000A35F1" w14:paraId="40DEF1F7" w14:textId="77777777" w:rsidTr="000A35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vMerge w:val="restart"/>
          </w:tcPr>
          <w:p w14:paraId="012B4235" w14:textId="77777777" w:rsidR="000A35F1" w:rsidRDefault="000A35F1" w:rsidP="00777FCE">
            <w:pPr>
              <w:spacing w:line="276" w:lineRule="auto"/>
              <w:jc w:val="center"/>
            </w:pPr>
          </w:p>
          <w:p w14:paraId="2C9CCA67" w14:textId="7397AE03" w:rsidR="000A35F1" w:rsidRDefault="000A35F1" w:rsidP="00777FCE">
            <w:pPr>
              <w:spacing w:line="276" w:lineRule="auto"/>
              <w:jc w:val="center"/>
            </w:pPr>
            <w:r>
              <w:t>Year</w:t>
            </w:r>
          </w:p>
        </w:tc>
        <w:tc>
          <w:tcPr>
            <w:tcW w:w="3606" w:type="dxa"/>
            <w:gridSpan w:val="2"/>
          </w:tcPr>
          <w:p w14:paraId="23398E21" w14:textId="0FB7EF23" w:rsidR="000A35F1" w:rsidRDefault="000A35F1" w:rsidP="00777FCE">
            <w:pPr>
              <w:spacing w:line="276" w:lineRule="auto"/>
              <w:jc w:val="center"/>
              <w:cnfStyle w:val="100000000000" w:firstRow="1" w:lastRow="0" w:firstColumn="0" w:lastColumn="0" w:oddVBand="0" w:evenVBand="0" w:oddHBand="0" w:evenHBand="0" w:firstRowFirstColumn="0" w:firstRowLastColumn="0" w:lastRowFirstColumn="0" w:lastRowLastColumn="0"/>
            </w:pPr>
            <w:r>
              <w:t>Rajasthan</w:t>
            </w:r>
          </w:p>
        </w:tc>
        <w:tc>
          <w:tcPr>
            <w:tcW w:w="3607" w:type="dxa"/>
            <w:gridSpan w:val="2"/>
          </w:tcPr>
          <w:p w14:paraId="27E96BF2" w14:textId="3FD2456E" w:rsidR="000A35F1" w:rsidRDefault="000A35F1" w:rsidP="00777FCE">
            <w:pPr>
              <w:spacing w:line="276" w:lineRule="auto"/>
              <w:jc w:val="center"/>
              <w:cnfStyle w:val="100000000000" w:firstRow="1" w:lastRow="0" w:firstColumn="0" w:lastColumn="0" w:oddVBand="0" w:evenVBand="0" w:oddHBand="0" w:evenHBand="0" w:firstRowFirstColumn="0" w:firstRowLastColumn="0" w:lastRowFirstColumn="0" w:lastRowLastColumn="0"/>
            </w:pPr>
            <w:r>
              <w:t>All India</w:t>
            </w:r>
          </w:p>
        </w:tc>
      </w:tr>
      <w:tr w:rsidR="000A35F1" w14:paraId="0F8F70DB" w14:textId="77777777" w:rsidTr="000A35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vMerge/>
          </w:tcPr>
          <w:p w14:paraId="43F55C68" w14:textId="77777777" w:rsidR="000A35F1" w:rsidRDefault="000A35F1" w:rsidP="00777FCE">
            <w:pPr>
              <w:spacing w:line="276" w:lineRule="auto"/>
              <w:jc w:val="center"/>
            </w:pPr>
          </w:p>
        </w:tc>
        <w:tc>
          <w:tcPr>
            <w:tcW w:w="1803" w:type="dxa"/>
          </w:tcPr>
          <w:p w14:paraId="36E6ED28" w14:textId="532929CA" w:rsidR="000A35F1" w:rsidRDefault="000A35F1"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GSDP</w:t>
            </w:r>
          </w:p>
        </w:tc>
        <w:tc>
          <w:tcPr>
            <w:tcW w:w="1803" w:type="dxa"/>
          </w:tcPr>
          <w:p w14:paraId="5424D62C" w14:textId="62F9D558" w:rsidR="000A35F1" w:rsidRDefault="000A35F1"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Growth over Previous Year (%)</w:t>
            </w:r>
          </w:p>
        </w:tc>
        <w:tc>
          <w:tcPr>
            <w:tcW w:w="1803" w:type="dxa"/>
          </w:tcPr>
          <w:p w14:paraId="24392A22" w14:textId="006062DF" w:rsidR="000A35F1" w:rsidRDefault="000A35F1"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GDP</w:t>
            </w:r>
          </w:p>
        </w:tc>
        <w:tc>
          <w:tcPr>
            <w:tcW w:w="1804" w:type="dxa"/>
          </w:tcPr>
          <w:p w14:paraId="40120D27" w14:textId="59D0EF78" w:rsidR="000A35F1" w:rsidRDefault="000A35F1"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Growth over Previous Year (%)</w:t>
            </w:r>
          </w:p>
        </w:tc>
      </w:tr>
      <w:tr w:rsidR="00B33C60" w14:paraId="6825875B" w14:textId="77777777" w:rsidTr="000A35F1">
        <w:tc>
          <w:tcPr>
            <w:cnfStyle w:val="001000000000" w:firstRow="0" w:lastRow="0" w:firstColumn="1" w:lastColumn="0" w:oddVBand="0" w:evenVBand="0" w:oddHBand="0" w:evenHBand="0" w:firstRowFirstColumn="0" w:firstRowLastColumn="0" w:lastRowFirstColumn="0" w:lastRowLastColumn="0"/>
            <w:tcW w:w="1803" w:type="dxa"/>
          </w:tcPr>
          <w:p w14:paraId="0CE93350" w14:textId="7D967887" w:rsidR="00B33C60" w:rsidRDefault="00B33C60" w:rsidP="00777FCE">
            <w:pPr>
              <w:spacing w:line="276" w:lineRule="auto"/>
              <w:jc w:val="center"/>
            </w:pPr>
            <w:r>
              <w:t>2011-12</w:t>
            </w:r>
          </w:p>
        </w:tc>
        <w:tc>
          <w:tcPr>
            <w:tcW w:w="1803" w:type="dxa"/>
          </w:tcPr>
          <w:p w14:paraId="69624EEA" w14:textId="23FC8369" w:rsidR="00B33C60" w:rsidRDefault="00B33C60"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rsidRPr="00B33C60">
              <w:t>4</w:t>
            </w:r>
            <w:r>
              <w:t>,</w:t>
            </w:r>
            <w:r w:rsidRPr="00B33C60">
              <w:t>34</w:t>
            </w:r>
            <w:r>
              <w:t>,</w:t>
            </w:r>
            <w:r w:rsidRPr="00B33C60">
              <w:t>837</w:t>
            </w:r>
          </w:p>
        </w:tc>
        <w:tc>
          <w:tcPr>
            <w:tcW w:w="1803" w:type="dxa"/>
          </w:tcPr>
          <w:p w14:paraId="7B7A5274" w14:textId="77777777" w:rsidR="00B33C60" w:rsidRDefault="00B33C60" w:rsidP="00777FCE">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1803" w:type="dxa"/>
          </w:tcPr>
          <w:p w14:paraId="1EBA181D" w14:textId="13BB890B" w:rsidR="00B33C60" w:rsidRDefault="00B33C60"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rsidRPr="00B33C60">
              <w:t>87</w:t>
            </w:r>
            <w:r>
              <w:t>,</w:t>
            </w:r>
            <w:r w:rsidRPr="00B33C60">
              <w:t>36</w:t>
            </w:r>
            <w:r>
              <w:t>,</w:t>
            </w:r>
            <w:r w:rsidRPr="00B33C60">
              <w:t>329</w:t>
            </w:r>
          </w:p>
        </w:tc>
        <w:tc>
          <w:tcPr>
            <w:tcW w:w="1804" w:type="dxa"/>
          </w:tcPr>
          <w:p w14:paraId="643BE0A2" w14:textId="77777777" w:rsidR="00B33C60" w:rsidRDefault="00B33C60" w:rsidP="00777FCE">
            <w:pPr>
              <w:spacing w:line="276" w:lineRule="auto"/>
              <w:jc w:val="center"/>
              <w:cnfStyle w:val="000000000000" w:firstRow="0" w:lastRow="0" w:firstColumn="0" w:lastColumn="0" w:oddVBand="0" w:evenVBand="0" w:oddHBand="0" w:evenHBand="0" w:firstRowFirstColumn="0" w:firstRowLastColumn="0" w:lastRowFirstColumn="0" w:lastRowLastColumn="0"/>
            </w:pPr>
          </w:p>
        </w:tc>
      </w:tr>
      <w:tr w:rsidR="00B33C60" w14:paraId="40A933B6" w14:textId="77777777" w:rsidTr="000A35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02C6AC77" w14:textId="3F5BA8F8" w:rsidR="00B33C60" w:rsidRDefault="00B33C60" w:rsidP="00777FCE">
            <w:pPr>
              <w:spacing w:line="276" w:lineRule="auto"/>
              <w:jc w:val="center"/>
            </w:pPr>
            <w:r>
              <w:t>2012-13</w:t>
            </w:r>
          </w:p>
        </w:tc>
        <w:tc>
          <w:tcPr>
            <w:tcW w:w="1803" w:type="dxa"/>
          </w:tcPr>
          <w:p w14:paraId="1AD3151E" w14:textId="1CDABAA9" w:rsidR="00B33C60" w:rsidRDefault="00B33C60"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rsidRPr="00B33C60">
              <w:t>4</w:t>
            </w:r>
            <w:r>
              <w:t>,</w:t>
            </w:r>
            <w:r w:rsidRPr="00B33C60">
              <w:t>54</w:t>
            </w:r>
            <w:r>
              <w:t>,</w:t>
            </w:r>
            <w:r w:rsidRPr="00B33C60">
              <w:t>564</w:t>
            </w:r>
          </w:p>
        </w:tc>
        <w:tc>
          <w:tcPr>
            <w:tcW w:w="1803" w:type="dxa"/>
          </w:tcPr>
          <w:p w14:paraId="2EDDE91B" w14:textId="7D885593" w:rsidR="00B33C60" w:rsidRDefault="00B33C60"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4.54</w:t>
            </w:r>
          </w:p>
        </w:tc>
        <w:tc>
          <w:tcPr>
            <w:tcW w:w="1803" w:type="dxa"/>
          </w:tcPr>
          <w:p w14:paraId="12448D0C" w14:textId="365BD94F" w:rsidR="00B33C60" w:rsidRDefault="00B33C60"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rsidRPr="00B33C60">
              <w:t>92</w:t>
            </w:r>
            <w:r>
              <w:t>,</w:t>
            </w:r>
            <w:r w:rsidRPr="00B33C60">
              <w:t>13</w:t>
            </w:r>
            <w:r>
              <w:t>,</w:t>
            </w:r>
            <w:r w:rsidRPr="00B33C60">
              <w:t>017</w:t>
            </w:r>
          </w:p>
        </w:tc>
        <w:tc>
          <w:tcPr>
            <w:tcW w:w="1804" w:type="dxa"/>
          </w:tcPr>
          <w:p w14:paraId="6AE3CFD6" w14:textId="2C0F8CF3" w:rsidR="00B33C60" w:rsidRDefault="00B33C60"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5.5</w:t>
            </w:r>
          </w:p>
        </w:tc>
      </w:tr>
      <w:tr w:rsidR="00B33C60" w14:paraId="61E0C300" w14:textId="77777777" w:rsidTr="000A35F1">
        <w:tc>
          <w:tcPr>
            <w:cnfStyle w:val="001000000000" w:firstRow="0" w:lastRow="0" w:firstColumn="1" w:lastColumn="0" w:oddVBand="0" w:evenVBand="0" w:oddHBand="0" w:evenHBand="0" w:firstRowFirstColumn="0" w:firstRowLastColumn="0" w:lastRowFirstColumn="0" w:lastRowLastColumn="0"/>
            <w:tcW w:w="1803" w:type="dxa"/>
          </w:tcPr>
          <w:p w14:paraId="3631A768" w14:textId="2420E819" w:rsidR="00B33C60" w:rsidRDefault="00B33C60" w:rsidP="00777FCE">
            <w:pPr>
              <w:spacing w:line="276" w:lineRule="auto"/>
              <w:jc w:val="center"/>
            </w:pPr>
            <w:r>
              <w:t>2013-14</w:t>
            </w:r>
          </w:p>
        </w:tc>
        <w:tc>
          <w:tcPr>
            <w:tcW w:w="1803" w:type="dxa"/>
          </w:tcPr>
          <w:p w14:paraId="29F015E7" w14:textId="0AB61DB9" w:rsidR="00B33C60" w:rsidRDefault="00B33C60"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rsidRPr="00B33C60">
              <w:t>4</w:t>
            </w:r>
            <w:r>
              <w:t>,</w:t>
            </w:r>
            <w:r w:rsidRPr="00B33C60">
              <w:t>86</w:t>
            </w:r>
            <w:r>
              <w:t>,</w:t>
            </w:r>
            <w:r w:rsidRPr="00B33C60">
              <w:t>230</w:t>
            </w:r>
          </w:p>
        </w:tc>
        <w:tc>
          <w:tcPr>
            <w:tcW w:w="1803" w:type="dxa"/>
          </w:tcPr>
          <w:p w14:paraId="7A84FF94" w14:textId="5B9C4C00" w:rsidR="00B33C60" w:rsidRDefault="00B33C60"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t>6.97</w:t>
            </w:r>
          </w:p>
        </w:tc>
        <w:tc>
          <w:tcPr>
            <w:tcW w:w="1803" w:type="dxa"/>
          </w:tcPr>
          <w:p w14:paraId="5B4DC79A" w14:textId="7CAC7041" w:rsidR="00B33C60" w:rsidRDefault="00B33C60"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rsidRPr="00B33C60">
              <w:t>98</w:t>
            </w:r>
            <w:r>
              <w:t>,</w:t>
            </w:r>
            <w:r w:rsidRPr="00B33C60">
              <w:t>01</w:t>
            </w:r>
            <w:r>
              <w:t>,</w:t>
            </w:r>
            <w:r w:rsidRPr="00B33C60">
              <w:t>370</w:t>
            </w:r>
          </w:p>
        </w:tc>
        <w:tc>
          <w:tcPr>
            <w:tcW w:w="1804" w:type="dxa"/>
          </w:tcPr>
          <w:p w14:paraId="51EF3C15" w14:textId="41BFFD42" w:rsidR="00B33C60" w:rsidRDefault="00B33C60"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t>6.4</w:t>
            </w:r>
          </w:p>
        </w:tc>
      </w:tr>
      <w:tr w:rsidR="00B33C60" w14:paraId="61479595" w14:textId="77777777" w:rsidTr="000A35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06A5BAE2" w14:textId="672C4739" w:rsidR="00B33C60" w:rsidRDefault="00B33C60" w:rsidP="00777FCE">
            <w:pPr>
              <w:spacing w:line="276" w:lineRule="auto"/>
              <w:jc w:val="center"/>
            </w:pPr>
            <w:r>
              <w:t>2014-15</w:t>
            </w:r>
          </w:p>
        </w:tc>
        <w:tc>
          <w:tcPr>
            <w:tcW w:w="1803" w:type="dxa"/>
          </w:tcPr>
          <w:p w14:paraId="1EFF2873" w14:textId="7A2F9621" w:rsidR="00B33C60" w:rsidRDefault="00B33C60"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rsidRPr="00B33C60">
              <w:t>5</w:t>
            </w:r>
            <w:r>
              <w:t>,</w:t>
            </w:r>
            <w:r w:rsidRPr="00B33C60">
              <w:t>21</w:t>
            </w:r>
            <w:r>
              <w:t>,</w:t>
            </w:r>
            <w:r w:rsidRPr="00B33C60">
              <w:t>509</w:t>
            </w:r>
          </w:p>
        </w:tc>
        <w:tc>
          <w:tcPr>
            <w:tcW w:w="1803" w:type="dxa"/>
          </w:tcPr>
          <w:p w14:paraId="3DBF8E08" w14:textId="489F295A" w:rsidR="00B33C60" w:rsidRDefault="00B33C60"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7.26</w:t>
            </w:r>
          </w:p>
        </w:tc>
        <w:tc>
          <w:tcPr>
            <w:tcW w:w="1803" w:type="dxa"/>
          </w:tcPr>
          <w:p w14:paraId="78B8A2F8" w14:textId="3F48CC3F" w:rsidR="00B33C60" w:rsidRDefault="00B33C60"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rsidRPr="00B33C60">
              <w:t>1</w:t>
            </w:r>
            <w:r>
              <w:t>,</w:t>
            </w:r>
            <w:r w:rsidRPr="00B33C60">
              <w:t>05</w:t>
            </w:r>
            <w:r>
              <w:t>,</w:t>
            </w:r>
            <w:r w:rsidRPr="00B33C60">
              <w:t>27</w:t>
            </w:r>
            <w:r>
              <w:t>,</w:t>
            </w:r>
            <w:r w:rsidRPr="00B33C60">
              <w:t>674</w:t>
            </w:r>
          </w:p>
        </w:tc>
        <w:tc>
          <w:tcPr>
            <w:tcW w:w="1804" w:type="dxa"/>
          </w:tcPr>
          <w:p w14:paraId="5E50EAAB" w14:textId="52C79416" w:rsidR="00B33C60" w:rsidRDefault="00B33C60"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7.4</w:t>
            </w:r>
          </w:p>
        </w:tc>
      </w:tr>
      <w:tr w:rsidR="00B33C60" w14:paraId="1D0CB819" w14:textId="77777777" w:rsidTr="000A35F1">
        <w:tc>
          <w:tcPr>
            <w:cnfStyle w:val="001000000000" w:firstRow="0" w:lastRow="0" w:firstColumn="1" w:lastColumn="0" w:oddVBand="0" w:evenVBand="0" w:oddHBand="0" w:evenHBand="0" w:firstRowFirstColumn="0" w:firstRowLastColumn="0" w:lastRowFirstColumn="0" w:lastRowLastColumn="0"/>
            <w:tcW w:w="1803" w:type="dxa"/>
          </w:tcPr>
          <w:p w14:paraId="124271D0" w14:textId="6AA74B54" w:rsidR="00B33C60" w:rsidRDefault="00B33C60" w:rsidP="00777FCE">
            <w:pPr>
              <w:spacing w:line="276" w:lineRule="auto"/>
              <w:jc w:val="center"/>
            </w:pPr>
            <w:r>
              <w:t>2015-16</w:t>
            </w:r>
          </w:p>
        </w:tc>
        <w:tc>
          <w:tcPr>
            <w:tcW w:w="1803" w:type="dxa"/>
          </w:tcPr>
          <w:p w14:paraId="1A14F5A2" w14:textId="136F52B2" w:rsidR="00B33C60" w:rsidRDefault="00B33C60"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rsidRPr="00B33C60">
              <w:t>5</w:t>
            </w:r>
            <w:r>
              <w:t>,</w:t>
            </w:r>
            <w:r w:rsidRPr="00B33C60">
              <w:t>63</w:t>
            </w:r>
            <w:r>
              <w:t>,</w:t>
            </w:r>
            <w:r w:rsidRPr="00B33C60">
              <w:t>340</w:t>
            </w:r>
          </w:p>
        </w:tc>
        <w:tc>
          <w:tcPr>
            <w:tcW w:w="1803" w:type="dxa"/>
          </w:tcPr>
          <w:p w14:paraId="311FFCC1" w14:textId="716249BC" w:rsidR="00B33C60" w:rsidRDefault="00B33C60"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t>8.02</w:t>
            </w:r>
          </w:p>
        </w:tc>
        <w:tc>
          <w:tcPr>
            <w:tcW w:w="1803" w:type="dxa"/>
          </w:tcPr>
          <w:p w14:paraId="333034BB" w14:textId="66D06706" w:rsidR="00B33C60" w:rsidRDefault="00B33C60"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rsidRPr="00B33C60">
              <w:t>1</w:t>
            </w:r>
            <w:r>
              <w:t>,</w:t>
            </w:r>
            <w:r w:rsidRPr="00B33C60">
              <w:t>13</w:t>
            </w:r>
            <w:r>
              <w:t>,</w:t>
            </w:r>
            <w:r w:rsidRPr="00B33C60">
              <w:t>69</w:t>
            </w:r>
            <w:r>
              <w:t>,</w:t>
            </w:r>
            <w:r w:rsidRPr="00B33C60">
              <w:t>493</w:t>
            </w:r>
          </w:p>
        </w:tc>
        <w:tc>
          <w:tcPr>
            <w:tcW w:w="1804" w:type="dxa"/>
          </w:tcPr>
          <w:p w14:paraId="5B63C1C0" w14:textId="5BD67B06" w:rsidR="00B33C60" w:rsidRDefault="00B33C60"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t>8.0</w:t>
            </w:r>
          </w:p>
        </w:tc>
      </w:tr>
      <w:tr w:rsidR="00B33C60" w14:paraId="50E219E0" w14:textId="77777777" w:rsidTr="000A35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0BFF464A" w14:textId="5B32F91D" w:rsidR="00B33C60" w:rsidRDefault="00B33C60" w:rsidP="00777FCE">
            <w:pPr>
              <w:spacing w:line="276" w:lineRule="auto"/>
              <w:jc w:val="center"/>
            </w:pPr>
            <w:r>
              <w:t>2016-17</w:t>
            </w:r>
          </w:p>
        </w:tc>
        <w:tc>
          <w:tcPr>
            <w:tcW w:w="1803" w:type="dxa"/>
          </w:tcPr>
          <w:p w14:paraId="5B3848FE" w14:textId="70329D04" w:rsidR="00B33C60" w:rsidRDefault="00B33C60"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rsidRPr="00B33C60">
              <w:t>5</w:t>
            </w:r>
            <w:r>
              <w:t>,</w:t>
            </w:r>
            <w:r w:rsidRPr="00B33C60">
              <w:t>96</w:t>
            </w:r>
            <w:r>
              <w:t>,</w:t>
            </w:r>
            <w:r w:rsidRPr="00B33C60">
              <w:t>746</w:t>
            </w:r>
          </w:p>
        </w:tc>
        <w:tc>
          <w:tcPr>
            <w:tcW w:w="1803" w:type="dxa"/>
          </w:tcPr>
          <w:p w14:paraId="19551663" w14:textId="3431BF40" w:rsidR="00B33C60" w:rsidRDefault="00B33C60"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5.93</w:t>
            </w:r>
          </w:p>
        </w:tc>
        <w:tc>
          <w:tcPr>
            <w:tcW w:w="1803" w:type="dxa"/>
          </w:tcPr>
          <w:p w14:paraId="70488CD5" w14:textId="640D3EB9" w:rsidR="00B33C60" w:rsidRDefault="00B33C60"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rsidRPr="00B33C60">
              <w:t>1</w:t>
            </w:r>
            <w:r>
              <w:t>,</w:t>
            </w:r>
            <w:r w:rsidRPr="00B33C60">
              <w:t>23</w:t>
            </w:r>
            <w:r>
              <w:t>,</w:t>
            </w:r>
            <w:r w:rsidRPr="00B33C60">
              <w:t>08</w:t>
            </w:r>
            <w:r>
              <w:t>,</w:t>
            </w:r>
            <w:r w:rsidRPr="00B33C60">
              <w:t>193</w:t>
            </w:r>
          </w:p>
        </w:tc>
        <w:tc>
          <w:tcPr>
            <w:tcW w:w="1804" w:type="dxa"/>
          </w:tcPr>
          <w:p w14:paraId="2A4FC26A" w14:textId="3BBAEC49" w:rsidR="00B33C60" w:rsidRDefault="00B33C60"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8.3</w:t>
            </w:r>
          </w:p>
        </w:tc>
      </w:tr>
      <w:tr w:rsidR="00B33C60" w14:paraId="0E6D92B7" w14:textId="77777777" w:rsidTr="000A35F1">
        <w:tc>
          <w:tcPr>
            <w:cnfStyle w:val="001000000000" w:firstRow="0" w:lastRow="0" w:firstColumn="1" w:lastColumn="0" w:oddVBand="0" w:evenVBand="0" w:oddHBand="0" w:evenHBand="0" w:firstRowFirstColumn="0" w:firstRowLastColumn="0" w:lastRowFirstColumn="0" w:lastRowLastColumn="0"/>
            <w:tcW w:w="1803" w:type="dxa"/>
          </w:tcPr>
          <w:p w14:paraId="7464C7CC" w14:textId="765E8231" w:rsidR="00B33C60" w:rsidRDefault="00B33C60" w:rsidP="00777FCE">
            <w:pPr>
              <w:spacing w:line="276" w:lineRule="auto"/>
              <w:jc w:val="center"/>
            </w:pPr>
            <w:r>
              <w:t>2017-18</w:t>
            </w:r>
          </w:p>
        </w:tc>
        <w:tc>
          <w:tcPr>
            <w:tcW w:w="1803" w:type="dxa"/>
          </w:tcPr>
          <w:p w14:paraId="5951DF7C" w14:textId="3A9B6848" w:rsidR="00B33C60" w:rsidRDefault="00473628"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t>6,28,020</w:t>
            </w:r>
          </w:p>
        </w:tc>
        <w:tc>
          <w:tcPr>
            <w:tcW w:w="1803" w:type="dxa"/>
          </w:tcPr>
          <w:p w14:paraId="34F773FC" w14:textId="144D4751" w:rsidR="00B33C60" w:rsidRDefault="00B33C60"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t>5.24</w:t>
            </w:r>
          </w:p>
        </w:tc>
        <w:tc>
          <w:tcPr>
            <w:tcW w:w="1803" w:type="dxa"/>
          </w:tcPr>
          <w:p w14:paraId="14295F85" w14:textId="6B2C2E79" w:rsidR="00B33C60" w:rsidRDefault="00B33C60"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rsidRPr="00B33C60">
              <w:t>1</w:t>
            </w:r>
            <w:r>
              <w:t>,</w:t>
            </w:r>
            <w:r w:rsidRPr="00B33C60">
              <w:t>31</w:t>
            </w:r>
            <w:r>
              <w:t>,</w:t>
            </w:r>
            <w:r w:rsidRPr="00B33C60">
              <w:t>44</w:t>
            </w:r>
            <w:r>
              <w:t>,</w:t>
            </w:r>
            <w:r w:rsidRPr="00B33C60">
              <w:t>582</w:t>
            </w:r>
          </w:p>
        </w:tc>
        <w:tc>
          <w:tcPr>
            <w:tcW w:w="1804" w:type="dxa"/>
          </w:tcPr>
          <w:p w14:paraId="1242240C" w14:textId="6E926B7B" w:rsidR="00B33C60" w:rsidRDefault="00B33C60"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t>6.8</w:t>
            </w:r>
          </w:p>
        </w:tc>
      </w:tr>
      <w:tr w:rsidR="00B33C60" w14:paraId="7BDD2F85" w14:textId="77777777" w:rsidTr="000A35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3C9B15D4" w14:textId="04073518" w:rsidR="00B33C60" w:rsidRDefault="00B33C60" w:rsidP="00777FCE">
            <w:pPr>
              <w:spacing w:line="276" w:lineRule="auto"/>
              <w:jc w:val="center"/>
            </w:pPr>
            <w:r>
              <w:t>2018-19</w:t>
            </w:r>
          </w:p>
        </w:tc>
        <w:tc>
          <w:tcPr>
            <w:tcW w:w="1803" w:type="dxa"/>
          </w:tcPr>
          <w:p w14:paraId="24A1361E" w14:textId="4622EC91" w:rsidR="00B33C60" w:rsidRDefault="00B33C60"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rsidRPr="00B33C60">
              <w:t>6</w:t>
            </w:r>
            <w:r>
              <w:t>,</w:t>
            </w:r>
            <w:r w:rsidRPr="00B33C60">
              <w:t>43</w:t>
            </w:r>
            <w:r>
              <w:t>,</w:t>
            </w:r>
            <w:r w:rsidRPr="00B33C60">
              <w:t>278</w:t>
            </w:r>
          </w:p>
        </w:tc>
        <w:tc>
          <w:tcPr>
            <w:tcW w:w="1803" w:type="dxa"/>
          </w:tcPr>
          <w:p w14:paraId="57A5D70B" w14:textId="34202BF8" w:rsidR="00B33C60" w:rsidRDefault="00B33C60"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2.43</w:t>
            </w:r>
          </w:p>
        </w:tc>
        <w:tc>
          <w:tcPr>
            <w:tcW w:w="1803" w:type="dxa"/>
          </w:tcPr>
          <w:p w14:paraId="1037990A" w14:textId="18FFCE0C" w:rsidR="00B33C60" w:rsidRDefault="00B33C60"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rsidRPr="00B33C60">
              <w:t>1</w:t>
            </w:r>
            <w:r>
              <w:t>,</w:t>
            </w:r>
            <w:r w:rsidRPr="00B33C60">
              <w:t>39</w:t>
            </w:r>
            <w:r>
              <w:t>,</w:t>
            </w:r>
            <w:r w:rsidRPr="00B33C60">
              <w:t>92</w:t>
            </w:r>
            <w:r>
              <w:t>,</w:t>
            </w:r>
            <w:r w:rsidRPr="00B33C60">
              <w:t>914</w:t>
            </w:r>
          </w:p>
        </w:tc>
        <w:tc>
          <w:tcPr>
            <w:tcW w:w="1804" w:type="dxa"/>
          </w:tcPr>
          <w:p w14:paraId="3FF6D885" w14:textId="40D5BDAF" w:rsidR="00B33C60" w:rsidRDefault="00B33C60"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6.5</w:t>
            </w:r>
          </w:p>
        </w:tc>
      </w:tr>
      <w:tr w:rsidR="00B33C60" w14:paraId="3BED7507" w14:textId="77777777" w:rsidTr="000A35F1">
        <w:tc>
          <w:tcPr>
            <w:cnfStyle w:val="001000000000" w:firstRow="0" w:lastRow="0" w:firstColumn="1" w:lastColumn="0" w:oddVBand="0" w:evenVBand="0" w:oddHBand="0" w:evenHBand="0" w:firstRowFirstColumn="0" w:firstRowLastColumn="0" w:lastRowFirstColumn="0" w:lastRowLastColumn="0"/>
            <w:tcW w:w="1803" w:type="dxa"/>
          </w:tcPr>
          <w:p w14:paraId="72EAF257" w14:textId="16FC7B60" w:rsidR="00B33C60" w:rsidRDefault="00B33C60" w:rsidP="00777FCE">
            <w:pPr>
              <w:spacing w:line="276" w:lineRule="auto"/>
              <w:jc w:val="center"/>
            </w:pPr>
            <w:r>
              <w:t>2019-20</w:t>
            </w:r>
          </w:p>
        </w:tc>
        <w:tc>
          <w:tcPr>
            <w:tcW w:w="1803" w:type="dxa"/>
          </w:tcPr>
          <w:p w14:paraId="3A5FE293" w14:textId="44DA4679" w:rsidR="00B33C60" w:rsidRDefault="00B33C60"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rsidRPr="00B33C60">
              <w:t>6</w:t>
            </w:r>
            <w:r>
              <w:t>,</w:t>
            </w:r>
            <w:r w:rsidRPr="00B33C60">
              <w:t>76</w:t>
            </w:r>
            <w:r>
              <w:t>,</w:t>
            </w:r>
            <w:r w:rsidRPr="00B33C60">
              <w:t>785</w:t>
            </w:r>
          </w:p>
        </w:tc>
        <w:tc>
          <w:tcPr>
            <w:tcW w:w="1803" w:type="dxa"/>
          </w:tcPr>
          <w:p w14:paraId="0B83FBB2" w14:textId="6EE13903" w:rsidR="00B33C60" w:rsidRDefault="00B33C60"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t>5.21</w:t>
            </w:r>
          </w:p>
        </w:tc>
        <w:tc>
          <w:tcPr>
            <w:tcW w:w="1803" w:type="dxa"/>
          </w:tcPr>
          <w:p w14:paraId="615B8A6B" w14:textId="28906007" w:rsidR="00B33C60" w:rsidRDefault="00B33C60"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rsidRPr="00B33C60">
              <w:t>1</w:t>
            </w:r>
            <w:r>
              <w:t>,</w:t>
            </w:r>
            <w:r w:rsidRPr="00B33C60">
              <w:t>45</w:t>
            </w:r>
            <w:r>
              <w:t>,</w:t>
            </w:r>
            <w:r w:rsidRPr="00B33C60">
              <w:t>34</w:t>
            </w:r>
            <w:r>
              <w:t>,</w:t>
            </w:r>
            <w:r w:rsidRPr="00B33C60">
              <w:t>641</w:t>
            </w:r>
          </w:p>
        </w:tc>
        <w:tc>
          <w:tcPr>
            <w:tcW w:w="1804" w:type="dxa"/>
          </w:tcPr>
          <w:p w14:paraId="0FDA11E7" w14:textId="12141315" w:rsidR="00B33C60" w:rsidRDefault="00B33C60"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t>3.9</w:t>
            </w:r>
          </w:p>
        </w:tc>
      </w:tr>
      <w:tr w:rsidR="00B33C60" w14:paraId="3953524A" w14:textId="77777777" w:rsidTr="000A35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0A0D9CCE" w14:textId="2548B5EB" w:rsidR="00B33C60" w:rsidRDefault="00B33C60" w:rsidP="00777FCE">
            <w:pPr>
              <w:spacing w:line="276" w:lineRule="auto"/>
              <w:jc w:val="center"/>
            </w:pPr>
            <w:r>
              <w:t>2020-21</w:t>
            </w:r>
          </w:p>
        </w:tc>
        <w:tc>
          <w:tcPr>
            <w:tcW w:w="1803" w:type="dxa"/>
          </w:tcPr>
          <w:p w14:paraId="4745474E" w14:textId="04CE7AF5" w:rsidR="00B33C60" w:rsidRDefault="00B33C60"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rsidRPr="00B33C60">
              <w:t>6</w:t>
            </w:r>
            <w:r>
              <w:t>,</w:t>
            </w:r>
            <w:r w:rsidRPr="00B33C60">
              <w:t>63</w:t>
            </w:r>
            <w:r>
              <w:t>,</w:t>
            </w:r>
            <w:r w:rsidRPr="00B33C60">
              <w:t>515</w:t>
            </w:r>
          </w:p>
        </w:tc>
        <w:tc>
          <w:tcPr>
            <w:tcW w:w="1803" w:type="dxa"/>
          </w:tcPr>
          <w:p w14:paraId="47CD4537" w14:textId="45A38418" w:rsidR="00B33C60" w:rsidRDefault="00B33C60"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-1.96</w:t>
            </w:r>
          </w:p>
        </w:tc>
        <w:tc>
          <w:tcPr>
            <w:tcW w:w="1803" w:type="dxa"/>
          </w:tcPr>
          <w:p w14:paraId="28E52C91" w14:textId="45C0B2D3" w:rsidR="00B33C60" w:rsidRDefault="00B33C60"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rsidRPr="00B33C60">
              <w:t>1</w:t>
            </w:r>
            <w:r>
              <w:t>,</w:t>
            </w:r>
            <w:r w:rsidRPr="00B33C60">
              <w:t>36</w:t>
            </w:r>
            <w:r>
              <w:t>,</w:t>
            </w:r>
            <w:r w:rsidRPr="00B33C60">
              <w:t>87</w:t>
            </w:r>
            <w:r>
              <w:t>,</w:t>
            </w:r>
            <w:r w:rsidRPr="00B33C60">
              <w:t>118</w:t>
            </w:r>
          </w:p>
        </w:tc>
        <w:tc>
          <w:tcPr>
            <w:tcW w:w="1804" w:type="dxa"/>
          </w:tcPr>
          <w:p w14:paraId="7AEB8B7E" w14:textId="093CB984" w:rsidR="00B33C60" w:rsidRDefault="00B33C60"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-5.8</w:t>
            </w:r>
          </w:p>
        </w:tc>
      </w:tr>
      <w:tr w:rsidR="00B33C60" w14:paraId="22751F37" w14:textId="77777777" w:rsidTr="000A35F1">
        <w:tc>
          <w:tcPr>
            <w:cnfStyle w:val="001000000000" w:firstRow="0" w:lastRow="0" w:firstColumn="1" w:lastColumn="0" w:oddVBand="0" w:evenVBand="0" w:oddHBand="0" w:evenHBand="0" w:firstRowFirstColumn="0" w:firstRowLastColumn="0" w:lastRowFirstColumn="0" w:lastRowLastColumn="0"/>
            <w:tcW w:w="1803" w:type="dxa"/>
          </w:tcPr>
          <w:p w14:paraId="2A27C55E" w14:textId="0D5E3E17" w:rsidR="00B33C60" w:rsidRDefault="00B33C60" w:rsidP="00777FCE">
            <w:pPr>
              <w:spacing w:line="276" w:lineRule="auto"/>
              <w:jc w:val="center"/>
            </w:pPr>
            <w:r>
              <w:t>2021-22</w:t>
            </w:r>
          </w:p>
        </w:tc>
        <w:tc>
          <w:tcPr>
            <w:tcW w:w="1803" w:type="dxa"/>
          </w:tcPr>
          <w:p w14:paraId="52CB8302" w14:textId="004FCB2B" w:rsidR="00B33C60" w:rsidRDefault="00B33C60"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rsidRPr="00B33C60">
              <w:t>7</w:t>
            </w:r>
            <w:r>
              <w:t>,</w:t>
            </w:r>
            <w:r w:rsidRPr="00B33C60">
              <w:t>38</w:t>
            </w:r>
            <w:r>
              <w:t>,</w:t>
            </w:r>
            <w:r w:rsidRPr="00B33C60">
              <w:t>922</w:t>
            </w:r>
          </w:p>
        </w:tc>
        <w:tc>
          <w:tcPr>
            <w:tcW w:w="1803" w:type="dxa"/>
          </w:tcPr>
          <w:p w14:paraId="646DD817" w14:textId="22D9079C" w:rsidR="00B33C60" w:rsidRDefault="00B33C60"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t>11.36</w:t>
            </w:r>
          </w:p>
        </w:tc>
        <w:tc>
          <w:tcPr>
            <w:tcW w:w="1803" w:type="dxa"/>
          </w:tcPr>
          <w:p w14:paraId="6507C790" w14:textId="0C993108" w:rsidR="00B33C60" w:rsidRDefault="00B33C60"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rsidRPr="00B33C60">
              <w:t>1</w:t>
            </w:r>
            <w:r>
              <w:t>,</w:t>
            </w:r>
            <w:r w:rsidRPr="00B33C60">
              <w:t>49</w:t>
            </w:r>
            <w:r>
              <w:t>,</w:t>
            </w:r>
            <w:r w:rsidRPr="00B33C60">
              <w:t>25</w:t>
            </w:r>
            <w:r>
              <w:t>,</w:t>
            </w:r>
            <w:r w:rsidRPr="00B33C60">
              <w:t>840</w:t>
            </w:r>
          </w:p>
        </w:tc>
        <w:tc>
          <w:tcPr>
            <w:tcW w:w="1804" w:type="dxa"/>
          </w:tcPr>
          <w:p w14:paraId="767FDE03" w14:textId="27852795" w:rsidR="00B33C60" w:rsidRDefault="00B33C60"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t>9.1</w:t>
            </w:r>
          </w:p>
        </w:tc>
      </w:tr>
      <w:tr w:rsidR="00B33C60" w14:paraId="4C6C45A9" w14:textId="77777777" w:rsidTr="000A35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606B3F04" w14:textId="05DCE8CE" w:rsidR="00B33C60" w:rsidRDefault="00B33C60" w:rsidP="00777FCE">
            <w:pPr>
              <w:spacing w:line="276" w:lineRule="auto"/>
              <w:jc w:val="center"/>
            </w:pPr>
            <w:r>
              <w:t>2022-23</w:t>
            </w:r>
          </w:p>
        </w:tc>
        <w:tc>
          <w:tcPr>
            <w:tcW w:w="1803" w:type="dxa"/>
          </w:tcPr>
          <w:p w14:paraId="0D5D710C" w14:textId="1031F303" w:rsidR="00B33C60" w:rsidRDefault="00B33C60"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rsidRPr="00B33C60">
              <w:t>7</w:t>
            </w:r>
            <w:r>
              <w:t>,</w:t>
            </w:r>
            <w:r w:rsidRPr="00B33C60">
              <w:t>99</w:t>
            </w:r>
            <w:r>
              <w:t>,</w:t>
            </w:r>
            <w:r w:rsidRPr="00B33C60">
              <w:t>449</w:t>
            </w:r>
          </w:p>
        </w:tc>
        <w:tc>
          <w:tcPr>
            <w:tcW w:w="1803" w:type="dxa"/>
          </w:tcPr>
          <w:p w14:paraId="54C67EBF" w14:textId="4532A155" w:rsidR="00B33C60" w:rsidRDefault="00B33C60"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8.19</w:t>
            </w:r>
          </w:p>
        </w:tc>
        <w:tc>
          <w:tcPr>
            <w:tcW w:w="1803" w:type="dxa"/>
          </w:tcPr>
          <w:p w14:paraId="5DF957BA" w14:textId="6BFAB45B" w:rsidR="00B33C60" w:rsidRDefault="00B33C60"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rsidRPr="00B33C60">
              <w:t>1</w:t>
            </w:r>
            <w:r>
              <w:t>,</w:t>
            </w:r>
            <w:r w:rsidRPr="00B33C60">
              <w:t>60</w:t>
            </w:r>
            <w:r>
              <w:t>,</w:t>
            </w:r>
            <w:r w:rsidRPr="00B33C60">
              <w:t>06</w:t>
            </w:r>
            <w:r>
              <w:t>,</w:t>
            </w:r>
            <w:r w:rsidRPr="00B33C60">
              <w:t>425</w:t>
            </w:r>
          </w:p>
        </w:tc>
        <w:tc>
          <w:tcPr>
            <w:tcW w:w="1804" w:type="dxa"/>
          </w:tcPr>
          <w:p w14:paraId="41A75B74" w14:textId="7DCD31B0" w:rsidR="00B33C60" w:rsidRDefault="00B33C60"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7.2</w:t>
            </w:r>
          </w:p>
        </w:tc>
      </w:tr>
    </w:tbl>
    <w:p w14:paraId="164D9A4E" w14:textId="4752CE5C" w:rsidR="002C4DCA" w:rsidRPr="002C4DCA" w:rsidRDefault="000A35F1" w:rsidP="00777FCE">
      <w:pPr>
        <w:spacing w:line="276" w:lineRule="auto"/>
        <w:jc w:val="both"/>
        <w:rPr>
          <w:sz w:val="20"/>
          <w:szCs w:val="20"/>
        </w:rPr>
      </w:pPr>
      <w:r w:rsidRPr="004A418D">
        <w:rPr>
          <w:sz w:val="20"/>
          <w:szCs w:val="20"/>
        </w:rPr>
        <w:t>Source:</w:t>
      </w:r>
      <w:r w:rsidR="00362709">
        <w:rPr>
          <w:sz w:val="20"/>
          <w:szCs w:val="20"/>
        </w:rPr>
        <w:t xml:space="preserve"> </w:t>
      </w:r>
      <w:r w:rsidR="002E56E1" w:rsidRPr="00362709">
        <w:rPr>
          <w:sz w:val="20"/>
          <w:szCs w:val="20"/>
        </w:rPr>
        <w:t>Directorate of Economics &amp; Statistics, Rajasthan</w:t>
      </w:r>
    </w:p>
    <w:p w14:paraId="11A5D437" w14:textId="604DFD2D" w:rsidR="004A418D" w:rsidRDefault="004D2828" w:rsidP="00777FCE">
      <w:pPr>
        <w:spacing w:line="276" w:lineRule="auto"/>
        <w:jc w:val="both"/>
      </w:pPr>
      <w:r>
        <w:lastRenderedPageBreak/>
        <w:t xml:space="preserve">We see a gradual increase in the GSDP of Rajasthan, despite some fluctuations. It has broadly mirrored economic trends while also exhibiting specific trends in the state. </w:t>
      </w:r>
      <w:r w:rsidR="00E057E1">
        <w:t>From 2011-16, we see a consistent increase in the GSDP from Rs 4.34 lakh crore in 2011-12 to Rs 5.63 lakh crore in 2015-16. In these years, the growth rate started at 4.5% in 2012-13 and peaked at 8.02% in 2015-16, reflecting a healthy economic expansion. This growth rate aligned with the national growth rate of 8% in 2015-16. Additionally, in two financial years Rajasthan’s growth rate outpaced India’s growth rate. In 2013-14, Rajasthan’s economy grew by 6.97% as compared to the national growth rate of 6.4% and in 2015-16 Rajasthan’s growth rate of 8.02% slightly exceeded India’s growth rate of 8%. This could be largely accounted to favourable agricultural conditions</w:t>
      </w:r>
      <w:r w:rsidR="004F2F4F">
        <w:t xml:space="preserve"> and promotion in investment in sectors like tourism and renewable energy. </w:t>
      </w:r>
    </w:p>
    <w:p w14:paraId="1AB4647B" w14:textId="77777777" w:rsidR="000A35F1" w:rsidRDefault="000A35F1" w:rsidP="00777FCE">
      <w:pPr>
        <w:spacing w:line="276" w:lineRule="auto"/>
        <w:jc w:val="both"/>
      </w:pPr>
    </w:p>
    <w:p w14:paraId="6F0F0BCF" w14:textId="1A34A65C" w:rsidR="001341A0" w:rsidRPr="00AB0385" w:rsidRDefault="000A35F1" w:rsidP="00AB0385">
      <w:pPr>
        <w:spacing w:line="276" w:lineRule="auto"/>
        <w:jc w:val="center"/>
        <w:rPr>
          <w:b/>
          <w:bCs/>
        </w:rPr>
      </w:pPr>
      <w:r w:rsidRPr="000A35F1">
        <w:rPr>
          <w:b/>
          <w:bCs/>
        </w:rPr>
        <w:t>Figure</w:t>
      </w:r>
      <w:r w:rsidR="00473628">
        <w:rPr>
          <w:b/>
          <w:bCs/>
        </w:rPr>
        <w:t xml:space="preserve"> 1</w:t>
      </w:r>
    </w:p>
    <w:p w14:paraId="038AAED4" w14:textId="295CCE47" w:rsidR="001341A0" w:rsidRDefault="001341A0" w:rsidP="00AB0385">
      <w:pPr>
        <w:spacing w:line="276" w:lineRule="auto"/>
        <w:jc w:val="center"/>
      </w:pPr>
      <w:r>
        <w:rPr>
          <w:noProof/>
        </w:rPr>
        <w:drawing>
          <wp:inline distT="0" distB="0" distL="0" distR="0" wp14:anchorId="68623DD3" wp14:editId="00478D04">
            <wp:extent cx="5816600" cy="3548380"/>
            <wp:effectExtent l="0" t="0" r="12700" b="13970"/>
            <wp:docPr id="1829095972" name="Chart 1">
              <a:extLst xmlns:a="http://schemas.openxmlformats.org/drawingml/2006/main">
                <a:ext uri="{FF2B5EF4-FFF2-40B4-BE49-F238E27FC236}">
                  <a16:creationId xmlns:a16="http://schemas.microsoft.com/office/drawing/2014/main" id="{93A164FB-6B60-9C34-1B92-0C6B5C90F3F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F3A1E4C" w14:textId="77777777" w:rsidR="00AB0385" w:rsidRDefault="00AB0385" w:rsidP="00777FCE">
      <w:pPr>
        <w:spacing w:line="276" w:lineRule="auto"/>
        <w:jc w:val="both"/>
      </w:pPr>
    </w:p>
    <w:p w14:paraId="12AC4300" w14:textId="70DED263" w:rsidR="007C6BA3" w:rsidRDefault="00473628" w:rsidP="00777FCE">
      <w:pPr>
        <w:spacing w:line="276" w:lineRule="auto"/>
        <w:jc w:val="both"/>
      </w:pPr>
      <w:r>
        <w:t>From 2016-19, we see a moderation of growth rate. The growth slow downed between 201</w:t>
      </w:r>
      <w:r w:rsidR="007C6BA3">
        <w:t>6</w:t>
      </w:r>
      <w:r>
        <w:t>-17 and 2018-19 wherein the growth rate dropped from 5.93% in 2016-17 to just 2.43% in 2018-19. The GSDP only increased to Rs 6.43 lakh crore in 2018-19 from Rs 6.28 lakh crore in 2017-18. However, the growth rate of the Indian economy rose to 6.5% in 2018-19. The pre-COVID year of 2019-20 saw a rebound in growth with a 5.21% increase in GSDP</w:t>
      </w:r>
      <w:r w:rsidR="007C6BA3">
        <w:t xml:space="preserve">. The national GDP only increased a 3.9%. the COVID-19 years of 2020-21 caused a contraction in the state’s economy with GSDP growth declining by 1.96% in 2020-21. The GSDP reduced to Rs </w:t>
      </w:r>
      <w:r w:rsidR="007C6BA3" w:rsidRPr="00B33C60">
        <w:t>6</w:t>
      </w:r>
      <w:r w:rsidR="007C6BA3">
        <w:t xml:space="preserve">.63 lakh crore. This was a relatively smaller contraction than India’s economy which saw a 5.8% decline in its growth rate. This </w:t>
      </w:r>
      <w:r w:rsidR="007C6BA3" w:rsidRPr="007C6BA3">
        <w:t xml:space="preserve">can be linked to the state's lower level of industrialization and </w:t>
      </w:r>
      <w:r w:rsidR="007C6BA3" w:rsidRPr="007C6BA3">
        <w:lastRenderedPageBreak/>
        <w:t>its dependence on agriculture, which was less impacted by the pandemic compared to the services and industrial sectors.</w:t>
      </w:r>
      <w:r w:rsidR="007C6BA3">
        <w:t xml:space="preserve"> </w:t>
      </w:r>
    </w:p>
    <w:p w14:paraId="001C6834" w14:textId="77777777" w:rsidR="007C6BA3" w:rsidRDefault="007C6BA3" w:rsidP="00777FCE">
      <w:pPr>
        <w:spacing w:line="276" w:lineRule="auto"/>
        <w:jc w:val="both"/>
      </w:pPr>
    </w:p>
    <w:p w14:paraId="243C4B7A" w14:textId="07C045C5" w:rsidR="007C6BA3" w:rsidRDefault="007C6BA3" w:rsidP="00777FCE">
      <w:pPr>
        <w:spacing w:line="276" w:lineRule="auto"/>
        <w:jc w:val="both"/>
      </w:pPr>
      <w:r>
        <w:t>The post-pandemic years of recovery</w:t>
      </w:r>
      <w:r w:rsidR="00A1566D">
        <w:t xml:space="preserve"> saw an upward trajectory. </w:t>
      </w:r>
      <w:r w:rsidR="00520BBC">
        <w:t xml:space="preserve">Rajasthan recorded a 11.36% growth rate in 2021-22 with an economy of Rs 7.38 lakh crore. </w:t>
      </w:r>
      <w:r w:rsidR="00506711">
        <w:t>Additionally, Rajasthan ranked third in all the states in terms of growth of GSDP for 2021-22 (Kerala ranked first</w:t>
      </w:r>
      <w:r w:rsidR="00932672">
        <w:t xml:space="preserve"> at 12.01%</w:t>
      </w:r>
      <w:r w:rsidR="00506711">
        <w:t xml:space="preserve">). </w:t>
      </w:r>
      <w:r w:rsidR="00EF4B75">
        <w:t>This was significantly higher than the 9.1% national growth rate in the same year.</w:t>
      </w:r>
      <w:r w:rsidR="00506711">
        <w:t xml:space="preserve"> </w:t>
      </w:r>
      <w:r w:rsidR="00EF4B75">
        <w:t xml:space="preserve"> In 2022-23, Rajasthan continued this trend with </w:t>
      </w:r>
      <w:r w:rsidR="00362709">
        <w:t>an</w:t>
      </w:r>
      <w:r w:rsidR="00EF4B75">
        <w:t xml:space="preserve"> 8.19% growth rate, very close to Rs 8 lakh crore, surpassing the national growth rate of 7.2%.</w:t>
      </w:r>
    </w:p>
    <w:p w14:paraId="164FE96D" w14:textId="77777777" w:rsidR="00EF4B75" w:rsidRDefault="00EF4B75" w:rsidP="00777FCE">
      <w:pPr>
        <w:spacing w:line="276" w:lineRule="auto"/>
        <w:jc w:val="both"/>
      </w:pPr>
    </w:p>
    <w:p w14:paraId="7A7E312C" w14:textId="49F479D7" w:rsidR="008F0488" w:rsidRDefault="00EF4B75" w:rsidP="00777FCE">
      <w:pPr>
        <w:spacing w:line="276" w:lineRule="auto"/>
        <w:jc w:val="both"/>
      </w:pPr>
      <w:r w:rsidRPr="006F759E">
        <w:rPr>
          <w:b/>
          <w:bCs/>
        </w:rPr>
        <w:t xml:space="preserve">Per Capita Income: </w:t>
      </w:r>
      <w:r w:rsidR="00713FA2" w:rsidRPr="008F0488">
        <w:t xml:space="preserve">Over the period from 2011 to 2023, Rajasthan's per capita income demonstrated a long-term upward trend, although punctuated by fluctuations. The state moved from a per capita income of ₹57,192 </w:t>
      </w:r>
      <w:r w:rsidR="00713FA2">
        <w:t xml:space="preserve">(2011-12) </w:t>
      </w:r>
      <w:r w:rsidR="00713FA2" w:rsidRPr="008F0488">
        <w:t>to ₹86,134</w:t>
      </w:r>
      <w:r w:rsidR="00713FA2">
        <w:t xml:space="preserve"> (2022-23). The growth in per capita income varied with significant increases in 2014-15 (5.64%) and 2015-16 (6.31%). </w:t>
      </w:r>
      <w:r w:rsidR="00C301A5" w:rsidRPr="00C301A5">
        <w:t>Rajasthan’s growth rate consistently trailed slightly behind the All-India average for most years up to 2019-20.</w:t>
      </w:r>
      <w:r w:rsidR="00C301A5">
        <w:t xml:space="preserve"> </w:t>
      </w:r>
      <w:r w:rsidR="00713FA2">
        <w:t xml:space="preserve">This growth peaked in 2021-22 at 10.2%. </w:t>
      </w:r>
      <w:r w:rsidR="001D4F28">
        <w:t>In 2020-21, the national per capita income saw a sharper decline (-8.9%) compared to Rajasthan’s decline (-4.57%)</w:t>
      </w:r>
      <w:r w:rsidR="00C301A5">
        <w:t xml:space="preserve"> due to the pandemic whose impact is seen to be seen more severe on the national economy</w:t>
      </w:r>
      <w:r w:rsidR="001D4F28">
        <w:t xml:space="preserve">. </w:t>
      </w:r>
      <w:r w:rsidR="00C301A5" w:rsidRPr="00C301A5">
        <w:t>In the recovery phase (2021-22), Rajasthan’s growth rate (10.12%) exceeded the All-India rate (7.6%), suggesting a strong economic rebound within the state compared to the national average.</w:t>
      </w:r>
      <w:r w:rsidR="00C301A5">
        <w:t xml:space="preserve"> </w:t>
      </w:r>
      <w:r w:rsidR="00C301A5" w:rsidRPr="00C301A5">
        <w:t>In non-pandemic years, Rajasthan’s variation in growth rates was generally steadier than the All-India rate, which had higher peaks and troughs.</w:t>
      </w:r>
      <w:r w:rsidR="00C301A5">
        <w:t xml:space="preserve"> </w:t>
      </w:r>
    </w:p>
    <w:p w14:paraId="22A285E5" w14:textId="77777777" w:rsidR="00713FA2" w:rsidRDefault="00713FA2" w:rsidP="00777FCE">
      <w:pPr>
        <w:spacing w:line="276" w:lineRule="auto"/>
        <w:jc w:val="both"/>
      </w:pPr>
    </w:p>
    <w:p w14:paraId="43DEAF80" w14:textId="35F98E63" w:rsidR="006F759E" w:rsidRDefault="008F0488" w:rsidP="00777FCE">
      <w:pPr>
        <w:spacing w:line="276" w:lineRule="auto"/>
        <w:jc w:val="center"/>
        <w:rPr>
          <w:b/>
          <w:bCs/>
        </w:rPr>
      </w:pPr>
      <w:r w:rsidRPr="008F0488">
        <w:rPr>
          <w:b/>
          <w:bCs/>
        </w:rPr>
        <w:t>Table 2: Net Per Capita Income a</w:t>
      </w:r>
      <w:r w:rsidR="006F759E" w:rsidRPr="008F0488">
        <w:rPr>
          <w:b/>
          <w:bCs/>
        </w:rPr>
        <w:t>t Constant (2011-12) Prices</w:t>
      </w:r>
    </w:p>
    <w:p w14:paraId="1FAD5083" w14:textId="17858B92" w:rsidR="008F0488" w:rsidRPr="008F0488" w:rsidRDefault="008F0488" w:rsidP="00777FCE">
      <w:pPr>
        <w:spacing w:line="276" w:lineRule="auto"/>
        <w:jc w:val="right"/>
        <w:rPr>
          <w:b/>
          <w:bCs/>
        </w:rPr>
      </w:pPr>
      <w:r>
        <w:rPr>
          <w:b/>
          <w:bCs/>
        </w:rPr>
        <w:t>(Rs)</w:t>
      </w:r>
    </w:p>
    <w:tbl>
      <w:tblPr>
        <w:tblStyle w:val="GridTable5Dark-Accent6"/>
        <w:tblW w:w="0" w:type="auto"/>
        <w:tblLook w:val="04A0" w:firstRow="1" w:lastRow="0" w:firstColumn="1" w:lastColumn="0" w:noHBand="0" w:noVBand="1"/>
      </w:tblPr>
      <w:tblGrid>
        <w:gridCol w:w="1803"/>
        <w:gridCol w:w="1803"/>
        <w:gridCol w:w="1803"/>
        <w:gridCol w:w="1803"/>
        <w:gridCol w:w="1804"/>
      </w:tblGrid>
      <w:tr w:rsidR="006F759E" w14:paraId="2E082744" w14:textId="77777777" w:rsidTr="006D22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vMerge w:val="restart"/>
          </w:tcPr>
          <w:p w14:paraId="0C71B45E" w14:textId="77777777" w:rsidR="006F759E" w:rsidRDefault="006F759E" w:rsidP="00777FCE">
            <w:pPr>
              <w:spacing w:line="276" w:lineRule="auto"/>
              <w:jc w:val="center"/>
            </w:pPr>
          </w:p>
          <w:p w14:paraId="01213DE3" w14:textId="77777777" w:rsidR="006F759E" w:rsidRDefault="006F759E" w:rsidP="00777FCE">
            <w:pPr>
              <w:spacing w:line="276" w:lineRule="auto"/>
              <w:jc w:val="center"/>
            </w:pPr>
            <w:r>
              <w:t>Year</w:t>
            </w:r>
          </w:p>
        </w:tc>
        <w:tc>
          <w:tcPr>
            <w:tcW w:w="3606" w:type="dxa"/>
            <w:gridSpan w:val="2"/>
          </w:tcPr>
          <w:p w14:paraId="734FE8BB" w14:textId="24A431CE" w:rsidR="006F759E" w:rsidRDefault="006F759E" w:rsidP="00777FCE">
            <w:pPr>
              <w:spacing w:line="276" w:lineRule="auto"/>
              <w:jc w:val="center"/>
              <w:cnfStyle w:val="100000000000" w:firstRow="1" w:lastRow="0" w:firstColumn="0" w:lastColumn="0" w:oddVBand="0" w:evenVBand="0" w:oddHBand="0" w:evenHBand="0" w:firstRowFirstColumn="0" w:firstRowLastColumn="0" w:lastRowFirstColumn="0" w:lastRowLastColumn="0"/>
            </w:pPr>
            <w:r>
              <w:t>Rajasthan</w:t>
            </w:r>
          </w:p>
        </w:tc>
        <w:tc>
          <w:tcPr>
            <w:tcW w:w="3607" w:type="dxa"/>
            <w:gridSpan w:val="2"/>
          </w:tcPr>
          <w:p w14:paraId="5BA041C6" w14:textId="77777777" w:rsidR="006F759E" w:rsidRDefault="006F759E" w:rsidP="00777FCE">
            <w:pPr>
              <w:spacing w:line="276" w:lineRule="auto"/>
              <w:jc w:val="center"/>
              <w:cnfStyle w:val="100000000000" w:firstRow="1" w:lastRow="0" w:firstColumn="0" w:lastColumn="0" w:oddVBand="0" w:evenVBand="0" w:oddHBand="0" w:evenHBand="0" w:firstRowFirstColumn="0" w:firstRowLastColumn="0" w:lastRowFirstColumn="0" w:lastRowLastColumn="0"/>
            </w:pPr>
            <w:r>
              <w:t>All India</w:t>
            </w:r>
          </w:p>
        </w:tc>
      </w:tr>
      <w:tr w:rsidR="006F759E" w14:paraId="2C1486C1" w14:textId="77777777" w:rsidTr="006D22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vMerge/>
          </w:tcPr>
          <w:p w14:paraId="09D7297B" w14:textId="77777777" w:rsidR="006F759E" w:rsidRDefault="006F759E" w:rsidP="00777FCE">
            <w:pPr>
              <w:spacing w:line="276" w:lineRule="auto"/>
              <w:jc w:val="center"/>
            </w:pPr>
          </w:p>
        </w:tc>
        <w:tc>
          <w:tcPr>
            <w:tcW w:w="1803" w:type="dxa"/>
          </w:tcPr>
          <w:p w14:paraId="1E5F1BFE" w14:textId="53CA29B5" w:rsidR="006F759E" w:rsidRDefault="006F759E"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Per Capita Income</w:t>
            </w:r>
          </w:p>
        </w:tc>
        <w:tc>
          <w:tcPr>
            <w:tcW w:w="1803" w:type="dxa"/>
          </w:tcPr>
          <w:p w14:paraId="41C19D9D" w14:textId="179B3FF1" w:rsidR="006F759E" w:rsidRDefault="006F759E"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Variation over Previous Year (%)</w:t>
            </w:r>
          </w:p>
        </w:tc>
        <w:tc>
          <w:tcPr>
            <w:tcW w:w="1803" w:type="dxa"/>
          </w:tcPr>
          <w:p w14:paraId="3BC86EAC" w14:textId="31FFF664" w:rsidR="006F759E" w:rsidRDefault="006F759E"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Per Capita Income</w:t>
            </w:r>
          </w:p>
        </w:tc>
        <w:tc>
          <w:tcPr>
            <w:tcW w:w="1804" w:type="dxa"/>
          </w:tcPr>
          <w:p w14:paraId="134A7FC6" w14:textId="032F7A23" w:rsidR="006F759E" w:rsidRDefault="006F759E"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Variation over Previous Year (%)</w:t>
            </w:r>
          </w:p>
        </w:tc>
      </w:tr>
      <w:tr w:rsidR="006F759E" w14:paraId="2683CD5D" w14:textId="77777777" w:rsidTr="006D2237">
        <w:tc>
          <w:tcPr>
            <w:cnfStyle w:val="001000000000" w:firstRow="0" w:lastRow="0" w:firstColumn="1" w:lastColumn="0" w:oddVBand="0" w:evenVBand="0" w:oddHBand="0" w:evenHBand="0" w:firstRowFirstColumn="0" w:firstRowLastColumn="0" w:lastRowFirstColumn="0" w:lastRowLastColumn="0"/>
            <w:tcW w:w="1803" w:type="dxa"/>
          </w:tcPr>
          <w:p w14:paraId="2A8259F4" w14:textId="77777777" w:rsidR="006F759E" w:rsidRDefault="006F759E" w:rsidP="00777FCE">
            <w:pPr>
              <w:spacing w:line="276" w:lineRule="auto"/>
              <w:jc w:val="center"/>
            </w:pPr>
            <w:r>
              <w:t>2011-12</w:t>
            </w:r>
          </w:p>
        </w:tc>
        <w:tc>
          <w:tcPr>
            <w:tcW w:w="1803" w:type="dxa"/>
          </w:tcPr>
          <w:p w14:paraId="65C1B630" w14:textId="4F9F861B" w:rsidR="006F759E" w:rsidRDefault="006F759E"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t>57</w:t>
            </w:r>
            <w:r w:rsidR="008F0488">
              <w:t>,</w:t>
            </w:r>
            <w:r>
              <w:t>192</w:t>
            </w:r>
          </w:p>
        </w:tc>
        <w:tc>
          <w:tcPr>
            <w:tcW w:w="1803" w:type="dxa"/>
          </w:tcPr>
          <w:p w14:paraId="53773364" w14:textId="77777777" w:rsidR="006F759E" w:rsidRDefault="006F759E" w:rsidP="00777FCE">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1803" w:type="dxa"/>
          </w:tcPr>
          <w:p w14:paraId="1EFB6902" w14:textId="31F8E197" w:rsidR="006F759E" w:rsidRDefault="006F759E"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t>63</w:t>
            </w:r>
            <w:r w:rsidR="008F0488">
              <w:t>,</w:t>
            </w:r>
            <w:r>
              <w:t>462</w:t>
            </w:r>
          </w:p>
        </w:tc>
        <w:tc>
          <w:tcPr>
            <w:tcW w:w="1804" w:type="dxa"/>
          </w:tcPr>
          <w:p w14:paraId="2DF837DC" w14:textId="77777777" w:rsidR="006F759E" w:rsidRDefault="006F759E" w:rsidP="00777FCE">
            <w:pPr>
              <w:spacing w:line="276" w:lineRule="auto"/>
              <w:jc w:val="center"/>
              <w:cnfStyle w:val="000000000000" w:firstRow="0" w:lastRow="0" w:firstColumn="0" w:lastColumn="0" w:oddVBand="0" w:evenVBand="0" w:oddHBand="0" w:evenHBand="0" w:firstRowFirstColumn="0" w:firstRowLastColumn="0" w:lastRowFirstColumn="0" w:lastRowLastColumn="0"/>
            </w:pPr>
          </w:p>
        </w:tc>
      </w:tr>
      <w:tr w:rsidR="006F759E" w14:paraId="23057887" w14:textId="77777777" w:rsidTr="006D22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96A257B" w14:textId="77777777" w:rsidR="006F759E" w:rsidRDefault="006F759E" w:rsidP="00777FCE">
            <w:pPr>
              <w:spacing w:line="276" w:lineRule="auto"/>
              <w:jc w:val="center"/>
            </w:pPr>
            <w:r>
              <w:t>2012-13</w:t>
            </w:r>
          </w:p>
        </w:tc>
        <w:tc>
          <w:tcPr>
            <w:tcW w:w="1803" w:type="dxa"/>
          </w:tcPr>
          <w:p w14:paraId="682C981A" w14:textId="35E8A302" w:rsidR="006F759E" w:rsidRDefault="006F759E"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58</w:t>
            </w:r>
            <w:r w:rsidR="008F0488">
              <w:t>,</w:t>
            </w:r>
            <w:r>
              <w:t>441</w:t>
            </w:r>
          </w:p>
        </w:tc>
        <w:tc>
          <w:tcPr>
            <w:tcW w:w="1803" w:type="dxa"/>
          </w:tcPr>
          <w:p w14:paraId="11D41509" w14:textId="0AEA3292" w:rsidR="006F759E" w:rsidRDefault="006F759E"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2.19</w:t>
            </w:r>
          </w:p>
        </w:tc>
        <w:tc>
          <w:tcPr>
            <w:tcW w:w="1803" w:type="dxa"/>
          </w:tcPr>
          <w:p w14:paraId="1037A9DA" w14:textId="33F32BC8" w:rsidR="006F759E" w:rsidRDefault="008F0488"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65,538</w:t>
            </w:r>
          </w:p>
        </w:tc>
        <w:tc>
          <w:tcPr>
            <w:tcW w:w="1804" w:type="dxa"/>
          </w:tcPr>
          <w:p w14:paraId="427BD0C9" w14:textId="6FD7B618" w:rsidR="006F759E" w:rsidRDefault="008F0488"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3.3</w:t>
            </w:r>
          </w:p>
        </w:tc>
      </w:tr>
      <w:tr w:rsidR="006F759E" w14:paraId="0DBD57FE" w14:textId="77777777" w:rsidTr="006D2237">
        <w:tc>
          <w:tcPr>
            <w:cnfStyle w:val="001000000000" w:firstRow="0" w:lastRow="0" w:firstColumn="1" w:lastColumn="0" w:oddVBand="0" w:evenVBand="0" w:oddHBand="0" w:evenHBand="0" w:firstRowFirstColumn="0" w:firstRowLastColumn="0" w:lastRowFirstColumn="0" w:lastRowLastColumn="0"/>
            <w:tcW w:w="1803" w:type="dxa"/>
          </w:tcPr>
          <w:p w14:paraId="23ED8DCA" w14:textId="77777777" w:rsidR="006F759E" w:rsidRDefault="006F759E" w:rsidP="00777FCE">
            <w:pPr>
              <w:spacing w:line="276" w:lineRule="auto"/>
              <w:jc w:val="center"/>
            </w:pPr>
            <w:r>
              <w:t>2013-14</w:t>
            </w:r>
          </w:p>
        </w:tc>
        <w:tc>
          <w:tcPr>
            <w:tcW w:w="1803" w:type="dxa"/>
          </w:tcPr>
          <w:p w14:paraId="6B654171" w14:textId="38C25E77" w:rsidR="006F759E" w:rsidRDefault="006F759E"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t>61</w:t>
            </w:r>
            <w:r w:rsidR="008F0488">
              <w:t>,</w:t>
            </w:r>
            <w:r>
              <w:t>053</w:t>
            </w:r>
          </w:p>
        </w:tc>
        <w:tc>
          <w:tcPr>
            <w:tcW w:w="1803" w:type="dxa"/>
          </w:tcPr>
          <w:p w14:paraId="268C7BB2" w14:textId="5C743F92" w:rsidR="006F759E" w:rsidRDefault="006F759E"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t>4.47</w:t>
            </w:r>
          </w:p>
        </w:tc>
        <w:tc>
          <w:tcPr>
            <w:tcW w:w="1803" w:type="dxa"/>
          </w:tcPr>
          <w:p w14:paraId="76722803" w14:textId="12E36DE7" w:rsidR="006F759E" w:rsidRDefault="008F0488"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t>68,572</w:t>
            </w:r>
          </w:p>
        </w:tc>
        <w:tc>
          <w:tcPr>
            <w:tcW w:w="1804" w:type="dxa"/>
          </w:tcPr>
          <w:p w14:paraId="1475FED1" w14:textId="54EEDF46" w:rsidR="006F759E" w:rsidRDefault="008F0488"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t>4.6</w:t>
            </w:r>
          </w:p>
        </w:tc>
      </w:tr>
      <w:tr w:rsidR="006F759E" w14:paraId="5A26A78C" w14:textId="77777777" w:rsidTr="006D22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33E56A5D" w14:textId="77777777" w:rsidR="006F759E" w:rsidRDefault="006F759E" w:rsidP="00777FCE">
            <w:pPr>
              <w:spacing w:line="276" w:lineRule="auto"/>
              <w:jc w:val="center"/>
            </w:pPr>
            <w:r>
              <w:t>2014-15</w:t>
            </w:r>
          </w:p>
        </w:tc>
        <w:tc>
          <w:tcPr>
            <w:tcW w:w="1803" w:type="dxa"/>
          </w:tcPr>
          <w:p w14:paraId="032E4961" w14:textId="13AED3CC" w:rsidR="006F759E" w:rsidRDefault="006F759E"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64</w:t>
            </w:r>
            <w:r w:rsidR="008F0488">
              <w:t>,</w:t>
            </w:r>
            <w:r>
              <w:t>496</w:t>
            </w:r>
          </w:p>
        </w:tc>
        <w:tc>
          <w:tcPr>
            <w:tcW w:w="1803" w:type="dxa"/>
          </w:tcPr>
          <w:p w14:paraId="21C1CEAE" w14:textId="06DB26E9" w:rsidR="006F759E" w:rsidRDefault="006F759E"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5.64</w:t>
            </w:r>
          </w:p>
        </w:tc>
        <w:tc>
          <w:tcPr>
            <w:tcW w:w="1803" w:type="dxa"/>
          </w:tcPr>
          <w:p w14:paraId="2322A4C9" w14:textId="39FBED04" w:rsidR="006F759E" w:rsidRDefault="008F0488"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72,805</w:t>
            </w:r>
          </w:p>
        </w:tc>
        <w:tc>
          <w:tcPr>
            <w:tcW w:w="1804" w:type="dxa"/>
          </w:tcPr>
          <w:p w14:paraId="031866A6" w14:textId="719B9162" w:rsidR="006F759E" w:rsidRDefault="008F0488"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6.2</w:t>
            </w:r>
          </w:p>
        </w:tc>
      </w:tr>
      <w:tr w:rsidR="006F759E" w14:paraId="4213726A" w14:textId="77777777" w:rsidTr="006D2237">
        <w:tc>
          <w:tcPr>
            <w:cnfStyle w:val="001000000000" w:firstRow="0" w:lastRow="0" w:firstColumn="1" w:lastColumn="0" w:oddVBand="0" w:evenVBand="0" w:oddHBand="0" w:evenHBand="0" w:firstRowFirstColumn="0" w:firstRowLastColumn="0" w:lastRowFirstColumn="0" w:lastRowLastColumn="0"/>
            <w:tcW w:w="1803" w:type="dxa"/>
          </w:tcPr>
          <w:p w14:paraId="17F69D60" w14:textId="77777777" w:rsidR="006F759E" w:rsidRDefault="006F759E" w:rsidP="00777FCE">
            <w:pPr>
              <w:spacing w:line="276" w:lineRule="auto"/>
              <w:jc w:val="center"/>
            </w:pPr>
            <w:r>
              <w:t>2015-16</w:t>
            </w:r>
          </w:p>
        </w:tc>
        <w:tc>
          <w:tcPr>
            <w:tcW w:w="1803" w:type="dxa"/>
          </w:tcPr>
          <w:p w14:paraId="6B002B7D" w14:textId="35000769" w:rsidR="006F759E" w:rsidRDefault="006F759E"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t>68</w:t>
            </w:r>
            <w:r w:rsidR="008F0488">
              <w:t>,</w:t>
            </w:r>
            <w:r>
              <w:t>565</w:t>
            </w:r>
          </w:p>
        </w:tc>
        <w:tc>
          <w:tcPr>
            <w:tcW w:w="1803" w:type="dxa"/>
          </w:tcPr>
          <w:p w14:paraId="00913C6C" w14:textId="00A82A7C" w:rsidR="006F759E" w:rsidRDefault="006F759E"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t>6.31</w:t>
            </w:r>
          </w:p>
        </w:tc>
        <w:tc>
          <w:tcPr>
            <w:tcW w:w="1803" w:type="dxa"/>
          </w:tcPr>
          <w:p w14:paraId="5EC79ED3" w14:textId="10C091D7" w:rsidR="006F759E" w:rsidRDefault="008F0488"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t>77,659</w:t>
            </w:r>
          </w:p>
        </w:tc>
        <w:tc>
          <w:tcPr>
            <w:tcW w:w="1804" w:type="dxa"/>
          </w:tcPr>
          <w:p w14:paraId="2B24E935" w14:textId="0017C9B6" w:rsidR="006F759E" w:rsidRDefault="008F0488"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t>6.7</w:t>
            </w:r>
          </w:p>
        </w:tc>
      </w:tr>
      <w:tr w:rsidR="006F759E" w14:paraId="2EC7BF61" w14:textId="77777777" w:rsidTr="006D22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F193661" w14:textId="77777777" w:rsidR="006F759E" w:rsidRDefault="006F759E" w:rsidP="00777FCE">
            <w:pPr>
              <w:spacing w:line="276" w:lineRule="auto"/>
              <w:jc w:val="center"/>
            </w:pPr>
            <w:r>
              <w:t>2016-17</w:t>
            </w:r>
          </w:p>
        </w:tc>
        <w:tc>
          <w:tcPr>
            <w:tcW w:w="1803" w:type="dxa"/>
          </w:tcPr>
          <w:p w14:paraId="05481A55" w14:textId="5D2919DD" w:rsidR="006F759E" w:rsidRDefault="006F759E"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71</w:t>
            </w:r>
            <w:r w:rsidR="008F0488">
              <w:t>,</w:t>
            </w:r>
            <w:r>
              <w:t>324</w:t>
            </w:r>
          </w:p>
        </w:tc>
        <w:tc>
          <w:tcPr>
            <w:tcW w:w="1803" w:type="dxa"/>
          </w:tcPr>
          <w:p w14:paraId="3A26E25B" w14:textId="6BF49251" w:rsidR="006F759E" w:rsidRDefault="006F759E"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4.02</w:t>
            </w:r>
          </w:p>
        </w:tc>
        <w:tc>
          <w:tcPr>
            <w:tcW w:w="1803" w:type="dxa"/>
          </w:tcPr>
          <w:p w14:paraId="00C68EBC" w14:textId="46A7A159" w:rsidR="006F759E" w:rsidRDefault="008F0488"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83,003</w:t>
            </w:r>
          </w:p>
        </w:tc>
        <w:tc>
          <w:tcPr>
            <w:tcW w:w="1804" w:type="dxa"/>
          </w:tcPr>
          <w:p w14:paraId="5C5E7552" w14:textId="67596709" w:rsidR="006F759E" w:rsidRDefault="008F0488"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6.9</w:t>
            </w:r>
          </w:p>
        </w:tc>
      </w:tr>
      <w:tr w:rsidR="006F759E" w14:paraId="2FCABFAB" w14:textId="77777777" w:rsidTr="006D2237">
        <w:tc>
          <w:tcPr>
            <w:cnfStyle w:val="001000000000" w:firstRow="0" w:lastRow="0" w:firstColumn="1" w:lastColumn="0" w:oddVBand="0" w:evenVBand="0" w:oddHBand="0" w:evenHBand="0" w:firstRowFirstColumn="0" w:firstRowLastColumn="0" w:lastRowFirstColumn="0" w:lastRowLastColumn="0"/>
            <w:tcW w:w="1803" w:type="dxa"/>
          </w:tcPr>
          <w:p w14:paraId="4005C375" w14:textId="77777777" w:rsidR="006F759E" w:rsidRDefault="006F759E" w:rsidP="00777FCE">
            <w:pPr>
              <w:spacing w:line="276" w:lineRule="auto"/>
              <w:jc w:val="center"/>
            </w:pPr>
            <w:r>
              <w:t>2017-18</w:t>
            </w:r>
          </w:p>
        </w:tc>
        <w:tc>
          <w:tcPr>
            <w:tcW w:w="1803" w:type="dxa"/>
          </w:tcPr>
          <w:p w14:paraId="38282377" w14:textId="0CD22182" w:rsidR="006F759E" w:rsidRDefault="006F759E"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t>73</w:t>
            </w:r>
            <w:r w:rsidR="008F0488">
              <w:t>,</w:t>
            </w:r>
            <w:r>
              <w:t>529</w:t>
            </w:r>
          </w:p>
        </w:tc>
        <w:tc>
          <w:tcPr>
            <w:tcW w:w="1803" w:type="dxa"/>
          </w:tcPr>
          <w:p w14:paraId="76E55C67" w14:textId="215ED713" w:rsidR="006F759E" w:rsidRDefault="006F759E"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t>3.09</w:t>
            </w:r>
          </w:p>
        </w:tc>
        <w:tc>
          <w:tcPr>
            <w:tcW w:w="1803" w:type="dxa"/>
          </w:tcPr>
          <w:p w14:paraId="5816C2E5" w14:textId="27E5AEAC" w:rsidR="006F759E" w:rsidRDefault="008F0488"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t>87,586</w:t>
            </w:r>
          </w:p>
        </w:tc>
        <w:tc>
          <w:tcPr>
            <w:tcW w:w="1804" w:type="dxa"/>
          </w:tcPr>
          <w:p w14:paraId="7C3F9F2F" w14:textId="34D2F86D" w:rsidR="006F759E" w:rsidRDefault="008F0488"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t>5.5</w:t>
            </w:r>
          </w:p>
        </w:tc>
      </w:tr>
      <w:tr w:rsidR="006F759E" w14:paraId="1C4F7F10" w14:textId="77777777" w:rsidTr="006D22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1027C4B0" w14:textId="77777777" w:rsidR="006F759E" w:rsidRDefault="006F759E" w:rsidP="00777FCE">
            <w:pPr>
              <w:spacing w:line="276" w:lineRule="auto"/>
              <w:jc w:val="center"/>
            </w:pPr>
            <w:r>
              <w:t>2018-19</w:t>
            </w:r>
          </w:p>
        </w:tc>
        <w:tc>
          <w:tcPr>
            <w:tcW w:w="1803" w:type="dxa"/>
          </w:tcPr>
          <w:p w14:paraId="60B144F0" w14:textId="745C331E" w:rsidR="006F759E" w:rsidRDefault="006F759E"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73</w:t>
            </w:r>
            <w:r w:rsidR="008F0488">
              <w:t>,</w:t>
            </w:r>
            <w:r>
              <w:t>975</w:t>
            </w:r>
          </w:p>
        </w:tc>
        <w:tc>
          <w:tcPr>
            <w:tcW w:w="1803" w:type="dxa"/>
          </w:tcPr>
          <w:p w14:paraId="0BAEA373" w14:textId="7BE1AA88" w:rsidR="006F759E" w:rsidRDefault="006F759E"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0.61</w:t>
            </w:r>
          </w:p>
        </w:tc>
        <w:tc>
          <w:tcPr>
            <w:tcW w:w="1803" w:type="dxa"/>
          </w:tcPr>
          <w:p w14:paraId="45C13AB5" w14:textId="316AC012" w:rsidR="006F759E" w:rsidRDefault="008F0488"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92,133</w:t>
            </w:r>
          </w:p>
        </w:tc>
        <w:tc>
          <w:tcPr>
            <w:tcW w:w="1804" w:type="dxa"/>
          </w:tcPr>
          <w:p w14:paraId="20F619FB" w14:textId="0B6612A4" w:rsidR="006F759E" w:rsidRDefault="008F0488"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5.2</w:t>
            </w:r>
          </w:p>
        </w:tc>
      </w:tr>
      <w:tr w:rsidR="006F759E" w14:paraId="6B7A79D9" w14:textId="77777777" w:rsidTr="006D2237">
        <w:tc>
          <w:tcPr>
            <w:cnfStyle w:val="001000000000" w:firstRow="0" w:lastRow="0" w:firstColumn="1" w:lastColumn="0" w:oddVBand="0" w:evenVBand="0" w:oddHBand="0" w:evenHBand="0" w:firstRowFirstColumn="0" w:firstRowLastColumn="0" w:lastRowFirstColumn="0" w:lastRowLastColumn="0"/>
            <w:tcW w:w="1803" w:type="dxa"/>
          </w:tcPr>
          <w:p w14:paraId="30CA4A3A" w14:textId="77777777" w:rsidR="006F759E" w:rsidRDefault="006F759E" w:rsidP="00777FCE">
            <w:pPr>
              <w:spacing w:line="276" w:lineRule="auto"/>
              <w:jc w:val="center"/>
            </w:pPr>
            <w:r>
              <w:t>2019-20</w:t>
            </w:r>
          </w:p>
        </w:tc>
        <w:tc>
          <w:tcPr>
            <w:tcW w:w="1803" w:type="dxa"/>
          </w:tcPr>
          <w:p w14:paraId="5B8E5C80" w14:textId="1021FD43" w:rsidR="006F759E" w:rsidRDefault="006F759E"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t>76</w:t>
            </w:r>
            <w:r w:rsidR="008F0488">
              <w:t>,</w:t>
            </w:r>
            <w:r>
              <w:t>643</w:t>
            </w:r>
          </w:p>
        </w:tc>
        <w:tc>
          <w:tcPr>
            <w:tcW w:w="1803" w:type="dxa"/>
          </w:tcPr>
          <w:p w14:paraId="7F7F74A3" w14:textId="651D2A1E" w:rsidR="006F759E" w:rsidRDefault="006F759E"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t>3.61</w:t>
            </w:r>
          </w:p>
        </w:tc>
        <w:tc>
          <w:tcPr>
            <w:tcW w:w="1803" w:type="dxa"/>
          </w:tcPr>
          <w:p w14:paraId="57AA7EC2" w14:textId="6757463B" w:rsidR="006F759E" w:rsidRDefault="008F0488"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t>94,420</w:t>
            </w:r>
          </w:p>
        </w:tc>
        <w:tc>
          <w:tcPr>
            <w:tcW w:w="1804" w:type="dxa"/>
          </w:tcPr>
          <w:p w14:paraId="42CDC7E5" w14:textId="26F2BAE8" w:rsidR="006F759E" w:rsidRDefault="008F0488"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t>2.5</w:t>
            </w:r>
          </w:p>
        </w:tc>
      </w:tr>
      <w:tr w:rsidR="006F759E" w14:paraId="689D0E24" w14:textId="77777777" w:rsidTr="006D22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4A17BFB" w14:textId="77777777" w:rsidR="006F759E" w:rsidRDefault="006F759E" w:rsidP="00777FCE">
            <w:pPr>
              <w:spacing w:line="276" w:lineRule="auto"/>
              <w:jc w:val="center"/>
            </w:pPr>
            <w:r>
              <w:t>2020-21</w:t>
            </w:r>
          </w:p>
        </w:tc>
        <w:tc>
          <w:tcPr>
            <w:tcW w:w="1803" w:type="dxa"/>
          </w:tcPr>
          <w:p w14:paraId="521E39A7" w14:textId="02FDB475" w:rsidR="006F759E" w:rsidRDefault="006F759E"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73</w:t>
            </w:r>
            <w:r w:rsidR="008F0488">
              <w:t>,</w:t>
            </w:r>
            <w:r>
              <w:t>140</w:t>
            </w:r>
          </w:p>
        </w:tc>
        <w:tc>
          <w:tcPr>
            <w:tcW w:w="1803" w:type="dxa"/>
          </w:tcPr>
          <w:p w14:paraId="6C96A3F7" w14:textId="3B064B24" w:rsidR="006F759E" w:rsidRDefault="006F759E"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-4.57</w:t>
            </w:r>
          </w:p>
        </w:tc>
        <w:tc>
          <w:tcPr>
            <w:tcW w:w="1803" w:type="dxa"/>
          </w:tcPr>
          <w:p w14:paraId="6A1D34F0" w14:textId="1A2E4184" w:rsidR="006F759E" w:rsidRDefault="008F0488"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86,054</w:t>
            </w:r>
          </w:p>
        </w:tc>
        <w:tc>
          <w:tcPr>
            <w:tcW w:w="1804" w:type="dxa"/>
          </w:tcPr>
          <w:p w14:paraId="7D84BEEA" w14:textId="2C9B572E" w:rsidR="006F759E" w:rsidRDefault="006F759E"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w:t>
            </w:r>
            <w:r w:rsidR="008F0488">
              <w:t>8.9</w:t>
            </w:r>
          </w:p>
        </w:tc>
      </w:tr>
      <w:tr w:rsidR="006F759E" w14:paraId="07AA800D" w14:textId="77777777" w:rsidTr="006D2237">
        <w:tc>
          <w:tcPr>
            <w:cnfStyle w:val="001000000000" w:firstRow="0" w:lastRow="0" w:firstColumn="1" w:lastColumn="0" w:oddVBand="0" w:evenVBand="0" w:oddHBand="0" w:evenHBand="0" w:firstRowFirstColumn="0" w:firstRowLastColumn="0" w:lastRowFirstColumn="0" w:lastRowLastColumn="0"/>
            <w:tcW w:w="1803" w:type="dxa"/>
          </w:tcPr>
          <w:p w14:paraId="6C347416" w14:textId="77777777" w:rsidR="006F759E" w:rsidRDefault="006F759E" w:rsidP="00777FCE">
            <w:pPr>
              <w:spacing w:line="276" w:lineRule="auto"/>
              <w:jc w:val="center"/>
            </w:pPr>
            <w:r>
              <w:lastRenderedPageBreak/>
              <w:t>2021-22</w:t>
            </w:r>
          </w:p>
        </w:tc>
        <w:tc>
          <w:tcPr>
            <w:tcW w:w="1803" w:type="dxa"/>
          </w:tcPr>
          <w:p w14:paraId="3356573F" w14:textId="5A009A0F" w:rsidR="006F759E" w:rsidRDefault="006F759E"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t>80</w:t>
            </w:r>
            <w:r w:rsidR="008F0488">
              <w:t>,</w:t>
            </w:r>
            <w:r>
              <w:t>545</w:t>
            </w:r>
          </w:p>
        </w:tc>
        <w:tc>
          <w:tcPr>
            <w:tcW w:w="1803" w:type="dxa"/>
          </w:tcPr>
          <w:p w14:paraId="125DCB0E" w14:textId="75050CD7" w:rsidR="006F759E" w:rsidRDefault="006F759E"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t>10.12</w:t>
            </w:r>
          </w:p>
        </w:tc>
        <w:tc>
          <w:tcPr>
            <w:tcW w:w="1803" w:type="dxa"/>
          </w:tcPr>
          <w:p w14:paraId="33439049" w14:textId="7B9436FF" w:rsidR="006F759E" w:rsidRDefault="008F0488"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t>92,583</w:t>
            </w:r>
          </w:p>
        </w:tc>
        <w:tc>
          <w:tcPr>
            <w:tcW w:w="1804" w:type="dxa"/>
          </w:tcPr>
          <w:p w14:paraId="4202FCD6" w14:textId="4CC768FD" w:rsidR="006F759E" w:rsidRDefault="008F0488" w:rsidP="00777FCE">
            <w:pPr>
              <w:spacing w:line="276" w:lineRule="auto"/>
              <w:jc w:val="center"/>
              <w:cnfStyle w:val="000000000000" w:firstRow="0" w:lastRow="0" w:firstColumn="0" w:lastColumn="0" w:oddVBand="0" w:evenVBand="0" w:oddHBand="0" w:evenHBand="0" w:firstRowFirstColumn="0" w:firstRowLastColumn="0" w:lastRowFirstColumn="0" w:lastRowLastColumn="0"/>
            </w:pPr>
            <w:r>
              <w:t>7.6</w:t>
            </w:r>
          </w:p>
        </w:tc>
      </w:tr>
      <w:tr w:rsidR="006F759E" w14:paraId="20A60F8D" w14:textId="77777777" w:rsidTr="006D22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32FF3230" w14:textId="77777777" w:rsidR="006F759E" w:rsidRDefault="006F759E" w:rsidP="00777FCE">
            <w:pPr>
              <w:spacing w:line="276" w:lineRule="auto"/>
              <w:jc w:val="center"/>
            </w:pPr>
            <w:r>
              <w:t>2022-23</w:t>
            </w:r>
          </w:p>
        </w:tc>
        <w:tc>
          <w:tcPr>
            <w:tcW w:w="1803" w:type="dxa"/>
          </w:tcPr>
          <w:p w14:paraId="03352F83" w14:textId="64231C13" w:rsidR="006F759E" w:rsidRDefault="006F759E"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86</w:t>
            </w:r>
            <w:r w:rsidR="008F0488">
              <w:t>,</w:t>
            </w:r>
            <w:r>
              <w:t>134</w:t>
            </w:r>
          </w:p>
        </w:tc>
        <w:tc>
          <w:tcPr>
            <w:tcW w:w="1803" w:type="dxa"/>
          </w:tcPr>
          <w:p w14:paraId="2A6C606D" w14:textId="4F9867F3" w:rsidR="006F759E" w:rsidRDefault="006F759E"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6.94</w:t>
            </w:r>
          </w:p>
        </w:tc>
        <w:tc>
          <w:tcPr>
            <w:tcW w:w="1803" w:type="dxa"/>
          </w:tcPr>
          <w:p w14:paraId="1ABBF30B" w14:textId="000ED0DF" w:rsidR="006F759E" w:rsidRDefault="008F0488"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98,374</w:t>
            </w:r>
          </w:p>
        </w:tc>
        <w:tc>
          <w:tcPr>
            <w:tcW w:w="1804" w:type="dxa"/>
          </w:tcPr>
          <w:p w14:paraId="3767B561" w14:textId="3B08747C" w:rsidR="006F759E" w:rsidRDefault="008F0488" w:rsidP="00777FCE">
            <w:pPr>
              <w:spacing w:line="276" w:lineRule="auto"/>
              <w:jc w:val="center"/>
              <w:cnfStyle w:val="000000100000" w:firstRow="0" w:lastRow="0" w:firstColumn="0" w:lastColumn="0" w:oddVBand="0" w:evenVBand="0" w:oddHBand="1" w:evenHBand="0" w:firstRowFirstColumn="0" w:firstRowLastColumn="0" w:lastRowFirstColumn="0" w:lastRowLastColumn="0"/>
            </w:pPr>
            <w:r>
              <w:t>6.3</w:t>
            </w:r>
          </w:p>
        </w:tc>
      </w:tr>
    </w:tbl>
    <w:p w14:paraId="1AB72F2A" w14:textId="3A255E47" w:rsidR="00AB0385" w:rsidRPr="002C4DCA" w:rsidRDefault="00362709" w:rsidP="002C4DCA">
      <w:pPr>
        <w:spacing w:line="276" w:lineRule="auto"/>
        <w:jc w:val="both"/>
        <w:rPr>
          <w:sz w:val="20"/>
          <w:szCs w:val="20"/>
        </w:rPr>
      </w:pPr>
      <w:r w:rsidRPr="00362709">
        <w:rPr>
          <w:sz w:val="20"/>
          <w:szCs w:val="20"/>
        </w:rPr>
        <w:t>Source: Directorate of Economics &amp; Statistics, Rajasthan</w:t>
      </w:r>
    </w:p>
    <w:p w14:paraId="3C68ED01" w14:textId="77777777" w:rsidR="001D4F28" w:rsidRDefault="001D4F28" w:rsidP="001D4F28">
      <w:pPr>
        <w:spacing w:line="276" w:lineRule="auto"/>
        <w:jc w:val="center"/>
        <w:rPr>
          <w:b/>
          <w:bCs/>
        </w:rPr>
      </w:pPr>
    </w:p>
    <w:p w14:paraId="3A7208DF" w14:textId="4EC37B95" w:rsidR="00007282" w:rsidRPr="001D4F28" w:rsidRDefault="00007282" w:rsidP="001D4F28">
      <w:pPr>
        <w:spacing w:line="276" w:lineRule="auto"/>
        <w:jc w:val="center"/>
        <w:rPr>
          <w:b/>
          <w:bCs/>
        </w:rPr>
      </w:pPr>
      <w:r w:rsidRPr="002E56E1">
        <w:rPr>
          <w:b/>
          <w:bCs/>
        </w:rPr>
        <w:t>Figure 2</w:t>
      </w:r>
    </w:p>
    <w:p w14:paraId="0EF620AF" w14:textId="6F55344E" w:rsidR="00AB0385" w:rsidRDefault="001D4F28" w:rsidP="00267A46">
      <w:pPr>
        <w:spacing w:line="276" w:lineRule="auto"/>
        <w:jc w:val="center"/>
      </w:pPr>
      <w:r>
        <w:rPr>
          <w:noProof/>
        </w:rPr>
        <w:drawing>
          <wp:inline distT="0" distB="0" distL="0" distR="0" wp14:anchorId="32C4840E" wp14:editId="2F1F74BC">
            <wp:extent cx="5904310" cy="3529330"/>
            <wp:effectExtent l="0" t="0" r="1270" b="13970"/>
            <wp:docPr id="468671187" name="Chart 1">
              <a:extLst xmlns:a="http://schemas.openxmlformats.org/drawingml/2006/main">
                <a:ext uri="{FF2B5EF4-FFF2-40B4-BE49-F238E27FC236}">
                  <a16:creationId xmlns:a16="http://schemas.microsoft.com/office/drawing/2014/main" id="{38608538-5D48-E791-6D04-D30C556482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331A833" w14:textId="77777777" w:rsidR="001D4F28" w:rsidRDefault="001D4F28" w:rsidP="00777FCE">
      <w:pPr>
        <w:spacing w:line="276" w:lineRule="auto"/>
        <w:jc w:val="both"/>
        <w:rPr>
          <w:b/>
          <w:bCs/>
          <w:sz w:val="28"/>
          <w:szCs w:val="28"/>
          <w:u w:val="single"/>
        </w:rPr>
      </w:pPr>
    </w:p>
    <w:p w14:paraId="43CB2DE6" w14:textId="20590C18" w:rsidR="00007282" w:rsidRPr="00986F5D" w:rsidRDefault="00007282" w:rsidP="00777FCE">
      <w:pPr>
        <w:spacing w:line="276" w:lineRule="auto"/>
        <w:jc w:val="both"/>
        <w:rPr>
          <w:b/>
          <w:bCs/>
          <w:sz w:val="28"/>
          <w:szCs w:val="28"/>
          <w:u w:val="single"/>
        </w:rPr>
      </w:pPr>
      <w:r w:rsidRPr="00986F5D">
        <w:rPr>
          <w:b/>
          <w:bCs/>
          <w:sz w:val="28"/>
          <w:szCs w:val="28"/>
          <w:u w:val="single"/>
        </w:rPr>
        <w:t>Impact of Major Economic Events</w:t>
      </w:r>
    </w:p>
    <w:p w14:paraId="64ACB70E" w14:textId="3F7B7AAE" w:rsidR="00007282" w:rsidRDefault="00007282" w:rsidP="00777FCE">
      <w:pPr>
        <w:spacing w:line="276" w:lineRule="auto"/>
        <w:jc w:val="both"/>
      </w:pPr>
      <w:r>
        <w:t xml:space="preserve">The following analysis delves into how major disruptions have shaped Rajasthan’s economic growth. </w:t>
      </w:r>
      <w:r w:rsidR="001202E6">
        <w:t>These events</w:t>
      </w:r>
      <w:r>
        <w:t xml:space="preserve"> have had both direct and indirect effects on Rajasthan’s economy. </w:t>
      </w:r>
    </w:p>
    <w:p w14:paraId="595B6E25" w14:textId="77777777" w:rsidR="003B30A5" w:rsidRDefault="003B30A5" w:rsidP="00777FCE">
      <w:pPr>
        <w:spacing w:line="276" w:lineRule="auto"/>
        <w:jc w:val="both"/>
      </w:pPr>
    </w:p>
    <w:p w14:paraId="50F78082" w14:textId="7A043B49" w:rsidR="00007282" w:rsidRDefault="00007282" w:rsidP="00777FCE">
      <w:pPr>
        <w:spacing w:line="276" w:lineRule="auto"/>
        <w:jc w:val="both"/>
      </w:pPr>
      <w:r w:rsidRPr="00986F5D">
        <w:rPr>
          <w:b/>
          <w:bCs/>
        </w:rPr>
        <w:t>Demonetization:</w:t>
      </w:r>
      <w:r>
        <w:t xml:space="preserve"> On 8</w:t>
      </w:r>
      <w:r w:rsidRPr="00986F5D">
        <w:rPr>
          <w:vertAlign w:val="superscript"/>
        </w:rPr>
        <w:t>th</w:t>
      </w:r>
      <w:r>
        <w:t xml:space="preserve"> November, 2016 the Rs 500 and Rs 1000 </w:t>
      </w:r>
      <w:r w:rsidR="00755A0F">
        <w:t>bank</w:t>
      </w:r>
      <w:r>
        <w:t>notes were</w:t>
      </w:r>
      <w:r w:rsidR="00755A0F">
        <w:t xml:space="preserve"> invalidated </w:t>
      </w:r>
      <w:r w:rsidR="00755A0F" w:rsidRPr="00755A0F">
        <w:t>to curb black money and counterfeit currency</w:t>
      </w:r>
      <w:r w:rsidR="00755A0F">
        <w:t xml:space="preserve">. </w:t>
      </w:r>
      <w:r w:rsidR="00755A0F" w:rsidRPr="00755A0F">
        <w:t>It led to a cash crunch and affected various sectors, particularly informal businesses.</w:t>
      </w:r>
      <w:r w:rsidR="00755A0F">
        <w:t xml:space="preserve"> </w:t>
      </w:r>
      <w:r w:rsidR="00755A0F" w:rsidRPr="00755A0F">
        <w:t>The immediate effect was a contraction in economic activity, especially in cash-dependent sectors like agriculture, retail, and construction.</w:t>
      </w:r>
      <w:r w:rsidR="00EE2A13">
        <w:t xml:space="preserve"> </w:t>
      </w:r>
      <w:r w:rsidR="00EE2A13" w:rsidRPr="00EE2A13">
        <w:t>Rajasthan's GSDP growth rate slowed from 8.02% in 2015-16 to 5.93% in 2016-17</w:t>
      </w:r>
      <w:r w:rsidR="00EE2A13">
        <w:t xml:space="preserve">. </w:t>
      </w:r>
      <w:r w:rsidR="00EE2A13" w:rsidRPr="00EE2A13">
        <w:t xml:space="preserve">Though the agricultural sector showed some resilience, </w:t>
      </w:r>
      <w:r w:rsidR="00EE2A13" w:rsidRPr="00EE2A13">
        <w:rPr>
          <w:b/>
          <w:bCs/>
        </w:rPr>
        <w:t>cash shortages</w:t>
      </w:r>
      <w:r w:rsidR="00EE2A13" w:rsidRPr="00EE2A13">
        <w:t xml:space="preserve"> made it difficult for farmers to buy seeds, fertilizers, and hire labour during critical planting and harvesting seasons.</w:t>
      </w:r>
      <w:r w:rsidR="00EE2A13">
        <w:t xml:space="preserve"> I</w:t>
      </w:r>
      <w:r w:rsidR="00EE2A13" w:rsidRPr="00EE2A13">
        <w:t xml:space="preserve">n </w:t>
      </w:r>
      <w:r w:rsidR="00EE2A13">
        <w:t>Table 3</w:t>
      </w:r>
      <w:r w:rsidR="00EE2A13" w:rsidRPr="00EE2A13">
        <w:t>, crops sub-sector showed slow growth, while livestock was less affected due to a relatively less cash-dependent supply chain.</w:t>
      </w:r>
      <w:r w:rsidR="00EE2A13">
        <w:t xml:space="preserve"> </w:t>
      </w:r>
      <w:r w:rsidR="00EE2A13" w:rsidRPr="00EE2A13">
        <w:t>The services sector, including trade, hotels, and transportation, witnessed immediate declines in demand due to the cash crunch.</w:t>
      </w:r>
      <w:r w:rsidR="00EE2A13">
        <w:t xml:space="preserve"> </w:t>
      </w:r>
      <w:r w:rsidR="00EE2A13" w:rsidRPr="00EE2A13">
        <w:rPr>
          <w:b/>
          <w:bCs/>
        </w:rPr>
        <w:t>Construction</w:t>
      </w:r>
      <w:r w:rsidR="00EE2A13" w:rsidRPr="00EE2A13">
        <w:t xml:space="preserve"> (a labour-intensive sector) was particularly hit, with contractors unable to pay wages, leading to slowdowns or halts in projects.</w:t>
      </w:r>
      <w:r w:rsidR="00EE2A13">
        <w:t xml:space="preserve"> </w:t>
      </w:r>
    </w:p>
    <w:p w14:paraId="73590292" w14:textId="77777777" w:rsidR="00EE2A13" w:rsidRDefault="00EE2A13" w:rsidP="00777FCE">
      <w:pPr>
        <w:spacing w:line="276" w:lineRule="auto"/>
        <w:jc w:val="both"/>
      </w:pPr>
    </w:p>
    <w:p w14:paraId="65BA1A30" w14:textId="4CF05593" w:rsidR="00EE2A13" w:rsidRDefault="00EE2A13" w:rsidP="00777FCE">
      <w:pPr>
        <w:spacing w:line="276" w:lineRule="auto"/>
        <w:jc w:val="both"/>
      </w:pPr>
      <w:r w:rsidRPr="00EE2A13">
        <w:rPr>
          <w:b/>
          <w:bCs/>
        </w:rPr>
        <w:t xml:space="preserve">GST: </w:t>
      </w:r>
      <w:r w:rsidRPr="00EE2A13">
        <w:t>Implemented on July 1, 2017, GST aimed to unify indirect taxes across the country, simplify the tax structure, and enhance compliance.</w:t>
      </w:r>
      <w:r>
        <w:t xml:space="preserve"> </w:t>
      </w:r>
      <w:r w:rsidR="001A71CF">
        <w:t>Gautam (2020) reveals that the tax revenue collection has increased for Rajasthan after the implementation of GST. Between 2017-19, Rajasthan achieved the target of 1000 crores</w:t>
      </w:r>
      <w:r w:rsidR="00AD7BF8">
        <w:t>/month GST collected five times. However, i</w:t>
      </w:r>
      <w:r w:rsidR="00AD7BF8" w:rsidRPr="00AD7BF8">
        <w:t>n 2019-20, Rajasthan experienced the most significant decline in GST collections compared to the Revenue Under Protection, relative to 2018-19.</w:t>
      </w:r>
      <w:r w:rsidR="00AD7BF8">
        <w:t xml:space="preserve"> Pre-GST (average share during </w:t>
      </w:r>
      <w:r w:rsidR="00AD7BF8" w:rsidRPr="00AD7BF8">
        <w:t>2014-15 to 2016-17</w:t>
      </w:r>
      <w:r w:rsidR="00AD7BF8">
        <w:t xml:space="preserve">) and post-GST (average share during </w:t>
      </w:r>
      <w:r w:rsidR="00AD7BF8" w:rsidRPr="00AD7BF8">
        <w:t>2018-19 to 2020-21</w:t>
      </w:r>
      <w:r w:rsidR="00AD7BF8">
        <w:t>)</w:t>
      </w:r>
      <w:r w:rsidR="004F340C">
        <w:t xml:space="preserve"> percentage of GSDP saw a 0.07% decline (Mukherjee,</w:t>
      </w:r>
      <w:r w:rsidR="009B4535">
        <w:t xml:space="preserve"> </w:t>
      </w:r>
      <w:r w:rsidR="004F340C">
        <w:t xml:space="preserve">2023). </w:t>
      </w:r>
    </w:p>
    <w:p w14:paraId="6A78451B" w14:textId="77777777" w:rsidR="004F340C" w:rsidRDefault="004F340C" w:rsidP="00777FCE">
      <w:pPr>
        <w:spacing w:line="276" w:lineRule="auto"/>
        <w:jc w:val="both"/>
      </w:pPr>
    </w:p>
    <w:p w14:paraId="0584AEE7" w14:textId="4E367735" w:rsidR="00B65F80" w:rsidRDefault="004F340C" w:rsidP="00777FCE">
      <w:pPr>
        <w:spacing w:line="276" w:lineRule="auto"/>
        <w:jc w:val="both"/>
      </w:pPr>
      <w:r w:rsidRPr="00225821">
        <w:rPr>
          <w:b/>
          <w:bCs/>
        </w:rPr>
        <w:t>COVID-19 pandemic:</w:t>
      </w:r>
      <w:r>
        <w:t xml:space="preserve"> </w:t>
      </w:r>
      <w:r w:rsidR="00225821" w:rsidRPr="00225821">
        <w:t xml:space="preserve">The pandemic led to nationwide lockdowns starting March 2020, resulting in significant disruptions across sectors. </w:t>
      </w:r>
      <w:r w:rsidR="00225821">
        <w:t>Kumar</w:t>
      </w:r>
      <w:r w:rsidR="00080E50">
        <w:t xml:space="preserve"> and </w:t>
      </w:r>
      <w:proofErr w:type="spellStart"/>
      <w:r w:rsidR="00080E50">
        <w:t>Bhadu</w:t>
      </w:r>
      <w:proofErr w:type="spellEnd"/>
      <w:r w:rsidR="00225821">
        <w:t xml:space="preserve"> (2022) reveals that i</w:t>
      </w:r>
      <w:r w:rsidR="00225821" w:rsidRPr="00225821">
        <w:t>n 2020, Rajasthan's tourism industry experienced a decline of over 71% compared to 2019.</w:t>
      </w:r>
      <w:r w:rsidR="00225821">
        <w:t xml:space="preserve"> </w:t>
      </w:r>
      <w:r w:rsidR="00225821" w:rsidRPr="00225821">
        <w:t>This resulted in a reduction of the state's income by ₹17,500 crores during 2019-2020, reflecting a 12.5% decrease from the previous year.</w:t>
      </w:r>
      <w:r w:rsidR="00225821">
        <w:t xml:space="preserve"> </w:t>
      </w:r>
      <w:r w:rsidR="00225821" w:rsidRPr="00225821">
        <w:t xml:space="preserve">In 2020-21, the GSVA contracted to ₹61,596.32 crores, down from ₹67,831.56 crores in 2019-20. </w:t>
      </w:r>
      <w:r w:rsidR="00A0091B">
        <w:t>During 2020-21, the manufacturing sector experienced a negative 1.88% annual growth (Rajasthan SDGs Status Report 2024).</w:t>
      </w:r>
      <w:r w:rsidR="00B65F80">
        <w:t xml:space="preserve"> Manufacturing and services both saw a decline of 7.5% and 10.9% respectively in the year 2020-21. </w:t>
      </w:r>
      <w:r w:rsidR="00225821" w:rsidRPr="00225821">
        <w:t>The agriculture sector showed resilience, with GSVA increasing slightly to ₹18,690.23 crores compared to ₹17,582.58 crores in 2019-20, aided by favourable monsoon conditions and increased demand for essential goods.</w:t>
      </w:r>
      <w:r w:rsidR="00225821">
        <w:t xml:space="preserve"> </w:t>
      </w:r>
      <w:r w:rsidR="00225821" w:rsidRPr="00225821">
        <w:t>Policy responses played a crucial role in mitigating impacts.</w:t>
      </w:r>
    </w:p>
    <w:p w14:paraId="4D7EEB37" w14:textId="77777777" w:rsidR="004221E1" w:rsidRPr="00B65F80" w:rsidRDefault="004221E1" w:rsidP="00777FCE">
      <w:pPr>
        <w:spacing w:line="276" w:lineRule="auto"/>
        <w:jc w:val="center"/>
        <w:rPr>
          <w:sz w:val="20"/>
          <w:szCs w:val="20"/>
        </w:rPr>
      </w:pPr>
    </w:p>
    <w:p w14:paraId="0D4B69D8" w14:textId="4EFBE32E" w:rsidR="00007282" w:rsidRPr="00E84D72" w:rsidRDefault="00007282" w:rsidP="00777FCE">
      <w:pPr>
        <w:spacing w:line="276" w:lineRule="auto"/>
        <w:jc w:val="both"/>
        <w:rPr>
          <w:b/>
          <w:bCs/>
          <w:sz w:val="28"/>
          <w:szCs w:val="28"/>
          <w:u w:val="single"/>
        </w:rPr>
      </w:pPr>
      <w:r w:rsidRPr="00E84D72">
        <w:rPr>
          <w:b/>
          <w:bCs/>
          <w:sz w:val="28"/>
          <w:szCs w:val="28"/>
          <w:u w:val="single"/>
        </w:rPr>
        <w:t>Sectoral Performance and Structural Transformation</w:t>
      </w:r>
    </w:p>
    <w:p w14:paraId="728C13CA" w14:textId="77777777" w:rsidR="00B65F80" w:rsidRDefault="00E84D72" w:rsidP="00777FCE">
      <w:pPr>
        <w:spacing w:line="276" w:lineRule="auto"/>
        <w:jc w:val="both"/>
      </w:pPr>
      <w:r>
        <w:t xml:space="preserve">The paper now delves into the state’s economic structure and its evolution over time. </w:t>
      </w:r>
      <w:r w:rsidR="00BE26BC">
        <w:t xml:space="preserve">The </w:t>
      </w:r>
      <w:r w:rsidR="00BE26BC" w:rsidRPr="001202E6">
        <w:rPr>
          <w:b/>
          <w:bCs/>
          <w:u w:val="single"/>
        </w:rPr>
        <w:t>primary sector</w:t>
      </w:r>
      <w:r w:rsidR="00BE26BC">
        <w:t xml:space="preserve"> has seen a steady growth in GSVA (at constant prices 2011-12), from Rs </w:t>
      </w:r>
      <w:r w:rsidR="00533D3E" w:rsidRPr="007F3EF7">
        <w:t>1</w:t>
      </w:r>
      <w:r w:rsidR="00533D3E">
        <w:t>,</w:t>
      </w:r>
      <w:r w:rsidR="00533D3E" w:rsidRPr="007F3EF7">
        <w:t>37</w:t>
      </w:r>
      <w:r w:rsidR="00533D3E">
        <w:t>,</w:t>
      </w:r>
      <w:r w:rsidR="00533D3E" w:rsidRPr="007F3EF7">
        <w:t>51</w:t>
      </w:r>
      <w:r w:rsidR="00533D3E">
        <w:t>,</w:t>
      </w:r>
      <w:r w:rsidR="00533D3E" w:rsidRPr="007F3EF7">
        <w:t>833</w:t>
      </w:r>
      <w:r w:rsidR="00533D3E">
        <w:rPr>
          <w:b/>
          <w:bCs/>
          <w:color w:val="FF0000"/>
        </w:rPr>
        <w:t xml:space="preserve"> </w:t>
      </w:r>
      <w:r w:rsidR="00BE26BC">
        <w:t xml:space="preserve">lakh in 2011-12 to Rs </w:t>
      </w:r>
      <w:r w:rsidR="00533D3E" w:rsidRPr="00533D3E">
        <w:t>2</w:t>
      </w:r>
      <w:r w:rsidR="00533D3E">
        <w:t>,</w:t>
      </w:r>
      <w:r w:rsidR="00533D3E" w:rsidRPr="00533D3E">
        <w:t>29</w:t>
      </w:r>
      <w:r w:rsidR="00533D3E">
        <w:t>,</w:t>
      </w:r>
      <w:r w:rsidR="00533D3E" w:rsidRPr="00533D3E">
        <w:t>66</w:t>
      </w:r>
      <w:r w:rsidR="00533D3E">
        <w:t>,</w:t>
      </w:r>
      <w:r w:rsidR="00533D3E" w:rsidRPr="00533D3E">
        <w:t>116</w:t>
      </w:r>
      <w:r w:rsidR="00533D3E">
        <w:t xml:space="preserve"> </w:t>
      </w:r>
      <w:r w:rsidR="00BE26BC">
        <w:t xml:space="preserve">lakh in 2023-24. </w:t>
      </w:r>
    </w:p>
    <w:p w14:paraId="482BD2F6" w14:textId="77777777" w:rsidR="001202E6" w:rsidRDefault="001202E6" w:rsidP="00777FCE">
      <w:pPr>
        <w:spacing w:line="276" w:lineRule="auto"/>
        <w:jc w:val="both"/>
      </w:pPr>
    </w:p>
    <w:p w14:paraId="6ABCC373" w14:textId="77777777" w:rsidR="00B65F80" w:rsidRDefault="00C72EB1" w:rsidP="00777FCE">
      <w:pPr>
        <w:spacing w:line="276" w:lineRule="auto"/>
        <w:jc w:val="both"/>
      </w:pPr>
      <w:r>
        <w:t>In agriculture, t</w:t>
      </w:r>
      <w:r w:rsidR="00BE26BC">
        <w:t xml:space="preserve">he </w:t>
      </w:r>
      <w:r w:rsidR="00BE26BC" w:rsidRPr="001202E6">
        <w:rPr>
          <w:b/>
          <w:bCs/>
        </w:rPr>
        <w:t>crop sector</w:t>
      </w:r>
      <w:r w:rsidR="00BE26BC">
        <w:t xml:space="preserve"> has shown significant fluctuations from Rs 7</w:t>
      </w:r>
      <w:r w:rsidR="00596215">
        <w:t>3,</w:t>
      </w:r>
      <w:r w:rsidR="00BE26BC">
        <w:t>46</w:t>
      </w:r>
      <w:r w:rsidR="00596215">
        <w:t xml:space="preserve">9.42 crore in 2011-12 to Rs </w:t>
      </w:r>
      <w:r w:rsidR="00596215" w:rsidRPr="00EC5685">
        <w:t>91</w:t>
      </w:r>
      <w:r w:rsidR="00596215">
        <w:t>,</w:t>
      </w:r>
      <w:r w:rsidR="00596215" w:rsidRPr="00EC5685">
        <w:t>371</w:t>
      </w:r>
      <w:r w:rsidR="00596215">
        <w:t>.</w:t>
      </w:r>
      <w:r w:rsidR="00596215" w:rsidRPr="00EC5685">
        <w:t>45</w:t>
      </w:r>
      <w:r w:rsidR="00596215">
        <w:t xml:space="preserve"> crore in 2023-24. After the sector peaked in 2019-20 at Rs </w:t>
      </w:r>
      <w:r w:rsidR="00596215" w:rsidRPr="00596215">
        <w:t>87</w:t>
      </w:r>
      <w:r w:rsidR="00596215">
        <w:t>,</w:t>
      </w:r>
      <w:r w:rsidR="00596215" w:rsidRPr="00596215">
        <w:t>214</w:t>
      </w:r>
      <w:r w:rsidR="00596215">
        <w:t>.</w:t>
      </w:r>
      <w:r w:rsidR="00596215" w:rsidRPr="00596215">
        <w:t>41</w:t>
      </w:r>
      <w:r w:rsidR="00596215">
        <w:t xml:space="preserve"> crore, it saw a decline in 2020-21 and 2022-23. The 2020-21 e</w:t>
      </w:r>
      <w:r w:rsidR="00596215" w:rsidRPr="00596215">
        <w:t>xperienced a decline in the sowing of kharif crops</w:t>
      </w:r>
      <w:r w:rsidR="005E3F6F">
        <w:t xml:space="preserve"> (jowar, bajra, moong, maize)</w:t>
      </w:r>
      <w:r w:rsidR="00596215" w:rsidRPr="00596215">
        <w:t xml:space="preserve"> due to insufficient rainfall.</w:t>
      </w:r>
      <w:r w:rsidR="00596215">
        <w:t xml:space="preserve"> Districts like Jalore, Bikaner and </w:t>
      </w:r>
      <w:proofErr w:type="spellStart"/>
      <w:r w:rsidR="00596215">
        <w:t>Bharatpur</w:t>
      </w:r>
      <w:proofErr w:type="spellEnd"/>
      <w:r w:rsidR="00596215">
        <w:t xml:space="preserve"> could only meet 22.7%, 27.55% and 29.26% of their sowing targets</w:t>
      </w:r>
      <w:r w:rsidR="005E3F6F">
        <w:t xml:space="preserve"> respectively (The New Indian Express, 2021). However, the sector rebounded in 2022-23 and 2023-24. Livestock has demonstrated a consistent growth from Rs </w:t>
      </w:r>
      <w:r w:rsidR="005E3F6F" w:rsidRPr="005E3F6F">
        <w:t>31</w:t>
      </w:r>
      <w:r w:rsidR="005E3F6F">
        <w:t>,</w:t>
      </w:r>
      <w:r w:rsidR="005E3F6F" w:rsidRPr="005E3F6F">
        <w:t>132</w:t>
      </w:r>
      <w:r w:rsidR="005E3F6F">
        <w:t>.</w:t>
      </w:r>
      <w:r w:rsidR="005E3F6F" w:rsidRPr="005E3F6F">
        <w:t>25</w:t>
      </w:r>
      <w:r w:rsidR="005E3F6F">
        <w:t xml:space="preserve"> </w:t>
      </w:r>
      <w:r w:rsidR="0003376E">
        <w:t xml:space="preserve">crore in 2011-12 to Rs </w:t>
      </w:r>
      <w:r w:rsidR="0003376E" w:rsidRPr="00EC5685">
        <w:t>92</w:t>
      </w:r>
      <w:r w:rsidR="0003376E">
        <w:t>,</w:t>
      </w:r>
      <w:r w:rsidR="0003376E" w:rsidRPr="00EC5685">
        <w:t>070</w:t>
      </w:r>
      <w:r w:rsidR="0003376E">
        <w:t>.</w:t>
      </w:r>
      <w:r w:rsidR="0003376E" w:rsidRPr="00EC5685">
        <w:t>83</w:t>
      </w:r>
      <w:r w:rsidR="0003376E">
        <w:t xml:space="preserve"> crore in 2023-24, driven by the rising demand of dairy and meat products. </w:t>
      </w:r>
      <w:r w:rsidR="0003376E" w:rsidRPr="001202E6">
        <w:rPr>
          <w:b/>
          <w:bCs/>
        </w:rPr>
        <w:t>Livestock’s</w:t>
      </w:r>
      <w:r w:rsidR="0003376E">
        <w:t xml:space="preserve"> contribution to the agriculture has grown significantly from 26% of the total agriculture share in 2011-12 to 45% of the total agriculture share in 2023-24, surpassing crops as a leading sub-sector which had a dominant share of 62% of the total agriculture share in 2011-12. </w:t>
      </w:r>
      <w:r w:rsidR="0003376E" w:rsidRPr="0003376E">
        <w:t xml:space="preserve">This reflects Rajasthan’s shift toward diversified agricultural practices, particularly </w:t>
      </w:r>
      <w:r w:rsidR="0003376E" w:rsidRPr="0003376E">
        <w:lastRenderedPageBreak/>
        <w:t>in animal husbandry.</w:t>
      </w:r>
      <w:r>
        <w:t xml:space="preserve"> </w:t>
      </w:r>
      <w:r w:rsidRPr="00C72EB1">
        <w:t>Animal husbandry</w:t>
      </w:r>
      <w:r>
        <w:t xml:space="preserve"> in Rajasthan</w:t>
      </w:r>
      <w:r w:rsidRPr="00C72EB1">
        <w:t xml:space="preserve"> is not just a supplement to agriculture but a significant economic activity in arid and semi-arid regions</w:t>
      </w:r>
      <w:r>
        <w:t xml:space="preserve">. It </w:t>
      </w:r>
      <w:r w:rsidRPr="00C72EB1">
        <w:t>serv</w:t>
      </w:r>
      <w:r>
        <w:t>es</w:t>
      </w:r>
      <w:r w:rsidRPr="00C72EB1">
        <w:t xml:space="preserve"> as a safeguard against frequently occurring scarcity conditions</w:t>
      </w:r>
      <w:r>
        <w:t xml:space="preserve"> in the state. In 2024, the government has decided to a establish a Rs 250 crore fund for animal husbandry development (TOI, 2024). </w:t>
      </w:r>
    </w:p>
    <w:p w14:paraId="171F46C0" w14:textId="77777777" w:rsidR="00B65F80" w:rsidRDefault="00B65F80" w:rsidP="00777FCE">
      <w:pPr>
        <w:spacing w:line="276" w:lineRule="auto"/>
        <w:jc w:val="both"/>
      </w:pPr>
    </w:p>
    <w:p w14:paraId="4C4EE1E0" w14:textId="2695B7B3" w:rsidR="009D4DB9" w:rsidRDefault="00C72EB1" w:rsidP="00777FCE">
      <w:pPr>
        <w:spacing w:line="276" w:lineRule="auto"/>
        <w:jc w:val="both"/>
      </w:pPr>
      <w:r w:rsidRPr="0049224D">
        <w:rPr>
          <w:b/>
          <w:bCs/>
        </w:rPr>
        <w:t>Forestry and logging</w:t>
      </w:r>
      <w:r>
        <w:t xml:space="preserve"> </w:t>
      </w:r>
      <w:r w:rsidR="002B6E37">
        <w:t>have</w:t>
      </w:r>
      <w:r>
        <w:t xml:space="preserve"> grown moderately from Rs </w:t>
      </w:r>
      <w:r w:rsidRPr="007F3EF7">
        <w:t>14</w:t>
      </w:r>
      <w:r>
        <w:t>,</w:t>
      </w:r>
      <w:r w:rsidRPr="007F3EF7">
        <w:t>170</w:t>
      </w:r>
      <w:r>
        <w:t>.</w:t>
      </w:r>
      <w:r w:rsidRPr="007F3EF7">
        <w:t>30</w:t>
      </w:r>
      <w:r>
        <w:t xml:space="preserve"> in 2011-12 to Rs </w:t>
      </w:r>
      <w:r w:rsidRPr="00EC5685">
        <w:t>20</w:t>
      </w:r>
      <w:r w:rsidR="002B6E37">
        <w:t>,</w:t>
      </w:r>
      <w:r w:rsidRPr="00EC5685">
        <w:t>130</w:t>
      </w:r>
      <w:r w:rsidR="002B6E37">
        <w:t>.</w:t>
      </w:r>
      <w:r w:rsidRPr="00EC5685">
        <w:t>92</w:t>
      </w:r>
      <w:r w:rsidR="002B6E37">
        <w:t xml:space="preserve"> crore in 2023-24</w:t>
      </w:r>
      <w:r w:rsidR="00892DD3">
        <w:t xml:space="preserve"> and </w:t>
      </w:r>
      <w:r w:rsidR="002B6E37">
        <w:t xml:space="preserve">could be attributed to the recent increase in forest cover and sustainable forest management practices. </w:t>
      </w:r>
      <w:r w:rsidR="002B6E37" w:rsidRPr="002B6E37">
        <w:t xml:space="preserve">Although small in scale, the </w:t>
      </w:r>
      <w:r w:rsidR="002B6E37" w:rsidRPr="0049224D">
        <w:rPr>
          <w:b/>
          <w:bCs/>
        </w:rPr>
        <w:t>fishing and aquaculture</w:t>
      </w:r>
      <w:r w:rsidR="002B6E37" w:rsidRPr="002B6E37">
        <w:t xml:space="preserve"> sub-sector expanded impressively from ₹33 crores in 2011-12 to ₹100 crores in 2023-24.</w:t>
      </w:r>
      <w:r w:rsidR="002B6E37">
        <w:t xml:space="preserve"> </w:t>
      </w:r>
      <w:r w:rsidR="002B6E37" w:rsidRPr="0049224D">
        <w:rPr>
          <w:b/>
          <w:bCs/>
        </w:rPr>
        <w:t>Mining and quarrying</w:t>
      </w:r>
      <w:r w:rsidR="00892DD3">
        <w:t xml:space="preserve"> </w:t>
      </w:r>
      <w:r w:rsidR="009D5FB7">
        <w:t>have</w:t>
      </w:r>
      <w:r w:rsidR="002B6E37">
        <w:t xml:space="preserve"> demonstrated a robust growth from Rs </w:t>
      </w:r>
      <w:r w:rsidR="002B6E37" w:rsidRPr="007F3EF7">
        <w:t>18</w:t>
      </w:r>
      <w:r w:rsidR="002B6E37">
        <w:t>,</w:t>
      </w:r>
      <w:r w:rsidR="002B6E37" w:rsidRPr="007F3EF7">
        <w:t>415</w:t>
      </w:r>
      <w:r w:rsidR="002B6E37">
        <w:t>.</w:t>
      </w:r>
      <w:r w:rsidR="002B6E37" w:rsidRPr="007F3EF7">
        <w:t>30</w:t>
      </w:r>
      <w:r w:rsidR="002B6E37">
        <w:t xml:space="preserve"> crore in 2011-12 </w:t>
      </w:r>
      <w:r w:rsidR="009D5FB7">
        <w:t xml:space="preserve">to Rs </w:t>
      </w:r>
      <w:r w:rsidR="009D5FB7" w:rsidRPr="007F3EF7">
        <w:t>52</w:t>
      </w:r>
      <w:r w:rsidR="009D5FB7">
        <w:t>,</w:t>
      </w:r>
      <w:r w:rsidR="009D5FB7" w:rsidRPr="007F3EF7">
        <w:t>098</w:t>
      </w:r>
      <w:r w:rsidR="009D5FB7">
        <w:t>.</w:t>
      </w:r>
      <w:r w:rsidR="009D5FB7" w:rsidRPr="007F3EF7">
        <w:t>04</w:t>
      </w:r>
      <w:r w:rsidR="009D5FB7">
        <w:t xml:space="preserve"> crore in 2015-16. This can be attributed to increased mining activity. However, the later period is followed by fluctuations due to regulatory changes and environmental concerns. The period from 2018-20 faced a considerable decline but then the growth resumed in the post-pandemic period, reaching Rs </w:t>
      </w:r>
      <w:r w:rsidR="009D5FB7" w:rsidRPr="00EC5685">
        <w:t>25</w:t>
      </w:r>
      <w:r w:rsidR="009D5FB7">
        <w:t>,</w:t>
      </w:r>
      <w:r w:rsidR="009D5FB7" w:rsidRPr="00EC5685">
        <w:t>084</w:t>
      </w:r>
      <w:r w:rsidR="009D5FB7">
        <w:t>.</w:t>
      </w:r>
      <w:r w:rsidR="009D5FB7" w:rsidRPr="00EC5685">
        <w:t>77</w:t>
      </w:r>
      <w:r w:rsidR="009D5FB7">
        <w:t xml:space="preserve"> in 2023-24. </w:t>
      </w:r>
      <w:r w:rsidR="0033513F" w:rsidRPr="0033513F">
        <w:t>Rajasthan ranks as one of India's top mineral-producing states</w:t>
      </w:r>
      <w:r w:rsidR="00892DD3">
        <w:t xml:space="preserve"> with</w:t>
      </w:r>
      <w:r w:rsidR="0033513F" w:rsidRPr="0033513F">
        <w:t xml:space="preserve"> 57 </w:t>
      </w:r>
      <w:r w:rsidR="00892DD3" w:rsidRPr="0033513F">
        <w:t xml:space="preserve">varieties of minerals </w:t>
      </w:r>
      <w:r w:rsidR="0033513F" w:rsidRPr="0033513F">
        <w:t>produced on a commercial scale.</w:t>
      </w:r>
      <w:r w:rsidR="00892DD3">
        <w:t xml:space="preserve"> It</w:t>
      </w:r>
      <w:r w:rsidR="0033513F" w:rsidRPr="0033513F">
        <w:t xml:space="preserve"> is </w:t>
      </w:r>
      <w:r w:rsidR="00892DD3">
        <w:t xml:space="preserve">also </w:t>
      </w:r>
      <w:r w:rsidR="0033513F" w:rsidRPr="0033513F">
        <w:t>the nation's leading producer of cement-grade limestone</w:t>
      </w:r>
      <w:r w:rsidR="00892DD3">
        <w:t xml:space="preserve"> </w:t>
      </w:r>
      <w:r w:rsidR="0033513F">
        <w:t>(</w:t>
      </w:r>
      <w:r w:rsidR="002C7A4B" w:rsidRPr="000E3B68">
        <w:t>Bureau of Investment Promotion</w:t>
      </w:r>
      <w:r w:rsidR="0033513F">
        <w:t>, 2024).</w:t>
      </w:r>
    </w:p>
    <w:p w14:paraId="7FB5A6BE" w14:textId="77777777" w:rsidR="00F14BA9" w:rsidRDefault="00F14BA9" w:rsidP="00777FCE">
      <w:pPr>
        <w:spacing w:line="276" w:lineRule="auto"/>
        <w:jc w:val="both"/>
      </w:pPr>
    </w:p>
    <w:p w14:paraId="7BAD46E5" w14:textId="77777777" w:rsidR="00F14BA9" w:rsidRPr="00F14BA9" w:rsidRDefault="00F14BA9" w:rsidP="00F14BA9">
      <w:pPr>
        <w:spacing w:line="276" w:lineRule="auto"/>
        <w:jc w:val="center"/>
        <w:rPr>
          <w:b/>
          <w:bCs/>
        </w:rPr>
      </w:pPr>
      <w:r w:rsidRPr="00A57F40">
        <w:rPr>
          <w:b/>
          <w:bCs/>
        </w:rPr>
        <w:t>Figure</w:t>
      </w:r>
      <w:r>
        <w:rPr>
          <w:b/>
          <w:bCs/>
        </w:rPr>
        <w:t xml:space="preserve"> 3</w:t>
      </w:r>
    </w:p>
    <w:p w14:paraId="4185CBDF" w14:textId="77777777" w:rsidR="00F14BA9" w:rsidRDefault="00F14BA9" w:rsidP="00F14BA9">
      <w:pPr>
        <w:spacing w:line="276" w:lineRule="auto"/>
        <w:jc w:val="both"/>
      </w:pPr>
      <w:r>
        <w:rPr>
          <w:noProof/>
        </w:rPr>
        <w:drawing>
          <wp:inline distT="0" distB="0" distL="0" distR="0" wp14:anchorId="44EAF1DE" wp14:editId="044DB2E9">
            <wp:extent cx="5731510" cy="2711450"/>
            <wp:effectExtent l="0" t="0" r="2540" b="12700"/>
            <wp:docPr id="306252625" name="Chart 1">
              <a:extLst xmlns:a="http://schemas.openxmlformats.org/drawingml/2006/main">
                <a:ext uri="{FF2B5EF4-FFF2-40B4-BE49-F238E27FC236}">
                  <a16:creationId xmlns:a16="http://schemas.microsoft.com/office/drawing/2014/main" id="{9E664AB8-F149-5448-E88C-9318CD2267B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C43DCB5" w14:textId="690079FA" w:rsidR="006448D0" w:rsidRDefault="006448D0" w:rsidP="00777FCE">
      <w:pPr>
        <w:spacing w:line="276" w:lineRule="auto"/>
        <w:jc w:val="both"/>
      </w:pPr>
    </w:p>
    <w:p w14:paraId="337301EF" w14:textId="272C2800" w:rsidR="009D5FB7" w:rsidRDefault="00F92C27" w:rsidP="00777FCE">
      <w:pPr>
        <w:spacing w:line="276" w:lineRule="auto"/>
        <w:jc w:val="both"/>
      </w:pPr>
      <w:r>
        <w:t xml:space="preserve">The </w:t>
      </w:r>
      <w:r w:rsidRPr="0049224D">
        <w:rPr>
          <w:b/>
          <w:bCs/>
          <w:u w:val="single"/>
        </w:rPr>
        <w:t>secondary sector</w:t>
      </w:r>
      <w:r>
        <w:t xml:space="preserve"> has grown in importance with its GSVA rising from Rs </w:t>
      </w:r>
      <w:r w:rsidRPr="007F3EF7">
        <w:t>1</w:t>
      </w:r>
      <w:r>
        <w:t>,</w:t>
      </w:r>
      <w:r w:rsidRPr="007F3EF7">
        <w:t>17</w:t>
      </w:r>
      <w:r>
        <w:t>,</w:t>
      </w:r>
      <w:r w:rsidRPr="007F3EF7">
        <w:t>890</w:t>
      </w:r>
      <w:r>
        <w:t>.</w:t>
      </w:r>
      <w:r w:rsidRPr="007F3EF7">
        <w:t>49</w:t>
      </w:r>
      <w:r>
        <w:t xml:space="preserve"> crore in 2011-12 to Rs </w:t>
      </w:r>
      <w:r w:rsidRPr="00EC5685">
        <w:t>2</w:t>
      </w:r>
      <w:r>
        <w:t>,</w:t>
      </w:r>
      <w:r w:rsidRPr="00EC5685">
        <w:t>07</w:t>
      </w:r>
      <w:r>
        <w:t>,</w:t>
      </w:r>
      <w:r w:rsidRPr="00EC5685">
        <w:t>810</w:t>
      </w:r>
      <w:r>
        <w:t>.</w:t>
      </w:r>
      <w:r w:rsidRPr="00EC5685">
        <w:t>42</w:t>
      </w:r>
      <w:r>
        <w:t xml:space="preserve"> crore in 2023-24. Under this, </w:t>
      </w:r>
      <w:r w:rsidRPr="0049224D">
        <w:rPr>
          <w:b/>
          <w:bCs/>
        </w:rPr>
        <w:t>manufacturing</w:t>
      </w:r>
      <w:r>
        <w:t xml:space="preserve"> shows fluctuations in the periods 2011-12 and 2013-14, however, it experiences rapid growth from 2015-16 onwards. It has grown from </w:t>
      </w:r>
      <w:r w:rsidR="00E625BF">
        <w:t>57% share in 2011-12 to 61% share in 2023-24, in total secondary sector. This growth can be attributed to various land reforms, investment summits, policy changes</w:t>
      </w:r>
      <w:r w:rsidR="00080E50">
        <w:t xml:space="preserve"> (</w:t>
      </w:r>
      <w:r w:rsidR="00080E50" w:rsidRPr="00080E50">
        <w:t>Investment Promotion Scheme 2014</w:t>
      </w:r>
      <w:r w:rsidR="00080E50">
        <w:t>, Rajasthan MSME Policy 2015)</w:t>
      </w:r>
      <w:r w:rsidR="00E625BF">
        <w:t xml:space="preserve"> and </w:t>
      </w:r>
      <w:r w:rsidR="00E625BF">
        <w:lastRenderedPageBreak/>
        <w:t xml:space="preserve">development of new industrial areas to promote manufacturing in the state. </w:t>
      </w:r>
      <w:r w:rsidR="0033513F">
        <w:t xml:space="preserve">The </w:t>
      </w:r>
      <w:r w:rsidR="0033513F" w:rsidRPr="0049224D">
        <w:rPr>
          <w:b/>
          <w:bCs/>
        </w:rPr>
        <w:t>Electricity, Gas, Water Supply, and Other Utilities</w:t>
      </w:r>
      <w:r w:rsidR="0033513F">
        <w:t xml:space="preserve"> sub-sector has shown steady growth from Rs </w:t>
      </w:r>
      <w:r w:rsidR="0033513F" w:rsidRPr="007F3EF7">
        <w:t>7</w:t>
      </w:r>
      <w:r w:rsidR="0033513F">
        <w:t>,</w:t>
      </w:r>
      <w:r w:rsidR="0033513F" w:rsidRPr="007F3EF7">
        <w:t>632</w:t>
      </w:r>
      <w:r w:rsidR="0033513F">
        <w:t>.</w:t>
      </w:r>
      <w:r w:rsidR="0033513F" w:rsidRPr="007F3EF7">
        <w:t>71</w:t>
      </w:r>
      <w:r w:rsidR="0033513F">
        <w:t xml:space="preserve"> crore in 2011-12 to Rs </w:t>
      </w:r>
      <w:r w:rsidR="0033513F" w:rsidRPr="00EC5685">
        <w:t>15</w:t>
      </w:r>
      <w:r w:rsidR="0033513F">
        <w:t>,</w:t>
      </w:r>
      <w:r w:rsidR="0033513F" w:rsidRPr="00EC5685">
        <w:t>447</w:t>
      </w:r>
      <w:r w:rsidR="0033513F">
        <w:t>.</w:t>
      </w:r>
      <w:r w:rsidR="0033513F" w:rsidRPr="00EC5685">
        <w:t>14</w:t>
      </w:r>
      <w:r w:rsidR="0033513F">
        <w:t xml:space="preserve"> in 2023-24. The demand for these utilities has risen due to urbanisation and industrial growth. Thus, the state has also witnessed significant investments in renewable energy (especially solar</w:t>
      </w:r>
      <w:r w:rsidR="00080E50">
        <w:t>- Solar Energy Policy 2014</w:t>
      </w:r>
      <w:r w:rsidR="0033513F">
        <w:t xml:space="preserve">). Construction has displayed a moderate growth from Rs </w:t>
      </w:r>
      <w:r w:rsidR="0033513F" w:rsidRPr="007F3EF7">
        <w:t>43</w:t>
      </w:r>
      <w:r w:rsidR="0033513F">
        <w:t>,</w:t>
      </w:r>
      <w:r w:rsidR="0033513F" w:rsidRPr="007F3EF7">
        <w:t>591</w:t>
      </w:r>
      <w:r w:rsidR="0033513F">
        <w:t>.</w:t>
      </w:r>
      <w:r w:rsidR="0033513F" w:rsidRPr="007F3EF7">
        <w:t>71</w:t>
      </w:r>
      <w:r w:rsidR="0033513F">
        <w:t xml:space="preserve"> crore in 2011-12 to Rs </w:t>
      </w:r>
      <w:r w:rsidR="0033513F" w:rsidRPr="00EC5685">
        <w:t>64</w:t>
      </w:r>
      <w:r w:rsidR="0033513F">
        <w:t>,</w:t>
      </w:r>
      <w:r w:rsidR="0033513F" w:rsidRPr="00EC5685">
        <w:t>863</w:t>
      </w:r>
      <w:r w:rsidR="0033513F">
        <w:t>.</w:t>
      </w:r>
      <w:r w:rsidR="0033513F" w:rsidRPr="00EC5685">
        <w:t>22</w:t>
      </w:r>
      <w:r w:rsidR="0033513F">
        <w:t xml:space="preserve"> in 2023-24. </w:t>
      </w:r>
      <w:r w:rsidR="00D2099E">
        <w:t xml:space="preserve">The sector was somewhat stagnant in 2015-16 and then dipped in 2020-21 due to the COVID-19 pandemic, but then recovered in the later years. Construction’s share in the secondary sector has dipped from 37% in 2011-12 to 31% in 2023-24. </w:t>
      </w:r>
    </w:p>
    <w:p w14:paraId="4ACDB719" w14:textId="77777777" w:rsidR="00F14BA9" w:rsidRDefault="00F14BA9" w:rsidP="00777FCE">
      <w:pPr>
        <w:spacing w:line="276" w:lineRule="auto"/>
        <w:jc w:val="both"/>
      </w:pPr>
    </w:p>
    <w:p w14:paraId="1C545063" w14:textId="0D416112" w:rsidR="00F14BA9" w:rsidRPr="00054549" w:rsidRDefault="00F14BA9" w:rsidP="00F14BA9">
      <w:pPr>
        <w:spacing w:line="276" w:lineRule="auto"/>
        <w:jc w:val="center"/>
        <w:rPr>
          <w:b/>
          <w:bCs/>
        </w:rPr>
      </w:pPr>
      <w:r w:rsidRPr="00054549">
        <w:rPr>
          <w:b/>
          <w:bCs/>
        </w:rPr>
        <w:t>Figure</w:t>
      </w:r>
      <w:r>
        <w:rPr>
          <w:b/>
          <w:bCs/>
        </w:rPr>
        <w:t xml:space="preserve"> 4</w:t>
      </w:r>
    </w:p>
    <w:p w14:paraId="699CA2BB" w14:textId="77777777" w:rsidR="00F14BA9" w:rsidRDefault="00F14BA9" w:rsidP="00F14BA9">
      <w:pPr>
        <w:spacing w:line="276" w:lineRule="auto"/>
      </w:pPr>
      <w:r>
        <w:rPr>
          <w:noProof/>
        </w:rPr>
        <w:drawing>
          <wp:inline distT="0" distB="0" distL="0" distR="0" wp14:anchorId="797BBE09" wp14:editId="1B365BF4">
            <wp:extent cx="5875867" cy="2904067"/>
            <wp:effectExtent l="0" t="0" r="10795" b="10795"/>
            <wp:docPr id="557862104" name="Chart 1">
              <a:extLst xmlns:a="http://schemas.openxmlformats.org/drawingml/2006/main">
                <a:ext uri="{FF2B5EF4-FFF2-40B4-BE49-F238E27FC236}">
                  <a16:creationId xmlns:a16="http://schemas.microsoft.com/office/drawing/2014/main" id="{2F7600F2-B432-4228-997E-C5FEEF3ACE8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ECF3CAF" w14:textId="77777777" w:rsidR="00D2099E" w:rsidRDefault="00D2099E" w:rsidP="00777FCE">
      <w:pPr>
        <w:spacing w:line="276" w:lineRule="auto"/>
        <w:jc w:val="both"/>
      </w:pPr>
    </w:p>
    <w:p w14:paraId="2A9CBE49" w14:textId="28C2D955" w:rsidR="00587FD0" w:rsidRDefault="00D2099E" w:rsidP="00777FCE">
      <w:pPr>
        <w:spacing w:line="276" w:lineRule="auto"/>
        <w:jc w:val="both"/>
      </w:pPr>
      <w:r>
        <w:t xml:space="preserve">The </w:t>
      </w:r>
      <w:r w:rsidRPr="0049224D">
        <w:rPr>
          <w:b/>
          <w:bCs/>
          <w:u w:val="single"/>
        </w:rPr>
        <w:t>tertiary sector</w:t>
      </w:r>
      <w:r>
        <w:t xml:space="preserve"> has shown the highest growth among the sectors from Rs </w:t>
      </w:r>
      <w:r w:rsidRPr="007F3EF7">
        <w:t>1</w:t>
      </w:r>
      <w:r>
        <w:t>,</w:t>
      </w:r>
      <w:r w:rsidRPr="007F3EF7">
        <w:t>61</w:t>
      </w:r>
      <w:r>
        <w:t>,</w:t>
      </w:r>
      <w:r w:rsidRPr="007F3EF7">
        <w:t>574</w:t>
      </w:r>
      <w:r>
        <w:t>.</w:t>
      </w:r>
      <w:r w:rsidRPr="007F3EF7">
        <w:t>72</w:t>
      </w:r>
      <w:r>
        <w:t xml:space="preserve"> crore in 2011-12 to Rs </w:t>
      </w:r>
      <w:r w:rsidRPr="00EC5685">
        <w:t>3</w:t>
      </w:r>
      <w:r>
        <w:t>,</w:t>
      </w:r>
      <w:r w:rsidRPr="00EC5685">
        <w:t>43</w:t>
      </w:r>
      <w:r>
        <w:t>,</w:t>
      </w:r>
      <w:r w:rsidRPr="00EC5685">
        <w:t>056</w:t>
      </w:r>
      <w:r>
        <w:t>.</w:t>
      </w:r>
      <w:r w:rsidRPr="00EC5685">
        <w:t>57</w:t>
      </w:r>
      <w:r>
        <w:t xml:space="preserve"> crore in 2023-24. </w:t>
      </w:r>
      <w:r w:rsidR="00970C8B" w:rsidRPr="00970C8B">
        <w:t xml:space="preserve">The </w:t>
      </w:r>
      <w:r w:rsidR="00970C8B" w:rsidRPr="0049224D">
        <w:rPr>
          <w:b/>
          <w:bCs/>
        </w:rPr>
        <w:t>trade, repair, and hospitality sector</w:t>
      </w:r>
      <w:r w:rsidR="00970C8B" w:rsidRPr="00970C8B">
        <w:t xml:space="preserve"> </w:t>
      </w:r>
      <w:r w:rsidR="00970C8B">
        <w:t xml:space="preserve">has grown </w:t>
      </w:r>
      <w:r w:rsidR="00B910C8">
        <w:t xml:space="preserve">significantly and its share in the total tertiary sector has remained same in 2011-12 and 2023-24. However, hotels and restaurants experienced volatility during the pandemic shrinking from Rs </w:t>
      </w:r>
      <w:r w:rsidR="00B910C8" w:rsidRPr="00EC5685">
        <w:t>3</w:t>
      </w:r>
      <w:r w:rsidR="00B910C8">
        <w:t>,</w:t>
      </w:r>
      <w:r w:rsidR="00B910C8" w:rsidRPr="00EC5685">
        <w:t>477</w:t>
      </w:r>
      <w:r w:rsidR="00B910C8">
        <w:t>.</w:t>
      </w:r>
      <w:r w:rsidR="00B910C8" w:rsidRPr="00EC5685">
        <w:t>14</w:t>
      </w:r>
      <w:r w:rsidR="00B910C8">
        <w:t xml:space="preserve"> crore in 2019-20 to Rs </w:t>
      </w:r>
      <w:r w:rsidR="00B910C8" w:rsidRPr="00EC5685">
        <w:t>1</w:t>
      </w:r>
      <w:r w:rsidR="00B910C8">
        <w:t>,</w:t>
      </w:r>
      <w:r w:rsidR="00B910C8" w:rsidRPr="00EC5685">
        <w:t>585</w:t>
      </w:r>
      <w:r w:rsidR="00B910C8">
        <w:t>.</w:t>
      </w:r>
      <w:r w:rsidR="00B910C8" w:rsidRPr="00EC5685">
        <w:t>17</w:t>
      </w:r>
      <w:r w:rsidR="00B910C8">
        <w:t xml:space="preserve"> crore in 2020-21. Within </w:t>
      </w:r>
      <w:r w:rsidR="00B910C8" w:rsidRPr="0049224D">
        <w:rPr>
          <w:b/>
          <w:bCs/>
        </w:rPr>
        <w:t>Transport, Storage, Communication, and Broadcasting</w:t>
      </w:r>
      <w:r w:rsidR="00B910C8" w:rsidRPr="0049224D">
        <w:t>,</w:t>
      </w:r>
      <w:r w:rsidR="0049224D">
        <w:t xml:space="preserve"> </w:t>
      </w:r>
      <w:r w:rsidR="009856A8">
        <w:t xml:space="preserve">road transport and communication </w:t>
      </w:r>
      <w:r w:rsidR="003A7546" w:rsidRPr="003A7546">
        <w:t>were the largest sub-sectors, with road transport benefiting from infrastructure upgrades and the expansion of highways.</w:t>
      </w:r>
      <w:r w:rsidR="003A7546">
        <w:t xml:space="preserve"> </w:t>
      </w:r>
      <w:r w:rsidR="003A7546" w:rsidRPr="003A7546">
        <w:t>Communication services grew significantly, reflecting increased telecom penetration and the expansion of internet and mobile services across the state.</w:t>
      </w:r>
      <w:r w:rsidR="003A7546">
        <w:t xml:space="preserve"> </w:t>
      </w:r>
      <w:r w:rsidR="003A7546" w:rsidRPr="0049224D">
        <w:rPr>
          <w:b/>
          <w:bCs/>
        </w:rPr>
        <w:t>Financial services</w:t>
      </w:r>
      <w:r w:rsidR="003A7546">
        <w:t xml:space="preserve"> have also expanded considerably due to the rise of banking, insurance and fintech services. Its share in tertiary sector has increased from 8% in 2011-12 to 11% in 2023-24. </w:t>
      </w:r>
      <w:r w:rsidR="003A7546" w:rsidRPr="003A7546">
        <w:t>Real Estate, Ownership of Dwelling, and Professional Services</w:t>
      </w:r>
      <w:r w:rsidR="003A7546">
        <w:t xml:space="preserve"> has grown from Rs </w:t>
      </w:r>
      <w:r w:rsidR="003A7546" w:rsidRPr="007F3EF7">
        <w:t>41</w:t>
      </w:r>
      <w:r w:rsidR="003A7546">
        <w:t>,</w:t>
      </w:r>
      <w:r w:rsidR="003A7546" w:rsidRPr="007F3EF7">
        <w:t>337</w:t>
      </w:r>
      <w:r w:rsidR="003A7546">
        <w:t>.</w:t>
      </w:r>
      <w:r w:rsidR="003A7546" w:rsidRPr="007F3EF7">
        <w:t>21</w:t>
      </w:r>
      <w:r w:rsidR="003A7546">
        <w:t xml:space="preserve"> crore in 2011-12 to Rs </w:t>
      </w:r>
      <w:r w:rsidR="003A7546" w:rsidRPr="00EC5685">
        <w:t>80</w:t>
      </w:r>
      <w:r w:rsidR="003A7546">
        <w:t>,</w:t>
      </w:r>
      <w:r w:rsidR="003A7546" w:rsidRPr="00EC5685">
        <w:t>791</w:t>
      </w:r>
      <w:r w:rsidR="003A7546">
        <w:t>.</w:t>
      </w:r>
      <w:r w:rsidR="003A7546" w:rsidRPr="00EC5685">
        <w:t>99</w:t>
      </w:r>
      <w:r w:rsidR="003A7546">
        <w:t xml:space="preserve"> in 2023-24.</w:t>
      </w:r>
      <w:r w:rsidR="00ED31E7">
        <w:t xml:space="preserve"> </w:t>
      </w:r>
      <w:r w:rsidR="00ED31E7" w:rsidRPr="00ED31E7">
        <w:t xml:space="preserve">Professional services such as legal, </w:t>
      </w:r>
      <w:r w:rsidR="00ED31E7" w:rsidRPr="00ED31E7">
        <w:lastRenderedPageBreak/>
        <w:t xml:space="preserve">accounting, and consultancy services </w:t>
      </w:r>
      <w:r w:rsidR="00ED31E7">
        <w:t xml:space="preserve">and commercial development </w:t>
      </w:r>
      <w:r w:rsidR="00ED31E7" w:rsidRPr="00ED31E7">
        <w:t>contributed to this growth</w:t>
      </w:r>
      <w:r w:rsidR="00ED31E7">
        <w:t xml:space="preserve">. </w:t>
      </w:r>
      <w:r w:rsidR="00ED31E7" w:rsidRPr="0049224D">
        <w:rPr>
          <w:b/>
          <w:bCs/>
        </w:rPr>
        <w:t>Public administration and other services</w:t>
      </w:r>
      <w:r w:rsidR="00ED31E7" w:rsidRPr="00ED31E7">
        <w:t xml:space="preserve"> expanded steadily</w:t>
      </w:r>
      <w:r w:rsidR="00ED31E7">
        <w:t xml:space="preserve"> over the years.</w:t>
      </w:r>
    </w:p>
    <w:p w14:paraId="380A3C03" w14:textId="77777777" w:rsidR="00F14BA9" w:rsidRDefault="00F14BA9" w:rsidP="00777FCE">
      <w:pPr>
        <w:spacing w:line="276" w:lineRule="auto"/>
        <w:jc w:val="both"/>
      </w:pPr>
    </w:p>
    <w:p w14:paraId="4F46DF1A" w14:textId="4CB122E1" w:rsidR="00F14BA9" w:rsidRDefault="00F14BA9" w:rsidP="00F14BA9">
      <w:pPr>
        <w:spacing w:line="276" w:lineRule="auto"/>
        <w:jc w:val="center"/>
        <w:rPr>
          <w:b/>
          <w:bCs/>
        </w:rPr>
      </w:pPr>
      <w:r w:rsidRPr="00A57F40">
        <w:rPr>
          <w:b/>
          <w:bCs/>
        </w:rPr>
        <w:t>Figure</w:t>
      </w:r>
      <w:r>
        <w:rPr>
          <w:b/>
          <w:bCs/>
        </w:rPr>
        <w:t xml:space="preserve"> </w:t>
      </w:r>
      <w:r w:rsidR="00FB6F09">
        <w:rPr>
          <w:b/>
          <w:bCs/>
        </w:rPr>
        <w:t>5</w:t>
      </w:r>
    </w:p>
    <w:p w14:paraId="5DA7A331" w14:textId="5F2455FE" w:rsidR="006D12A1" w:rsidRDefault="00F14BA9" w:rsidP="006448D0">
      <w:pPr>
        <w:spacing w:line="276" w:lineRule="auto"/>
        <w:jc w:val="both"/>
      </w:pPr>
      <w:r>
        <w:rPr>
          <w:noProof/>
        </w:rPr>
        <w:drawing>
          <wp:inline distT="0" distB="0" distL="0" distR="0" wp14:anchorId="616A1E30" wp14:editId="3F14F3F9">
            <wp:extent cx="5816600" cy="2760133"/>
            <wp:effectExtent l="0" t="0" r="12700" b="2540"/>
            <wp:docPr id="1723348667" name="Chart 1">
              <a:extLst xmlns:a="http://schemas.openxmlformats.org/drawingml/2006/main">
                <a:ext uri="{FF2B5EF4-FFF2-40B4-BE49-F238E27FC236}">
                  <a16:creationId xmlns:a16="http://schemas.microsoft.com/office/drawing/2014/main" id="{F57F745A-9A85-31DC-7EDC-0A0436705B2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8E950C5" w14:textId="77777777" w:rsidR="006448D0" w:rsidRDefault="006448D0" w:rsidP="00777FCE">
      <w:pPr>
        <w:spacing w:line="276" w:lineRule="auto"/>
        <w:jc w:val="both"/>
      </w:pPr>
    </w:p>
    <w:p w14:paraId="3528F792" w14:textId="1975B4A8" w:rsidR="006448D0" w:rsidRDefault="00ED31E7" w:rsidP="00777FCE">
      <w:pPr>
        <w:spacing w:line="276" w:lineRule="auto"/>
        <w:jc w:val="both"/>
      </w:pPr>
      <w:r w:rsidRPr="00ED31E7">
        <w:t>Rajasthan's economic structure has undergone noticeable transformation between 2011-12 and 2023-24</w:t>
      </w:r>
      <w:r>
        <w:t xml:space="preserve">. </w:t>
      </w:r>
      <w:r w:rsidRPr="00ED31E7">
        <w:t>Structural transformation refers to the shift in the relative contribution of different sectors—agriculture, industry, and services—to the overall economy.</w:t>
      </w:r>
      <w:r>
        <w:t xml:space="preserve"> The share of the </w:t>
      </w:r>
      <w:r w:rsidRPr="00AE7E91">
        <w:rPr>
          <w:b/>
          <w:bCs/>
        </w:rPr>
        <w:t>primary sector</w:t>
      </w:r>
      <w:r>
        <w:t xml:space="preserve"> was relatively stable in the earlier years from 2011-12 to 2013-14, hovering around 28-29%. However, it dipped to 25.88% in 2015-16 </w:t>
      </w:r>
      <w:r w:rsidRPr="00ED31E7">
        <w:t>due to various factors like weather variability, droughts, and structural issues in the agricultural sector.</w:t>
      </w:r>
      <w:r w:rsidR="00AE7E91">
        <w:t xml:space="preserve"> There was a recovery in agriculture's share to 30.28% in 2020-21, likely due to the pandemic-induced contraction in other sectors (especially services), along with favourable monsoon seasons. The recent year of 2022-23 shows agriculture stabilizing around 28.5%, signalling its enduring but gradually declining role in the economy.</w:t>
      </w:r>
      <w:r w:rsidR="006448D0">
        <w:t xml:space="preserve"> </w:t>
      </w:r>
    </w:p>
    <w:p w14:paraId="36A9E0CE" w14:textId="77777777" w:rsidR="00A57F40" w:rsidRDefault="00A57F40" w:rsidP="00777FCE">
      <w:pPr>
        <w:spacing w:line="276" w:lineRule="auto"/>
      </w:pPr>
    </w:p>
    <w:p w14:paraId="3EB482BE" w14:textId="288DA15D" w:rsidR="00F14BA9" w:rsidRPr="002C4DCA" w:rsidRDefault="00F14BA9" w:rsidP="00F14BA9">
      <w:pPr>
        <w:spacing w:line="276" w:lineRule="auto"/>
        <w:jc w:val="center"/>
        <w:rPr>
          <w:b/>
          <w:bCs/>
        </w:rPr>
      </w:pPr>
      <w:r w:rsidRPr="002C4DCA">
        <w:rPr>
          <w:b/>
          <w:bCs/>
        </w:rPr>
        <w:t>Figure</w:t>
      </w:r>
      <w:r w:rsidR="00FB6F09">
        <w:rPr>
          <w:b/>
          <w:bCs/>
        </w:rPr>
        <w:t xml:space="preserve"> </w:t>
      </w:r>
      <w:r w:rsidR="006C7D1E">
        <w:rPr>
          <w:b/>
          <w:bCs/>
        </w:rPr>
        <w:t>6</w:t>
      </w:r>
    </w:p>
    <w:p w14:paraId="2E08999A" w14:textId="77777777" w:rsidR="00F14BA9" w:rsidRDefault="00F14BA9" w:rsidP="00F14BA9">
      <w:pPr>
        <w:spacing w:line="276" w:lineRule="auto"/>
        <w:jc w:val="both"/>
      </w:pPr>
      <w:r>
        <w:rPr>
          <w:noProof/>
        </w:rPr>
        <w:lastRenderedPageBreak/>
        <w:drawing>
          <wp:inline distT="0" distB="0" distL="0" distR="0" wp14:anchorId="1AF975F9" wp14:editId="3BA16D3A">
            <wp:extent cx="5875655" cy="3572933"/>
            <wp:effectExtent l="0" t="0" r="10795" b="15240"/>
            <wp:docPr id="1594504545" name="Chart 1">
              <a:extLst xmlns:a="http://schemas.openxmlformats.org/drawingml/2006/main">
                <a:ext uri="{FF2B5EF4-FFF2-40B4-BE49-F238E27FC236}">
                  <a16:creationId xmlns:a16="http://schemas.microsoft.com/office/drawing/2014/main" id="{76542357-8BCF-4BB8-86B9-B75814C0291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700A487" w14:textId="77777777" w:rsidR="00F14BA9" w:rsidRDefault="00F14BA9" w:rsidP="00777FCE">
      <w:pPr>
        <w:spacing w:line="276" w:lineRule="auto"/>
      </w:pPr>
    </w:p>
    <w:p w14:paraId="238BA5F5" w14:textId="6E9355AC" w:rsidR="006448D0" w:rsidRPr="006448D0" w:rsidRDefault="006448D0" w:rsidP="006448D0">
      <w:pPr>
        <w:spacing w:line="276" w:lineRule="auto"/>
        <w:jc w:val="center"/>
        <w:rPr>
          <w:b/>
          <w:bCs/>
        </w:rPr>
      </w:pPr>
      <w:r w:rsidRPr="006448D0">
        <w:rPr>
          <w:b/>
          <w:bCs/>
        </w:rPr>
        <w:t xml:space="preserve">Figure </w:t>
      </w:r>
      <w:r w:rsidR="006C7D1E">
        <w:rPr>
          <w:b/>
          <w:bCs/>
        </w:rPr>
        <w:t>7</w:t>
      </w:r>
    </w:p>
    <w:p w14:paraId="3F6A72C8" w14:textId="77777777" w:rsidR="006448D0" w:rsidRDefault="006448D0" w:rsidP="006448D0">
      <w:pPr>
        <w:spacing w:line="276" w:lineRule="auto"/>
        <w:jc w:val="center"/>
      </w:pPr>
      <w:r>
        <w:rPr>
          <w:noProof/>
        </w:rPr>
        <w:drawing>
          <wp:inline distT="0" distB="0" distL="0" distR="0" wp14:anchorId="56CF8C10" wp14:editId="6BC79D3A">
            <wp:extent cx="5570855" cy="2743200"/>
            <wp:effectExtent l="0" t="0" r="10795" b="0"/>
            <wp:docPr id="382385704" name="Chart 1">
              <a:extLst xmlns:a="http://schemas.openxmlformats.org/drawingml/2006/main">
                <a:ext uri="{FF2B5EF4-FFF2-40B4-BE49-F238E27FC236}">
                  <a16:creationId xmlns:a16="http://schemas.microsoft.com/office/drawing/2014/main" id="{6024363C-BC97-B3B1-06EE-6C6BD4F763C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1C24722" w14:textId="77777777" w:rsidR="006448D0" w:rsidRDefault="006448D0" w:rsidP="006448D0">
      <w:pPr>
        <w:spacing w:line="276" w:lineRule="auto"/>
        <w:jc w:val="both"/>
      </w:pPr>
    </w:p>
    <w:p w14:paraId="452FD372" w14:textId="3A7A8EFF" w:rsidR="006448D0" w:rsidRDefault="006448D0" w:rsidP="006448D0">
      <w:pPr>
        <w:spacing w:line="276" w:lineRule="auto"/>
        <w:jc w:val="both"/>
      </w:pPr>
      <w:r>
        <w:t>Notable declines in the years 2018-19, 2021-22, 2022-23 and 2023-24 suggest a trend of declining sectorial share of the primary sector in the total GSVA. W</w:t>
      </w:r>
      <w:r w:rsidRPr="006448D0">
        <w:t xml:space="preserve">hile </w:t>
      </w:r>
      <w:r>
        <w:t>it</w:t>
      </w:r>
      <w:r w:rsidRPr="006448D0">
        <w:t xml:space="preserve"> may have grown in absolute terms, it has not kept pace with the Secondary and Tertiary sectors in contributing to the state’s economy</w:t>
      </w:r>
      <w:r>
        <w:t xml:space="preserve"> (Figure </w:t>
      </w:r>
      <w:r w:rsidR="006C7D1E">
        <w:t>7</w:t>
      </w:r>
      <w:r>
        <w:t xml:space="preserve">). </w:t>
      </w:r>
    </w:p>
    <w:p w14:paraId="7492C530" w14:textId="77777777" w:rsidR="00777FCE" w:rsidRDefault="00777FCE" w:rsidP="00777FCE">
      <w:pPr>
        <w:spacing w:line="276" w:lineRule="auto"/>
      </w:pPr>
    </w:p>
    <w:p w14:paraId="5090CD1C" w14:textId="50E66C2E" w:rsidR="00AE7E91" w:rsidRDefault="00AE7E91" w:rsidP="00777FCE">
      <w:pPr>
        <w:spacing w:line="276" w:lineRule="auto"/>
        <w:jc w:val="both"/>
      </w:pPr>
      <w:r>
        <w:lastRenderedPageBreak/>
        <w:t xml:space="preserve">The </w:t>
      </w:r>
      <w:r w:rsidRPr="00AE7E91">
        <w:rPr>
          <w:b/>
          <w:bCs/>
        </w:rPr>
        <w:t>industry sector</w:t>
      </w:r>
      <w:r>
        <w:t>’s contribution has experienced more volatility. It decreased slightly from 32.69% in 2011-12 to 27.76% in 2022-23, with the highest share in 2015-16 at 33.29%. The early period saw industrial growth and increased output, but starting from 2018-19, the share of industries began to shrink. By 2020-21, industry’s share rebounded slightly to 28.02%, recovering from the pandemic's initial impact but remaining below its previous highs.</w:t>
      </w:r>
      <w:r w:rsidR="00587FD0">
        <w:t xml:space="preserve"> </w:t>
      </w:r>
      <w:r>
        <w:t>The decline in the industry’s share during 2018-19 to 2020-21 indicates challenges in the industrial sector, such as the slowdown in manufacturing, regulatory hurdles, and disruptions due to the COVID-19 pandemic.</w:t>
      </w:r>
      <w:r w:rsidR="0056466F">
        <w:t xml:space="preserve"> </w:t>
      </w:r>
    </w:p>
    <w:p w14:paraId="1AA1107B" w14:textId="77777777" w:rsidR="00A57F40" w:rsidRDefault="00A57F40" w:rsidP="00777FCE">
      <w:pPr>
        <w:spacing w:line="276" w:lineRule="auto"/>
      </w:pPr>
    </w:p>
    <w:p w14:paraId="1F2DF722" w14:textId="6538A93A" w:rsidR="006448D0" w:rsidRPr="006448D0" w:rsidRDefault="006448D0" w:rsidP="006448D0">
      <w:pPr>
        <w:spacing w:line="276" w:lineRule="auto"/>
        <w:jc w:val="center"/>
        <w:rPr>
          <w:b/>
          <w:bCs/>
        </w:rPr>
      </w:pPr>
      <w:r w:rsidRPr="006448D0">
        <w:rPr>
          <w:b/>
          <w:bCs/>
        </w:rPr>
        <w:t xml:space="preserve">Figure </w:t>
      </w:r>
      <w:r w:rsidR="006C7D1E">
        <w:rPr>
          <w:b/>
          <w:bCs/>
        </w:rPr>
        <w:t>8</w:t>
      </w:r>
    </w:p>
    <w:p w14:paraId="5170388D" w14:textId="37627439" w:rsidR="006448D0" w:rsidRDefault="006448D0" w:rsidP="00777FCE">
      <w:pPr>
        <w:spacing w:line="276" w:lineRule="auto"/>
      </w:pPr>
      <w:r>
        <w:rPr>
          <w:noProof/>
        </w:rPr>
        <w:drawing>
          <wp:inline distT="0" distB="0" distL="0" distR="0" wp14:anchorId="571188EB" wp14:editId="73CDDCED">
            <wp:extent cx="5731510" cy="2632075"/>
            <wp:effectExtent l="0" t="0" r="2540" b="0"/>
            <wp:docPr id="1370994244" name="Chart 1">
              <a:extLst xmlns:a="http://schemas.openxmlformats.org/drawingml/2006/main">
                <a:ext uri="{FF2B5EF4-FFF2-40B4-BE49-F238E27FC236}">
                  <a16:creationId xmlns:a16="http://schemas.microsoft.com/office/drawing/2014/main" id="{780B29D3-ECAA-7E10-AB9E-A991DFFE35F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5C22BA3" w14:textId="77777777" w:rsidR="006448D0" w:rsidRDefault="006448D0" w:rsidP="00777FCE">
      <w:pPr>
        <w:spacing w:line="276" w:lineRule="auto"/>
        <w:jc w:val="both"/>
      </w:pPr>
    </w:p>
    <w:p w14:paraId="3BCDB088" w14:textId="18F15FCD" w:rsidR="00144175" w:rsidRDefault="00144175" w:rsidP="00777FCE">
      <w:pPr>
        <w:spacing w:line="276" w:lineRule="auto"/>
        <w:jc w:val="both"/>
      </w:pPr>
      <w:r>
        <w:t xml:space="preserve">A break in the initial contraction trend of the secondary sector is seen from 2015-16 to 2018-19 where a consistent growth is reflected in percentage growth of its sectorial share of the total GSVA. From 2019-20 to 2021-22 percentage share stabilized but at a lower share, perhaps due to external factors like COVID 19 affecting industries. </w:t>
      </w:r>
    </w:p>
    <w:p w14:paraId="170C601B" w14:textId="77777777" w:rsidR="00144175" w:rsidRDefault="00144175" w:rsidP="00777FCE">
      <w:pPr>
        <w:spacing w:line="276" w:lineRule="auto"/>
        <w:jc w:val="both"/>
      </w:pPr>
    </w:p>
    <w:p w14:paraId="40730E67" w14:textId="43DDF9BA" w:rsidR="00AE7E91" w:rsidRDefault="00AE7E91" w:rsidP="00777FCE">
      <w:pPr>
        <w:spacing w:line="276" w:lineRule="auto"/>
        <w:jc w:val="both"/>
      </w:pPr>
      <w:r>
        <w:t xml:space="preserve">The </w:t>
      </w:r>
      <w:r w:rsidRPr="00AE7E91">
        <w:rPr>
          <w:b/>
          <w:bCs/>
        </w:rPr>
        <w:t>services sector</w:t>
      </w:r>
      <w:r>
        <w:t xml:space="preserve"> has emerged as the dominant contributor to the GSVA, growing from 38.75% in 2011-12 to 43.74% in 2022-23. The services sector consistently grew in its share of GSVA, reaching its highest contribution of 46.27% in 2018-19. This reflects the growing importance of trade, finance, telecommunications, real estate, and tourism in Rajasthan’s economy. The slight dip to 41.70% in 2020-21 was likely caused by the pandemic’s impact on sectors like tourism, hospitality, and retail trade. However, services recovered quickly, regaining its position with 43.74% in 2022-23, reaffirming its pivotal role in driving Rajasthan’s growth.</w:t>
      </w:r>
    </w:p>
    <w:p w14:paraId="1EE204D8" w14:textId="77777777" w:rsidR="00A57F40" w:rsidRDefault="00A57F40" w:rsidP="00777FCE">
      <w:pPr>
        <w:spacing w:line="276" w:lineRule="auto"/>
      </w:pPr>
    </w:p>
    <w:p w14:paraId="6A04B8A7" w14:textId="1D2B1878" w:rsidR="00250F3F" w:rsidRPr="00250F3F" w:rsidRDefault="00250F3F" w:rsidP="00250F3F">
      <w:pPr>
        <w:spacing w:line="276" w:lineRule="auto"/>
        <w:jc w:val="center"/>
        <w:rPr>
          <w:b/>
          <w:bCs/>
        </w:rPr>
      </w:pPr>
      <w:r w:rsidRPr="00250F3F">
        <w:rPr>
          <w:b/>
          <w:bCs/>
        </w:rPr>
        <w:t xml:space="preserve">Figure </w:t>
      </w:r>
      <w:r w:rsidR="006C7D1E">
        <w:rPr>
          <w:b/>
          <w:bCs/>
        </w:rPr>
        <w:t>9</w:t>
      </w:r>
    </w:p>
    <w:p w14:paraId="7402F3D9" w14:textId="260AF8AD" w:rsidR="002C4DCA" w:rsidRPr="00A57F40" w:rsidRDefault="00250F3F" w:rsidP="00777FCE">
      <w:pPr>
        <w:spacing w:line="276" w:lineRule="auto"/>
        <w:jc w:val="center"/>
        <w:rPr>
          <w:b/>
          <w:bCs/>
        </w:rPr>
      </w:pPr>
      <w:r>
        <w:rPr>
          <w:noProof/>
        </w:rPr>
        <w:lastRenderedPageBreak/>
        <w:drawing>
          <wp:inline distT="0" distB="0" distL="0" distR="0" wp14:anchorId="0DF2D686" wp14:editId="63E79ED9">
            <wp:extent cx="5731510" cy="2895600"/>
            <wp:effectExtent l="0" t="0" r="2540" b="0"/>
            <wp:docPr id="234564815" name="Chart 1">
              <a:extLst xmlns:a="http://schemas.openxmlformats.org/drawingml/2006/main">
                <a:ext uri="{FF2B5EF4-FFF2-40B4-BE49-F238E27FC236}">
                  <a16:creationId xmlns:a16="http://schemas.microsoft.com/office/drawing/2014/main" id="{81ACE86B-E880-0D77-BF10-201C7976718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22E9EC9" w14:textId="77777777" w:rsidR="00FC1492" w:rsidRDefault="00FC1492" w:rsidP="00777FCE">
      <w:pPr>
        <w:spacing w:line="276" w:lineRule="auto"/>
      </w:pPr>
    </w:p>
    <w:p w14:paraId="490FFA54" w14:textId="7F37DDA1" w:rsidR="00144175" w:rsidRDefault="00144175" w:rsidP="00777FCE">
      <w:pPr>
        <w:spacing w:line="276" w:lineRule="auto"/>
        <w:jc w:val="both"/>
      </w:pPr>
      <w:r>
        <w:t xml:space="preserve">Sectorial share for tertiary sector witnessed a strong increase in 2018-19 reflecting a expansion in tourism. COVID 19 negatively impacted the share in 2019-20 to 2020-21, as with all the sectors. The sectorial share rebounded and stabilized growth for rise in sectorial share is seen in 2021-22 to 2023-24 indicating a structural shift towards a more service-oriented economy. </w:t>
      </w:r>
    </w:p>
    <w:p w14:paraId="7D38CAC1" w14:textId="77777777" w:rsidR="00144175" w:rsidRDefault="00144175" w:rsidP="00777FCE">
      <w:pPr>
        <w:spacing w:line="276" w:lineRule="auto"/>
        <w:jc w:val="both"/>
      </w:pPr>
    </w:p>
    <w:p w14:paraId="2C729FC3" w14:textId="50CFA594" w:rsidR="00FC1492" w:rsidRDefault="00FC1492" w:rsidP="00777FCE">
      <w:pPr>
        <w:spacing w:line="276" w:lineRule="auto"/>
        <w:jc w:val="both"/>
      </w:pPr>
      <w:r w:rsidRPr="00FC1492">
        <w:t xml:space="preserve">The most notable structural change is the rise in the contribution of services, which increased from 38.75% in 2011-12 to 43.74% in 2022-23. </w:t>
      </w:r>
      <w:r>
        <w:t xml:space="preserve">There has been a </w:t>
      </w:r>
      <w:r w:rsidRPr="00FC1492">
        <w:rPr>
          <w:b/>
          <w:bCs/>
        </w:rPr>
        <w:t>shift from agriculture and industry to services</w:t>
      </w:r>
      <w:r>
        <w:t xml:space="preserve">. </w:t>
      </w:r>
      <w:r w:rsidRPr="00FC1492">
        <w:t>This transition is typical in developing economies, where services begin to dominate as income levels rise and economic activity shifts from traditional agriculture to more modern sectors.</w:t>
      </w:r>
      <w:r>
        <w:t xml:space="preserve"> </w:t>
      </w:r>
      <w:r w:rsidRPr="00FC1492">
        <w:t>The expansion of services aligns with trends in urbanization, technological adoption, and growing consumer demand. Rajasthan’s focus on promoting tourism, financial services, and IT infrastructure is reflected in this trend. However, continued emphasis on upskilling the labour force, enhancing service sector productivity, and fostering innovation will be crucial to maintain this momentum.</w:t>
      </w:r>
    </w:p>
    <w:p w14:paraId="3DB8C27D" w14:textId="77777777" w:rsidR="001341A0" w:rsidRDefault="001341A0" w:rsidP="00777FCE">
      <w:pPr>
        <w:spacing w:line="276" w:lineRule="auto"/>
        <w:jc w:val="both"/>
      </w:pPr>
    </w:p>
    <w:p w14:paraId="6ACD327F" w14:textId="269F8277" w:rsidR="001341A0" w:rsidRDefault="001341A0" w:rsidP="001341A0">
      <w:pPr>
        <w:spacing w:line="276" w:lineRule="auto"/>
        <w:jc w:val="center"/>
      </w:pPr>
      <w:r w:rsidRPr="001341A0">
        <w:rPr>
          <w:b/>
          <w:bCs/>
        </w:rPr>
        <w:t>Figure</w:t>
      </w:r>
      <w:r w:rsidR="00FB6F09">
        <w:rPr>
          <w:b/>
          <w:bCs/>
        </w:rPr>
        <w:t xml:space="preserve"> </w:t>
      </w:r>
      <w:r w:rsidR="008D1F0C">
        <w:rPr>
          <w:b/>
          <w:bCs/>
        </w:rPr>
        <w:t>1</w:t>
      </w:r>
      <w:r w:rsidR="006C7D1E">
        <w:rPr>
          <w:b/>
          <w:bCs/>
        </w:rPr>
        <w:t>0</w:t>
      </w:r>
    </w:p>
    <w:p w14:paraId="3F70ED83" w14:textId="2BE2FE85" w:rsidR="001341A0" w:rsidRDefault="001341A0" w:rsidP="001341A0">
      <w:pPr>
        <w:spacing w:line="276" w:lineRule="auto"/>
        <w:jc w:val="center"/>
      </w:pPr>
      <w:r>
        <w:rPr>
          <w:noProof/>
        </w:rPr>
        <w:lastRenderedPageBreak/>
        <w:drawing>
          <wp:inline distT="0" distB="0" distL="0" distR="0" wp14:anchorId="3E4AF56E" wp14:editId="511F02AD">
            <wp:extent cx="4889500" cy="3086100"/>
            <wp:effectExtent l="0" t="0" r="6350" b="0"/>
            <wp:docPr id="1452210791" name="Chart 1">
              <a:extLst xmlns:a="http://schemas.openxmlformats.org/drawingml/2006/main">
                <a:ext uri="{FF2B5EF4-FFF2-40B4-BE49-F238E27FC236}">
                  <a16:creationId xmlns:a16="http://schemas.microsoft.com/office/drawing/2014/main" id="{C951EAB0-9222-0336-929E-E4247873FC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BF3FFD8" w14:textId="77777777" w:rsidR="001341A0" w:rsidRDefault="001341A0" w:rsidP="001341A0">
      <w:pPr>
        <w:spacing w:line="276" w:lineRule="auto"/>
        <w:jc w:val="center"/>
      </w:pPr>
    </w:p>
    <w:p w14:paraId="16A348B6" w14:textId="165DB51D" w:rsidR="001341A0" w:rsidRDefault="001341A0" w:rsidP="001341A0">
      <w:pPr>
        <w:spacing w:line="276" w:lineRule="auto"/>
        <w:jc w:val="center"/>
      </w:pPr>
      <w:r w:rsidRPr="001341A0">
        <w:rPr>
          <w:b/>
          <w:bCs/>
        </w:rPr>
        <w:t>Figure</w:t>
      </w:r>
      <w:r w:rsidR="00FB6F09">
        <w:rPr>
          <w:b/>
          <w:bCs/>
        </w:rPr>
        <w:t xml:space="preserve"> </w:t>
      </w:r>
      <w:r w:rsidR="00633407">
        <w:rPr>
          <w:b/>
          <w:bCs/>
        </w:rPr>
        <w:t>1</w:t>
      </w:r>
      <w:r w:rsidR="006C7D1E">
        <w:rPr>
          <w:b/>
          <w:bCs/>
        </w:rPr>
        <w:t>1</w:t>
      </w:r>
    </w:p>
    <w:p w14:paraId="70FDA145" w14:textId="178BFB45" w:rsidR="001341A0" w:rsidRDefault="001341A0" w:rsidP="001341A0">
      <w:pPr>
        <w:spacing w:line="276" w:lineRule="auto"/>
        <w:jc w:val="center"/>
      </w:pPr>
      <w:r>
        <w:rPr>
          <w:noProof/>
        </w:rPr>
        <w:drawing>
          <wp:inline distT="0" distB="0" distL="0" distR="0" wp14:anchorId="70333D36" wp14:editId="11385F6E">
            <wp:extent cx="4660900" cy="3060700"/>
            <wp:effectExtent l="0" t="0" r="6350" b="6350"/>
            <wp:docPr id="400248175" name="Chart 1">
              <a:extLst xmlns:a="http://schemas.openxmlformats.org/drawingml/2006/main">
                <a:ext uri="{FF2B5EF4-FFF2-40B4-BE49-F238E27FC236}">
                  <a16:creationId xmlns:a16="http://schemas.microsoft.com/office/drawing/2014/main" id="{BAE92DD7-E854-A398-2A68-4256DF712D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48F84D03" w14:textId="77777777" w:rsidR="00FC1492" w:rsidRDefault="00FC1492" w:rsidP="00777FCE">
      <w:pPr>
        <w:spacing w:line="276" w:lineRule="auto"/>
        <w:jc w:val="both"/>
      </w:pPr>
    </w:p>
    <w:p w14:paraId="22599BEE" w14:textId="70A2F474" w:rsidR="0056466F" w:rsidRDefault="00FC1492" w:rsidP="001341A0">
      <w:pPr>
        <w:spacing w:line="276" w:lineRule="auto"/>
        <w:jc w:val="both"/>
      </w:pPr>
      <w:r w:rsidRPr="00FC1492">
        <w:t xml:space="preserve">The </w:t>
      </w:r>
      <w:r w:rsidRPr="00FC1492">
        <w:rPr>
          <w:b/>
          <w:bCs/>
        </w:rPr>
        <w:t>industrial sector has shown some volatility</w:t>
      </w:r>
      <w:r w:rsidRPr="00FC1492">
        <w:t>, reflecting the state’s mixed performance in manufacturing and construction. The peak contribution of industry in 2015-16 (33.29%) highlights a period of industrial expansion, but challenges in recent years have hindered its sustained growth.</w:t>
      </w:r>
      <w:r>
        <w:t xml:space="preserve"> </w:t>
      </w:r>
      <w:r w:rsidRPr="00FC1492">
        <w:t xml:space="preserve">The industrial sector’s declining share signals challenges that need to be addressed to revitalize this key segment. Rajasthan’s focus on sectors such as textiles, minerals, and handicrafts, alongside emerging areas like renewable energy, could spur industrial growth. </w:t>
      </w:r>
      <w:r w:rsidRPr="00FC1492">
        <w:lastRenderedPageBreak/>
        <w:t>Policies encouraging infrastructure development, investment in manufacturing, and regulatory reforms will be key to enhancing industrial performance.</w:t>
      </w:r>
      <w:r w:rsidR="0056466F">
        <w:t xml:space="preserve"> </w:t>
      </w:r>
    </w:p>
    <w:p w14:paraId="2196AC19" w14:textId="77777777" w:rsidR="008D1F0C" w:rsidRDefault="008D1F0C" w:rsidP="001341A0">
      <w:pPr>
        <w:spacing w:line="276" w:lineRule="auto"/>
        <w:jc w:val="both"/>
      </w:pPr>
    </w:p>
    <w:p w14:paraId="3B9E11A5" w14:textId="407D064C" w:rsidR="00437FDE" w:rsidRDefault="00777FCE" w:rsidP="00777FCE">
      <w:pPr>
        <w:spacing w:line="276" w:lineRule="auto"/>
        <w:jc w:val="both"/>
      </w:pPr>
      <w:r>
        <w:t>Sharma et. al (2022) demonstrates</w:t>
      </w:r>
      <w:r w:rsidRPr="0056466F">
        <w:t xml:space="preserve"> that the current level of infrastructure has not yet reached the critical threshold necessary to accelerate economic growth. It may seem contradictory that, despite higher growth rates across nearly all variables compared to the national average, Rajasthan's overall economic growth remains lower. This discrepancy can be explained by the state's relative lack of infrastructure.</w:t>
      </w:r>
      <w:r w:rsidR="008D1F0C">
        <w:t xml:space="preserve"> </w:t>
      </w:r>
      <w:r w:rsidRPr="00FC1492">
        <w:t xml:space="preserve">While the share of agriculture has declined, its contribution remains significant. </w:t>
      </w:r>
      <w:r w:rsidRPr="00FC1492">
        <w:rPr>
          <w:b/>
          <w:bCs/>
        </w:rPr>
        <w:t>Agriculture’s relative stability</w:t>
      </w:r>
      <w:r w:rsidRPr="00FC1492">
        <w:t xml:space="preserve"> in recent years, even during periods of overall economic downturn (like in 2020-21), highlights its resilience, especially as a critical livelihood source for Rajasthan's rural population.</w:t>
      </w:r>
      <w:r>
        <w:t xml:space="preserve"> </w:t>
      </w:r>
      <w:r w:rsidRPr="00FC1492">
        <w:t xml:space="preserve">Modernization of agriculture, improvements in irrigation, and value-addition (like </w:t>
      </w:r>
      <w:proofErr w:type="spellStart"/>
      <w:r w:rsidRPr="00FC1492">
        <w:t>agro</w:t>
      </w:r>
      <w:proofErr w:type="spellEnd"/>
      <w:r w:rsidRPr="00FC1492">
        <w:t>-processing) could boost productivity and sustain rural incomes.</w:t>
      </w:r>
      <w:r w:rsidR="006C7D1E">
        <w:t xml:space="preserve"> </w:t>
      </w:r>
      <w:r w:rsidR="00AA5FB9">
        <w:t>O</w:t>
      </w:r>
      <w:r w:rsidR="0056466F" w:rsidRPr="0056466F">
        <w:t>ver the past six decades, there has been a shift in GDP and workforce distribution from the primary and secondary sectors to the tertiary sector</w:t>
      </w:r>
      <w:r w:rsidR="00AA5FB9">
        <w:t xml:space="preserve"> (Sharma et. al, 2022)</w:t>
      </w:r>
      <w:r w:rsidR="0056466F" w:rsidRPr="0056466F">
        <w:t>. This indicates significant potential for boosting economic growth through the expansion of the tertiary sector, provided that proper planning is implemented for other sectors and there is effective integration between the tertiary sector and the commodity sectors</w:t>
      </w:r>
      <w:r w:rsidR="006C37D1">
        <w:t xml:space="preserve">. </w:t>
      </w:r>
    </w:p>
    <w:p w14:paraId="3C03AD90" w14:textId="77777777" w:rsidR="00437FDE" w:rsidRDefault="00437FDE" w:rsidP="00777FCE">
      <w:pPr>
        <w:spacing w:line="276" w:lineRule="auto"/>
        <w:jc w:val="both"/>
      </w:pPr>
    </w:p>
    <w:p w14:paraId="79A46A6F" w14:textId="77777777" w:rsidR="00437FDE" w:rsidRDefault="00437FDE" w:rsidP="00777FCE">
      <w:pPr>
        <w:spacing w:line="276" w:lineRule="auto"/>
        <w:jc w:val="both"/>
      </w:pPr>
    </w:p>
    <w:p w14:paraId="333C3D5F" w14:textId="24B8345D" w:rsidR="006E4CAF" w:rsidRPr="006448D0" w:rsidRDefault="006E4CAF" w:rsidP="006448D0">
      <w:pPr>
        <w:spacing w:line="276" w:lineRule="auto"/>
        <w:jc w:val="both"/>
      </w:pPr>
      <w:r>
        <w:br w:type="page"/>
      </w:r>
      <w:r w:rsidRPr="006E4CAF">
        <w:rPr>
          <w:b/>
          <w:bCs/>
          <w:u w:val="single"/>
        </w:rPr>
        <w:lastRenderedPageBreak/>
        <w:t>References</w:t>
      </w:r>
    </w:p>
    <w:p w14:paraId="0F3AD935" w14:textId="77777777" w:rsidR="006E4CAF" w:rsidRDefault="006E4CAF" w:rsidP="006E4CAF">
      <w:r w:rsidRPr="000E3B68">
        <w:t xml:space="preserve">Anuraag Singh, Sudhir </w:t>
      </w:r>
      <w:proofErr w:type="spellStart"/>
      <w:r w:rsidRPr="000E3B68">
        <w:t>Suryawanshi</w:t>
      </w:r>
      <w:proofErr w:type="spellEnd"/>
      <w:r w:rsidRPr="000E3B68">
        <w:t xml:space="preserve">, Rajesh Asnani, and Anuraag Singh, Sudhir </w:t>
      </w:r>
      <w:proofErr w:type="spellStart"/>
      <w:r w:rsidRPr="000E3B68">
        <w:t>Suryawanshi</w:t>
      </w:r>
      <w:proofErr w:type="spellEnd"/>
      <w:r w:rsidRPr="000E3B68">
        <w:t xml:space="preserve">, Rajesh Asnani. “Inadequate Rain Pushes Three States Behind Kharif Sowing Schedule.” </w:t>
      </w:r>
      <w:r w:rsidRPr="000E3B68">
        <w:rPr>
          <w:i/>
          <w:iCs/>
        </w:rPr>
        <w:t>The New Indian Express</w:t>
      </w:r>
      <w:r w:rsidRPr="000E3B68">
        <w:t xml:space="preserve">, 28 July 2021, </w:t>
      </w:r>
      <w:hyperlink r:id="rId21" w:history="1">
        <w:r w:rsidRPr="000E3B68">
          <w:rPr>
            <w:rStyle w:val="Hyperlink"/>
          </w:rPr>
          <w:t>www.newindianexpress.com/nation/2021/Jul/28/inadequate-rain-pushesthree-states-behind-kharif-sowing-schedule-2336493.html</w:t>
        </w:r>
      </w:hyperlink>
      <w:r w:rsidRPr="000E3B68">
        <w:t>.</w:t>
      </w:r>
      <w:r>
        <w:t xml:space="preserve"> </w:t>
      </w:r>
    </w:p>
    <w:p w14:paraId="5FAB8B43" w14:textId="77777777" w:rsidR="006E4CAF" w:rsidRDefault="006E4CAF" w:rsidP="006E4CAF">
      <w:r w:rsidRPr="000E3B68">
        <w:t xml:space="preserve">Bureau of Investment Promotion, et al. “HAWA MAHAL IN JAIPUR, RAJASTHAN.” </w:t>
      </w:r>
      <w:r w:rsidRPr="000E3B68">
        <w:rPr>
          <w:i/>
          <w:iCs/>
        </w:rPr>
        <w:t>Rajasthan</w:t>
      </w:r>
      <w:r w:rsidRPr="000E3B68">
        <w:t xml:space="preserve">, June 2024, p. 3. </w:t>
      </w:r>
      <w:hyperlink r:id="rId22" w:history="1">
        <w:r w:rsidRPr="000E3B68">
          <w:rPr>
            <w:rStyle w:val="Hyperlink"/>
          </w:rPr>
          <w:t>www.ibef.org/download/1722846291_Rajasthan_June_2024.pdf</w:t>
        </w:r>
      </w:hyperlink>
      <w:r w:rsidRPr="000E3B68">
        <w:t>.</w:t>
      </w:r>
      <w:r>
        <w:t xml:space="preserve"> </w:t>
      </w:r>
    </w:p>
    <w:p w14:paraId="530A6E58" w14:textId="77777777" w:rsidR="006E4CAF" w:rsidRDefault="006E4CAF" w:rsidP="006E4CAF">
      <w:r w:rsidRPr="00597FE7">
        <w:t xml:space="preserve">Business Standard. “Rajasthan Industries Staring at Rs 1 Lakh Crore Loss, Says Forti.” </w:t>
      </w:r>
      <w:r w:rsidRPr="00597FE7">
        <w:rPr>
          <w:i/>
          <w:iCs/>
        </w:rPr>
        <w:t>www.business-standard.com</w:t>
      </w:r>
      <w:r w:rsidRPr="00597FE7">
        <w:t xml:space="preserve">, 21 Nov. 2016, </w:t>
      </w:r>
      <w:hyperlink r:id="rId23" w:history="1">
        <w:r w:rsidRPr="00597FE7">
          <w:rPr>
            <w:rStyle w:val="Hyperlink"/>
          </w:rPr>
          <w:t>www.business-standard.com/article/pti-stories/r-than-industries-staring-at-rs-1-lakh-crore-loss-says-forti-116112100395_1.html</w:t>
        </w:r>
      </w:hyperlink>
      <w:r w:rsidRPr="00597FE7">
        <w:t>.</w:t>
      </w:r>
      <w:r>
        <w:t xml:space="preserve"> </w:t>
      </w:r>
    </w:p>
    <w:p w14:paraId="5237FA1D" w14:textId="77777777" w:rsidR="006E4CAF" w:rsidRDefault="006E4CAF" w:rsidP="006E4CAF">
      <w:r w:rsidRPr="004060FE">
        <w:rPr>
          <w:i/>
          <w:iCs/>
        </w:rPr>
        <w:t>Data | Ministry of Statistics and Program Implementation | Government of India</w:t>
      </w:r>
      <w:r w:rsidRPr="004060FE">
        <w:t xml:space="preserve">. </w:t>
      </w:r>
      <w:hyperlink r:id="rId24" w:history="1">
        <w:r w:rsidRPr="004060FE">
          <w:rPr>
            <w:rStyle w:val="Hyperlink"/>
          </w:rPr>
          <w:t>www.mospi.gov.in/data</w:t>
        </w:r>
      </w:hyperlink>
      <w:r w:rsidRPr="004060FE">
        <w:t>.</w:t>
      </w:r>
      <w:r>
        <w:t xml:space="preserve"> </w:t>
      </w:r>
    </w:p>
    <w:p w14:paraId="488303B3" w14:textId="77777777" w:rsidR="006E4CAF" w:rsidRDefault="006E4CAF" w:rsidP="006E4CAF">
      <w:r w:rsidRPr="000E3B68">
        <w:t xml:space="preserve">Gautam, A. (2020). Impact of GST on various Stakeholders in Rajasthan An Empirical Study. </w:t>
      </w:r>
      <w:proofErr w:type="spellStart"/>
      <w:r w:rsidRPr="000E3B68">
        <w:rPr>
          <w:i/>
          <w:iCs/>
        </w:rPr>
        <w:t>Shodhganga</w:t>
      </w:r>
      <w:proofErr w:type="spellEnd"/>
      <w:r w:rsidRPr="000E3B68">
        <w:t xml:space="preserve">. </w:t>
      </w:r>
      <w:hyperlink r:id="rId25" w:history="1">
        <w:r w:rsidRPr="00D23CA1">
          <w:rPr>
            <w:rStyle w:val="Hyperlink"/>
          </w:rPr>
          <w:t>http://hdl.handle.net/10603/357871</w:t>
        </w:r>
      </w:hyperlink>
      <w:r>
        <w:t xml:space="preserve"> </w:t>
      </w:r>
    </w:p>
    <w:p w14:paraId="6531C9B5" w14:textId="77777777" w:rsidR="006E4CAF" w:rsidRPr="00597FE7" w:rsidRDefault="006E4CAF" w:rsidP="006E4CAF">
      <w:r w:rsidRPr="000E3B68">
        <w:t xml:space="preserve">Government of Rajasthan. </w:t>
      </w:r>
      <w:r w:rsidRPr="000E3B68">
        <w:rPr>
          <w:i/>
          <w:iCs/>
        </w:rPr>
        <w:t>State Finances Audit Report for the Year Ended 31 March 2020</w:t>
      </w:r>
      <w:r w:rsidRPr="000E3B68">
        <w:t>. 2020, cag.gov.in/uploads/download_audit_report/2021/6.%20Chapter%20-I-06142d8ccbe88c3.79722418.pdf.</w:t>
      </w:r>
      <w:r>
        <w:t xml:space="preserve"> </w:t>
      </w:r>
    </w:p>
    <w:p w14:paraId="4214233C" w14:textId="77777777" w:rsidR="006E4CAF" w:rsidRPr="00AB43BF" w:rsidRDefault="006E4CAF" w:rsidP="006E4CAF">
      <w:r w:rsidRPr="00AB43BF">
        <w:t xml:space="preserve">Goyal, Ca Rohit. “Impact of GST on Textile Industry in Rajasthan.” </w:t>
      </w:r>
      <w:r w:rsidRPr="00AB43BF">
        <w:rPr>
          <w:i/>
          <w:iCs/>
        </w:rPr>
        <w:t>Goyal Mangal &amp; Company</w:t>
      </w:r>
      <w:r w:rsidRPr="00AB43BF">
        <w:t xml:space="preserve">, 31 May 2024, </w:t>
      </w:r>
      <w:hyperlink r:id="rId26" w:history="1">
        <w:r w:rsidRPr="00AB43BF">
          <w:rPr>
            <w:rStyle w:val="Hyperlink"/>
          </w:rPr>
          <w:t>www.cagmc.com/blog/impact-of-gst-on-textile-industry-in-rajasthan</w:t>
        </w:r>
      </w:hyperlink>
      <w:r w:rsidRPr="00AB43BF">
        <w:t>.</w:t>
      </w:r>
      <w:r>
        <w:t xml:space="preserve"> </w:t>
      </w:r>
    </w:p>
    <w:p w14:paraId="19987FA7" w14:textId="77777777" w:rsidR="006E4CAF" w:rsidRPr="000E3B68" w:rsidRDefault="006E4CAF" w:rsidP="006E4CAF">
      <w:r w:rsidRPr="000E3B68">
        <w:t xml:space="preserve">Guest. (2017). Demonetisation: How impact on rabi cropping in Rajasthan was mitigated. </w:t>
      </w:r>
      <w:r w:rsidRPr="000E3B68">
        <w:rPr>
          <w:i/>
          <w:iCs/>
        </w:rPr>
        <w:t>Financial Express</w:t>
      </w:r>
      <w:r w:rsidRPr="000E3B68">
        <w:t xml:space="preserve">. </w:t>
      </w:r>
      <w:hyperlink r:id="rId27" w:history="1">
        <w:r w:rsidRPr="000E3B68">
          <w:rPr>
            <w:rStyle w:val="Hyperlink"/>
          </w:rPr>
          <w:t>https://www.financialexpress.com/policy/economy-demonetisation-how-impact-on-rabi-cropping-in-rajasthan-was-mitigated-631649/</w:t>
        </w:r>
      </w:hyperlink>
      <w:r>
        <w:t xml:space="preserve"> </w:t>
      </w:r>
    </w:p>
    <w:p w14:paraId="0A65EEC1" w14:textId="77777777" w:rsidR="006E4CAF" w:rsidRDefault="006E4CAF" w:rsidP="006E4CAF">
      <w:r w:rsidRPr="000E3B68">
        <w:t xml:space="preserve">Gupta, S., &amp; Chawla, J. (2017). Demonetization And Its Impact On Various Sectors Of The Indian Economy. </w:t>
      </w:r>
      <w:r w:rsidRPr="000E3B68">
        <w:rPr>
          <w:i/>
          <w:iCs/>
        </w:rPr>
        <w:t xml:space="preserve">Naveen </w:t>
      </w:r>
      <w:proofErr w:type="spellStart"/>
      <w:r w:rsidRPr="000E3B68">
        <w:rPr>
          <w:i/>
          <w:iCs/>
        </w:rPr>
        <w:t>Shodh</w:t>
      </w:r>
      <w:proofErr w:type="spellEnd"/>
      <w:r w:rsidRPr="000E3B68">
        <w:rPr>
          <w:i/>
          <w:iCs/>
        </w:rPr>
        <w:t xml:space="preserve"> Sansar</w:t>
      </w:r>
      <w:r w:rsidRPr="000E3B68">
        <w:t xml:space="preserve">, </w:t>
      </w:r>
      <w:r w:rsidRPr="000E3B68">
        <w:rPr>
          <w:i/>
          <w:iCs/>
        </w:rPr>
        <w:t>2</w:t>
      </w:r>
      <w:r w:rsidRPr="000E3B68">
        <w:t xml:space="preserve">, 46–49. </w:t>
      </w:r>
      <w:hyperlink r:id="rId28" w:anchor="page=46" w:history="1">
        <w:r w:rsidRPr="000E3B68">
          <w:rPr>
            <w:rStyle w:val="Hyperlink"/>
          </w:rPr>
          <w:t>https://nssresearchjournal.com/CertEdiDoc/CurrentEdition4046bb58-da20-43e9-84ef-c5b52ddc059b.pdf#page=46</w:t>
        </w:r>
      </w:hyperlink>
      <w:r>
        <w:t xml:space="preserve"> </w:t>
      </w:r>
    </w:p>
    <w:p w14:paraId="038527BA" w14:textId="77777777" w:rsidR="006E4CAF" w:rsidRPr="00597FE7" w:rsidRDefault="006E4CAF" w:rsidP="006E4CAF">
      <w:r w:rsidRPr="00597FE7">
        <w:t xml:space="preserve">GURUMURTHY K &amp; BL RESEARCH BUREAU. “Demonetisation Hits Rajasthan Tourism.” </w:t>
      </w:r>
      <w:proofErr w:type="spellStart"/>
      <w:r w:rsidRPr="00597FE7">
        <w:rPr>
          <w:i/>
          <w:iCs/>
        </w:rPr>
        <w:t>BusinessLine</w:t>
      </w:r>
      <w:proofErr w:type="spellEnd"/>
      <w:r w:rsidRPr="00597FE7">
        <w:t xml:space="preserve">, 15 Jan. 2018, </w:t>
      </w:r>
      <w:hyperlink r:id="rId29" w:history="1">
        <w:r w:rsidRPr="00597FE7">
          <w:rPr>
            <w:rStyle w:val="Hyperlink"/>
          </w:rPr>
          <w:t>www.thehindubusinessline.com/news/variety/demonetisation-hits-rajasthan-tourism/article9374748.ece</w:t>
        </w:r>
      </w:hyperlink>
      <w:r w:rsidRPr="00597FE7">
        <w:t>.</w:t>
      </w:r>
      <w:r>
        <w:t xml:space="preserve"> </w:t>
      </w:r>
    </w:p>
    <w:p w14:paraId="2651B43B" w14:textId="77777777" w:rsidR="006E4CAF" w:rsidRDefault="006E4CAF" w:rsidP="006E4CAF">
      <w:r w:rsidRPr="000E3B68">
        <w:t xml:space="preserve">Kumar, D., &amp; </w:t>
      </w:r>
      <w:proofErr w:type="spellStart"/>
      <w:r w:rsidRPr="000E3B68">
        <w:t>Bhadu</w:t>
      </w:r>
      <w:proofErr w:type="spellEnd"/>
      <w:r w:rsidRPr="000E3B68">
        <w:t xml:space="preserve">, A. (2022). Impact of Covid-19 on Tourism Industry in Rajasthan. </w:t>
      </w:r>
      <w:r w:rsidRPr="000E3B68">
        <w:rPr>
          <w:i/>
          <w:iCs/>
        </w:rPr>
        <w:t>International Journal of Humanities and Social Science Invention</w:t>
      </w:r>
      <w:r w:rsidRPr="000E3B68">
        <w:t xml:space="preserve">, </w:t>
      </w:r>
      <w:r w:rsidRPr="000E3B68">
        <w:rPr>
          <w:i/>
          <w:iCs/>
        </w:rPr>
        <w:t>2</w:t>
      </w:r>
      <w:r w:rsidRPr="000E3B68">
        <w:t xml:space="preserve">(5), 57–62. </w:t>
      </w:r>
      <w:hyperlink r:id="rId30" w:history="1">
        <w:r w:rsidRPr="000E3B68">
          <w:rPr>
            <w:rStyle w:val="Hyperlink"/>
          </w:rPr>
          <w:t>https://www.ijhssi.org/papers/vol11(5)/Ser-2/J1105025762.pdf</w:t>
        </w:r>
      </w:hyperlink>
      <w:r>
        <w:t xml:space="preserve"> </w:t>
      </w:r>
    </w:p>
    <w:p w14:paraId="277C14FA" w14:textId="77777777" w:rsidR="006E4CAF" w:rsidRDefault="006E4CAF" w:rsidP="006E4CAF">
      <w:r w:rsidRPr="00597FE7">
        <w:t xml:space="preserve">Mittal, Rishi Kant. “Trader’s Perception Towards Demonetization and Cashless on Indian Economy: (a Case Study With Reference to Ajmer District in Rajasthan).” </w:t>
      </w:r>
      <w:r w:rsidRPr="00597FE7">
        <w:rPr>
          <w:i/>
          <w:iCs/>
        </w:rPr>
        <w:t>AIJRA Vol. III Issue III</w:t>
      </w:r>
      <w:r w:rsidRPr="00597FE7">
        <w:t>, journal-article, 2015, p. 5.1-5.2. ijcms2015.co/file/2018-vol-III-issue-III/aijra-vol-iii-issue-3-5.pdf.</w:t>
      </w:r>
      <w:r>
        <w:t xml:space="preserve"> </w:t>
      </w:r>
    </w:p>
    <w:p w14:paraId="5E3D709E" w14:textId="77777777" w:rsidR="006E4CAF" w:rsidRDefault="006E4CAF" w:rsidP="006E4CAF">
      <w:r w:rsidRPr="00597FE7">
        <w:lastRenderedPageBreak/>
        <w:t xml:space="preserve">M. R. </w:t>
      </w:r>
      <w:proofErr w:type="spellStart"/>
      <w:r w:rsidRPr="00597FE7">
        <w:t>Singariya</w:t>
      </w:r>
      <w:proofErr w:type="spellEnd"/>
      <w:r w:rsidRPr="00597FE7">
        <w:t>. Trends of Economic Growth and Population Change in Rajasthan: A District Level Panel Data Investigation. </w:t>
      </w:r>
      <w:r w:rsidRPr="00597FE7">
        <w:rPr>
          <w:i/>
          <w:iCs/>
        </w:rPr>
        <w:t>International Journal of Econometrics and Financial Management</w:t>
      </w:r>
      <w:r w:rsidRPr="00597FE7">
        <w:t xml:space="preserve">. 2014; 2(1):22-27. </w:t>
      </w:r>
      <w:proofErr w:type="spellStart"/>
      <w:r w:rsidRPr="00597FE7">
        <w:t>doi</w:t>
      </w:r>
      <w:proofErr w:type="spellEnd"/>
      <w:r w:rsidRPr="00597FE7">
        <w:t>: 10.12691/ijefm-2-1-3</w:t>
      </w:r>
      <w:r>
        <w:t xml:space="preserve"> </w:t>
      </w:r>
    </w:p>
    <w:p w14:paraId="76164745" w14:textId="77777777" w:rsidR="006E4CAF" w:rsidRDefault="006E4CAF" w:rsidP="006E4CAF">
      <w:r w:rsidRPr="00AB43BF">
        <w:t xml:space="preserve">Mukherjee, Sacchidananda and National Institute of Public Finance and Policy. “Revenue Implications of GST on Indian State Finances.” </w:t>
      </w:r>
      <w:r w:rsidRPr="00AB43BF">
        <w:rPr>
          <w:i/>
          <w:iCs/>
        </w:rPr>
        <w:t>NIPFP Working Paper Series</w:t>
      </w:r>
      <w:r w:rsidRPr="00AB43BF">
        <w:t xml:space="preserve">, 388, 2023, pp. 1–3. </w:t>
      </w:r>
      <w:hyperlink r:id="rId31" w:history="1">
        <w:r w:rsidRPr="00AB43BF">
          <w:rPr>
            <w:rStyle w:val="Hyperlink"/>
          </w:rPr>
          <w:t>www.nipfp.org.in/media/medialibrary/2023/01/WP_388_2023.pdf</w:t>
        </w:r>
      </w:hyperlink>
      <w:r w:rsidRPr="00AB43BF">
        <w:t>.</w:t>
      </w:r>
      <w:r>
        <w:t xml:space="preserve"> </w:t>
      </w:r>
    </w:p>
    <w:p w14:paraId="4FB91528" w14:textId="77777777" w:rsidR="006E4CAF" w:rsidRPr="00597FE7" w:rsidRDefault="006E4CAF" w:rsidP="006E4CAF">
      <w:r w:rsidRPr="00597FE7">
        <w:t xml:space="preserve">PHD RESEARCH BUREAU, et al. </w:t>
      </w:r>
      <w:r w:rsidRPr="00597FE7">
        <w:rPr>
          <w:i/>
          <w:iCs/>
        </w:rPr>
        <w:t>Rajasthan: Steady Strides Into the Future</w:t>
      </w:r>
      <w:r w:rsidRPr="00597FE7">
        <w:t xml:space="preserve">. PHD RESEARCH BUREAU, 2018, </w:t>
      </w:r>
      <w:hyperlink r:id="rId32" w:history="1">
        <w:r w:rsidRPr="00597FE7">
          <w:rPr>
            <w:rStyle w:val="Hyperlink"/>
          </w:rPr>
          <w:t>www.phdcci.in/wp-content/uploads/2021/07/Rajasthan-Steady-Strides-into-the-Future.pdf</w:t>
        </w:r>
      </w:hyperlink>
      <w:r w:rsidRPr="00597FE7">
        <w:t>.</w:t>
      </w:r>
      <w:r>
        <w:t xml:space="preserve"> </w:t>
      </w:r>
    </w:p>
    <w:p w14:paraId="0A6D7960" w14:textId="77777777" w:rsidR="006E4CAF" w:rsidRDefault="006E4CAF" w:rsidP="006E4CAF">
      <w:r w:rsidRPr="00AB43BF">
        <w:t xml:space="preserve">“Rajasthan Budget Analysis 2021-22.” </w:t>
      </w:r>
      <w:r w:rsidRPr="00AB43BF">
        <w:rPr>
          <w:i/>
          <w:iCs/>
        </w:rPr>
        <w:t>PRS Legislative Research</w:t>
      </w:r>
      <w:r w:rsidRPr="00AB43BF">
        <w:t>, prsindia.org/budgets/states/rajasthan-budget-analysis-2021-22</w:t>
      </w:r>
      <w:r>
        <w:t>.</w:t>
      </w:r>
    </w:p>
    <w:p w14:paraId="24D6032F" w14:textId="77777777" w:rsidR="006E4CAF" w:rsidRDefault="006E4CAF" w:rsidP="006E4CAF">
      <w:r w:rsidRPr="00597FE7">
        <w:t xml:space="preserve">Raghuveer, </w:t>
      </w:r>
      <w:proofErr w:type="spellStart"/>
      <w:r w:rsidRPr="00597FE7">
        <w:t>Madanappa</w:t>
      </w:r>
      <w:proofErr w:type="spellEnd"/>
      <w:r w:rsidRPr="00597FE7">
        <w:t xml:space="preserve">, et al. “Impact of Demonetisation on Marble Industry in India With Special Reference to Selected Cities of Rajasthan.” </w:t>
      </w:r>
      <w:r w:rsidRPr="00597FE7">
        <w:rPr>
          <w:i/>
          <w:iCs/>
        </w:rPr>
        <w:t>Pacic Academy of Higher Education &amp; Research University</w:t>
      </w:r>
      <w:r w:rsidRPr="00597FE7">
        <w:t xml:space="preserve">, by Pacic Academy of Higher Education &amp; Research University, vol. 11–11, no. 1, journal-article, 2023, pp. 1–1. </w:t>
      </w:r>
      <w:hyperlink r:id="rId33" w:history="1">
        <w:r w:rsidRPr="00597FE7">
          <w:rPr>
            <w:rStyle w:val="Hyperlink"/>
          </w:rPr>
          <w:t>www.businessjournal.ac.in/2023/Jan/2.pdf</w:t>
        </w:r>
      </w:hyperlink>
      <w:r w:rsidRPr="00597FE7">
        <w:t>.</w:t>
      </w:r>
      <w:r>
        <w:t xml:space="preserve"> </w:t>
      </w:r>
    </w:p>
    <w:p w14:paraId="4144FB77" w14:textId="77777777" w:rsidR="006E4CAF" w:rsidRPr="000E3B68" w:rsidRDefault="006E4CAF" w:rsidP="006E4CAF">
      <w:r w:rsidRPr="000E3B68">
        <w:t xml:space="preserve">Sharma, H., </w:t>
      </w:r>
      <w:proofErr w:type="spellStart"/>
      <w:r w:rsidRPr="000E3B68">
        <w:t>Burark</w:t>
      </w:r>
      <w:proofErr w:type="spellEnd"/>
      <w:r w:rsidRPr="000E3B68">
        <w:t xml:space="preserve">, S., &amp; Kalamkar, S. (2020). Economic Growth and Structural Changes in Rajasthan Economy (1955-56 to 2019-20). </w:t>
      </w:r>
      <w:r w:rsidRPr="000E3B68">
        <w:rPr>
          <w:i/>
          <w:iCs/>
        </w:rPr>
        <w:t>Journal of Agricultural Development and Policy</w:t>
      </w:r>
      <w:r w:rsidRPr="000E3B68">
        <w:t xml:space="preserve">, </w:t>
      </w:r>
      <w:r w:rsidRPr="000E3B68">
        <w:rPr>
          <w:i/>
          <w:iCs/>
        </w:rPr>
        <w:t>32</w:t>
      </w:r>
      <w:r w:rsidRPr="000E3B68">
        <w:t xml:space="preserve">(1). </w:t>
      </w:r>
      <w:hyperlink r:id="rId34" w:history="1">
        <w:r w:rsidRPr="000E3B68">
          <w:rPr>
            <w:rStyle w:val="Hyperlink"/>
          </w:rPr>
          <w:t>https://www.indianjournals.com/ijor.aspx?target=ijor:jadp&amp;volume=32&amp;issue=1&amp;article=001</w:t>
        </w:r>
      </w:hyperlink>
      <w:r>
        <w:t xml:space="preserve"> </w:t>
      </w:r>
    </w:p>
    <w:p w14:paraId="0E6FD275" w14:textId="77777777" w:rsidR="006E4CAF" w:rsidRDefault="006E4CAF" w:rsidP="006E4CAF"/>
    <w:p w14:paraId="72E99E41" w14:textId="77777777" w:rsidR="006E4CAF" w:rsidRDefault="006E4CAF" w:rsidP="006E4CAF"/>
    <w:p w14:paraId="076915F5" w14:textId="77777777" w:rsidR="006E4CAF" w:rsidRDefault="006E4CAF" w:rsidP="006E4CAF"/>
    <w:p w14:paraId="657C12AC" w14:textId="77777777" w:rsidR="006E4CAF" w:rsidRDefault="006E4CAF" w:rsidP="006E4CAF"/>
    <w:p w14:paraId="63E532F0" w14:textId="77777777" w:rsidR="006E4CAF" w:rsidRDefault="006E4CAF" w:rsidP="006E4CAF"/>
    <w:p w14:paraId="6AE014F3" w14:textId="77777777" w:rsidR="006E4CAF" w:rsidRDefault="006E4CAF" w:rsidP="006E4CAF"/>
    <w:p w14:paraId="3190A078" w14:textId="77777777" w:rsidR="006E4CAF" w:rsidRPr="00597FE7" w:rsidRDefault="006E4CAF" w:rsidP="006E4CAF"/>
    <w:p w14:paraId="1468EE8B" w14:textId="77777777" w:rsidR="006E4CAF" w:rsidRDefault="006E4CAF" w:rsidP="006E4CAF"/>
    <w:p w14:paraId="1A677D33" w14:textId="77777777" w:rsidR="006E4CAF" w:rsidRPr="009D4DB9" w:rsidRDefault="006E4CAF" w:rsidP="009D4DB9"/>
    <w:sectPr w:rsidR="006E4CAF" w:rsidRPr="009D4DB9" w:rsidSect="00892DD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82C2E6" w14:textId="77777777" w:rsidR="0035111D" w:rsidRDefault="0035111D" w:rsidP="009D4DB9">
      <w:pPr>
        <w:spacing w:after="0" w:line="240" w:lineRule="auto"/>
      </w:pPr>
      <w:r>
        <w:separator/>
      </w:r>
    </w:p>
  </w:endnote>
  <w:endnote w:type="continuationSeparator" w:id="0">
    <w:p w14:paraId="5FFDB87A" w14:textId="77777777" w:rsidR="0035111D" w:rsidRDefault="0035111D" w:rsidP="009D4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0DB796" w14:textId="77777777" w:rsidR="0035111D" w:rsidRDefault="0035111D" w:rsidP="009D4DB9">
      <w:pPr>
        <w:spacing w:after="0" w:line="240" w:lineRule="auto"/>
      </w:pPr>
      <w:r>
        <w:separator/>
      </w:r>
    </w:p>
  </w:footnote>
  <w:footnote w:type="continuationSeparator" w:id="0">
    <w:p w14:paraId="4D6C1FDE" w14:textId="77777777" w:rsidR="0035111D" w:rsidRDefault="0035111D" w:rsidP="009D4D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9A4C2C"/>
    <w:multiLevelType w:val="multilevel"/>
    <w:tmpl w:val="1226A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E5EC9"/>
    <w:multiLevelType w:val="multilevel"/>
    <w:tmpl w:val="3F24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37A07"/>
    <w:multiLevelType w:val="multilevel"/>
    <w:tmpl w:val="3D9A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F18C8"/>
    <w:multiLevelType w:val="multilevel"/>
    <w:tmpl w:val="EDF2F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E54857"/>
    <w:multiLevelType w:val="multilevel"/>
    <w:tmpl w:val="EA28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3102C0"/>
    <w:multiLevelType w:val="multilevel"/>
    <w:tmpl w:val="7194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A7151D"/>
    <w:multiLevelType w:val="multilevel"/>
    <w:tmpl w:val="36CE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A911D5"/>
    <w:multiLevelType w:val="multilevel"/>
    <w:tmpl w:val="9754D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19189">
    <w:abstractNumId w:val="4"/>
  </w:num>
  <w:num w:numId="2" w16cid:durableId="269049831">
    <w:abstractNumId w:val="5"/>
  </w:num>
  <w:num w:numId="3" w16cid:durableId="49882922">
    <w:abstractNumId w:val="7"/>
  </w:num>
  <w:num w:numId="4" w16cid:durableId="10376711">
    <w:abstractNumId w:val="2"/>
  </w:num>
  <w:num w:numId="5" w16cid:durableId="373386593">
    <w:abstractNumId w:val="0"/>
  </w:num>
  <w:num w:numId="6" w16cid:durableId="575357339">
    <w:abstractNumId w:val="6"/>
  </w:num>
  <w:num w:numId="7" w16cid:durableId="703747918">
    <w:abstractNumId w:val="3"/>
  </w:num>
  <w:num w:numId="8" w16cid:durableId="5625263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1D7"/>
    <w:rsid w:val="00007282"/>
    <w:rsid w:val="00033124"/>
    <w:rsid w:val="0003376E"/>
    <w:rsid w:val="00054549"/>
    <w:rsid w:val="00080E50"/>
    <w:rsid w:val="000A35F1"/>
    <w:rsid w:val="001202E6"/>
    <w:rsid w:val="001245C2"/>
    <w:rsid w:val="001341A0"/>
    <w:rsid w:val="00143A7F"/>
    <w:rsid w:val="00144175"/>
    <w:rsid w:val="0018717B"/>
    <w:rsid w:val="001A71CF"/>
    <w:rsid w:val="001D4194"/>
    <w:rsid w:val="001D4F28"/>
    <w:rsid w:val="001F5FC5"/>
    <w:rsid w:val="00225821"/>
    <w:rsid w:val="00250F3F"/>
    <w:rsid w:val="00267A46"/>
    <w:rsid w:val="002B6E37"/>
    <w:rsid w:val="002C4DCA"/>
    <w:rsid w:val="002C7A4B"/>
    <w:rsid w:val="002E56E1"/>
    <w:rsid w:val="00323E34"/>
    <w:rsid w:val="00327891"/>
    <w:rsid w:val="0033513F"/>
    <w:rsid w:val="0035111D"/>
    <w:rsid w:val="003612E9"/>
    <w:rsid w:val="00362709"/>
    <w:rsid w:val="003A7546"/>
    <w:rsid w:val="003B30A5"/>
    <w:rsid w:val="00416136"/>
    <w:rsid w:val="004221E1"/>
    <w:rsid w:val="00437FDE"/>
    <w:rsid w:val="004567CA"/>
    <w:rsid w:val="00473628"/>
    <w:rsid w:val="0049224D"/>
    <w:rsid w:val="004A418D"/>
    <w:rsid w:val="004D2828"/>
    <w:rsid w:val="004F2F4F"/>
    <w:rsid w:val="004F340C"/>
    <w:rsid w:val="00506711"/>
    <w:rsid w:val="00520BBC"/>
    <w:rsid w:val="00533D3E"/>
    <w:rsid w:val="00536661"/>
    <w:rsid w:val="0056351C"/>
    <w:rsid w:val="0056466F"/>
    <w:rsid w:val="00587FD0"/>
    <w:rsid w:val="00596215"/>
    <w:rsid w:val="005E3F6F"/>
    <w:rsid w:val="00633407"/>
    <w:rsid w:val="006448D0"/>
    <w:rsid w:val="006C37D1"/>
    <w:rsid w:val="006C7D1E"/>
    <w:rsid w:val="006D12A1"/>
    <w:rsid w:val="006E4CAF"/>
    <w:rsid w:val="006F759E"/>
    <w:rsid w:val="00713FA2"/>
    <w:rsid w:val="00716F89"/>
    <w:rsid w:val="00755A0F"/>
    <w:rsid w:val="00777FCE"/>
    <w:rsid w:val="007B1DC7"/>
    <w:rsid w:val="007C6BA3"/>
    <w:rsid w:val="007D667E"/>
    <w:rsid w:val="007E2E33"/>
    <w:rsid w:val="007F3EF7"/>
    <w:rsid w:val="00892DD3"/>
    <w:rsid w:val="008C7ECB"/>
    <w:rsid w:val="008D1F0C"/>
    <w:rsid w:val="008E0FE3"/>
    <w:rsid w:val="008F0488"/>
    <w:rsid w:val="008F1956"/>
    <w:rsid w:val="00932672"/>
    <w:rsid w:val="00957FA4"/>
    <w:rsid w:val="00970C8B"/>
    <w:rsid w:val="00973DC6"/>
    <w:rsid w:val="009856A8"/>
    <w:rsid w:val="00986F5D"/>
    <w:rsid w:val="009B4535"/>
    <w:rsid w:val="009D4DB9"/>
    <w:rsid w:val="009D5FB7"/>
    <w:rsid w:val="00A0091B"/>
    <w:rsid w:val="00A1566D"/>
    <w:rsid w:val="00A4755F"/>
    <w:rsid w:val="00A57F40"/>
    <w:rsid w:val="00A8490B"/>
    <w:rsid w:val="00AA5FB9"/>
    <w:rsid w:val="00AB0385"/>
    <w:rsid w:val="00AD7BF8"/>
    <w:rsid w:val="00AE7E91"/>
    <w:rsid w:val="00B33544"/>
    <w:rsid w:val="00B33C60"/>
    <w:rsid w:val="00B65F80"/>
    <w:rsid w:val="00B910C8"/>
    <w:rsid w:val="00BB5319"/>
    <w:rsid w:val="00BE26BC"/>
    <w:rsid w:val="00C204D7"/>
    <w:rsid w:val="00C301A5"/>
    <w:rsid w:val="00C43876"/>
    <w:rsid w:val="00C72EB1"/>
    <w:rsid w:val="00CB4DE6"/>
    <w:rsid w:val="00CB70DB"/>
    <w:rsid w:val="00D2099E"/>
    <w:rsid w:val="00D5138F"/>
    <w:rsid w:val="00DF6C23"/>
    <w:rsid w:val="00E057E1"/>
    <w:rsid w:val="00E25852"/>
    <w:rsid w:val="00E313FD"/>
    <w:rsid w:val="00E625BF"/>
    <w:rsid w:val="00E84D72"/>
    <w:rsid w:val="00EC5685"/>
    <w:rsid w:val="00EC71D7"/>
    <w:rsid w:val="00ED31E7"/>
    <w:rsid w:val="00EE2A13"/>
    <w:rsid w:val="00EF4B75"/>
    <w:rsid w:val="00F05E79"/>
    <w:rsid w:val="00F14BA9"/>
    <w:rsid w:val="00F1550D"/>
    <w:rsid w:val="00F42ABF"/>
    <w:rsid w:val="00F92C27"/>
    <w:rsid w:val="00FB6F09"/>
    <w:rsid w:val="00FC149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37531"/>
  <w15:chartTrackingRefBased/>
  <w15:docId w15:val="{F23CCAF3-BA0E-464E-A784-45BB36708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4"/>
        <w:szCs w:val="24"/>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475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0A35F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6">
    <w:name w:val="Grid Table 5 Dark Accent 6"/>
    <w:basedOn w:val="TableNormal"/>
    <w:uiPriority w:val="50"/>
    <w:rsid w:val="000A35F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Header">
    <w:name w:val="header"/>
    <w:basedOn w:val="Normal"/>
    <w:link w:val="HeaderChar"/>
    <w:uiPriority w:val="99"/>
    <w:unhideWhenUsed/>
    <w:rsid w:val="009D4DB9"/>
    <w:pPr>
      <w:tabs>
        <w:tab w:val="center" w:pos="4513"/>
        <w:tab w:val="right" w:pos="9026"/>
      </w:tabs>
      <w:spacing w:after="0" w:line="240" w:lineRule="auto"/>
    </w:pPr>
    <w:rPr>
      <w:rFonts w:cs="Mangal"/>
      <w:szCs w:val="21"/>
    </w:rPr>
  </w:style>
  <w:style w:type="character" w:customStyle="1" w:styleId="HeaderChar">
    <w:name w:val="Header Char"/>
    <w:basedOn w:val="DefaultParagraphFont"/>
    <w:link w:val="Header"/>
    <w:uiPriority w:val="99"/>
    <w:rsid w:val="009D4DB9"/>
    <w:rPr>
      <w:rFonts w:cs="Mangal"/>
      <w:szCs w:val="21"/>
    </w:rPr>
  </w:style>
  <w:style w:type="paragraph" w:styleId="Footer">
    <w:name w:val="footer"/>
    <w:basedOn w:val="Normal"/>
    <w:link w:val="FooterChar"/>
    <w:uiPriority w:val="99"/>
    <w:unhideWhenUsed/>
    <w:rsid w:val="009D4DB9"/>
    <w:pPr>
      <w:tabs>
        <w:tab w:val="center" w:pos="4513"/>
        <w:tab w:val="right" w:pos="9026"/>
      </w:tabs>
      <w:spacing w:after="0" w:line="240" w:lineRule="auto"/>
    </w:pPr>
    <w:rPr>
      <w:rFonts w:cs="Mangal"/>
      <w:szCs w:val="21"/>
    </w:rPr>
  </w:style>
  <w:style w:type="character" w:customStyle="1" w:styleId="FooterChar">
    <w:name w:val="Footer Char"/>
    <w:basedOn w:val="DefaultParagraphFont"/>
    <w:link w:val="Footer"/>
    <w:uiPriority w:val="99"/>
    <w:rsid w:val="009D4DB9"/>
    <w:rPr>
      <w:rFonts w:cs="Mangal"/>
      <w:szCs w:val="21"/>
    </w:rPr>
  </w:style>
  <w:style w:type="character" w:styleId="Hyperlink">
    <w:name w:val="Hyperlink"/>
    <w:basedOn w:val="DefaultParagraphFont"/>
    <w:uiPriority w:val="99"/>
    <w:unhideWhenUsed/>
    <w:rsid w:val="006E4CAF"/>
    <w:rPr>
      <w:color w:val="0563C1" w:themeColor="hyperlink"/>
      <w:u w:val="single"/>
    </w:rPr>
  </w:style>
  <w:style w:type="paragraph" w:styleId="NoSpacing">
    <w:name w:val="No Spacing"/>
    <w:link w:val="NoSpacingChar"/>
    <w:uiPriority w:val="1"/>
    <w:qFormat/>
    <w:rsid w:val="00892DD3"/>
    <w:pPr>
      <w:spacing w:after="0" w:line="240" w:lineRule="auto"/>
    </w:pPr>
    <w:rPr>
      <w:rFonts w:asciiTheme="minorHAnsi" w:eastAsiaTheme="minorEastAsia" w:hAnsiTheme="minorHAnsi" w:cstheme="minorBidi"/>
      <w:kern w:val="0"/>
      <w:sz w:val="22"/>
      <w:szCs w:val="22"/>
      <w:lang w:val="en-US" w:bidi="ar-SA"/>
      <w14:ligatures w14:val="none"/>
    </w:rPr>
  </w:style>
  <w:style w:type="character" w:customStyle="1" w:styleId="NoSpacingChar">
    <w:name w:val="No Spacing Char"/>
    <w:basedOn w:val="DefaultParagraphFont"/>
    <w:link w:val="NoSpacing"/>
    <w:uiPriority w:val="1"/>
    <w:rsid w:val="00892DD3"/>
    <w:rPr>
      <w:rFonts w:asciiTheme="minorHAnsi" w:eastAsiaTheme="minorEastAsia" w:hAnsiTheme="minorHAnsi" w:cstheme="minorBidi"/>
      <w:kern w:val="0"/>
      <w:sz w:val="22"/>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286565">
      <w:bodyDiv w:val="1"/>
      <w:marLeft w:val="0"/>
      <w:marRight w:val="0"/>
      <w:marTop w:val="0"/>
      <w:marBottom w:val="0"/>
      <w:divBdr>
        <w:top w:val="none" w:sz="0" w:space="0" w:color="auto"/>
        <w:left w:val="none" w:sz="0" w:space="0" w:color="auto"/>
        <w:bottom w:val="none" w:sz="0" w:space="0" w:color="auto"/>
        <w:right w:val="none" w:sz="0" w:space="0" w:color="auto"/>
      </w:divBdr>
    </w:div>
    <w:div w:id="246118856">
      <w:bodyDiv w:val="1"/>
      <w:marLeft w:val="0"/>
      <w:marRight w:val="0"/>
      <w:marTop w:val="0"/>
      <w:marBottom w:val="0"/>
      <w:divBdr>
        <w:top w:val="none" w:sz="0" w:space="0" w:color="auto"/>
        <w:left w:val="none" w:sz="0" w:space="0" w:color="auto"/>
        <w:bottom w:val="none" w:sz="0" w:space="0" w:color="auto"/>
        <w:right w:val="none" w:sz="0" w:space="0" w:color="auto"/>
      </w:divBdr>
    </w:div>
    <w:div w:id="339235468">
      <w:bodyDiv w:val="1"/>
      <w:marLeft w:val="0"/>
      <w:marRight w:val="0"/>
      <w:marTop w:val="0"/>
      <w:marBottom w:val="0"/>
      <w:divBdr>
        <w:top w:val="none" w:sz="0" w:space="0" w:color="auto"/>
        <w:left w:val="none" w:sz="0" w:space="0" w:color="auto"/>
        <w:bottom w:val="none" w:sz="0" w:space="0" w:color="auto"/>
        <w:right w:val="none" w:sz="0" w:space="0" w:color="auto"/>
      </w:divBdr>
    </w:div>
    <w:div w:id="365372685">
      <w:bodyDiv w:val="1"/>
      <w:marLeft w:val="0"/>
      <w:marRight w:val="0"/>
      <w:marTop w:val="0"/>
      <w:marBottom w:val="0"/>
      <w:divBdr>
        <w:top w:val="none" w:sz="0" w:space="0" w:color="auto"/>
        <w:left w:val="none" w:sz="0" w:space="0" w:color="auto"/>
        <w:bottom w:val="none" w:sz="0" w:space="0" w:color="auto"/>
        <w:right w:val="none" w:sz="0" w:space="0" w:color="auto"/>
      </w:divBdr>
    </w:div>
    <w:div w:id="386034237">
      <w:bodyDiv w:val="1"/>
      <w:marLeft w:val="0"/>
      <w:marRight w:val="0"/>
      <w:marTop w:val="0"/>
      <w:marBottom w:val="0"/>
      <w:divBdr>
        <w:top w:val="none" w:sz="0" w:space="0" w:color="auto"/>
        <w:left w:val="none" w:sz="0" w:space="0" w:color="auto"/>
        <w:bottom w:val="none" w:sz="0" w:space="0" w:color="auto"/>
        <w:right w:val="none" w:sz="0" w:space="0" w:color="auto"/>
      </w:divBdr>
    </w:div>
    <w:div w:id="509638858">
      <w:bodyDiv w:val="1"/>
      <w:marLeft w:val="0"/>
      <w:marRight w:val="0"/>
      <w:marTop w:val="0"/>
      <w:marBottom w:val="0"/>
      <w:divBdr>
        <w:top w:val="none" w:sz="0" w:space="0" w:color="auto"/>
        <w:left w:val="none" w:sz="0" w:space="0" w:color="auto"/>
        <w:bottom w:val="none" w:sz="0" w:space="0" w:color="auto"/>
        <w:right w:val="none" w:sz="0" w:space="0" w:color="auto"/>
      </w:divBdr>
    </w:div>
    <w:div w:id="651762510">
      <w:bodyDiv w:val="1"/>
      <w:marLeft w:val="0"/>
      <w:marRight w:val="0"/>
      <w:marTop w:val="0"/>
      <w:marBottom w:val="0"/>
      <w:divBdr>
        <w:top w:val="none" w:sz="0" w:space="0" w:color="auto"/>
        <w:left w:val="none" w:sz="0" w:space="0" w:color="auto"/>
        <w:bottom w:val="none" w:sz="0" w:space="0" w:color="auto"/>
        <w:right w:val="none" w:sz="0" w:space="0" w:color="auto"/>
      </w:divBdr>
    </w:div>
    <w:div w:id="701516350">
      <w:bodyDiv w:val="1"/>
      <w:marLeft w:val="0"/>
      <w:marRight w:val="0"/>
      <w:marTop w:val="0"/>
      <w:marBottom w:val="0"/>
      <w:divBdr>
        <w:top w:val="none" w:sz="0" w:space="0" w:color="auto"/>
        <w:left w:val="none" w:sz="0" w:space="0" w:color="auto"/>
        <w:bottom w:val="none" w:sz="0" w:space="0" w:color="auto"/>
        <w:right w:val="none" w:sz="0" w:space="0" w:color="auto"/>
      </w:divBdr>
    </w:div>
    <w:div w:id="726731088">
      <w:bodyDiv w:val="1"/>
      <w:marLeft w:val="0"/>
      <w:marRight w:val="0"/>
      <w:marTop w:val="0"/>
      <w:marBottom w:val="0"/>
      <w:divBdr>
        <w:top w:val="none" w:sz="0" w:space="0" w:color="auto"/>
        <w:left w:val="none" w:sz="0" w:space="0" w:color="auto"/>
        <w:bottom w:val="none" w:sz="0" w:space="0" w:color="auto"/>
        <w:right w:val="none" w:sz="0" w:space="0" w:color="auto"/>
      </w:divBdr>
    </w:div>
    <w:div w:id="921717982">
      <w:bodyDiv w:val="1"/>
      <w:marLeft w:val="0"/>
      <w:marRight w:val="0"/>
      <w:marTop w:val="0"/>
      <w:marBottom w:val="0"/>
      <w:divBdr>
        <w:top w:val="none" w:sz="0" w:space="0" w:color="auto"/>
        <w:left w:val="none" w:sz="0" w:space="0" w:color="auto"/>
        <w:bottom w:val="none" w:sz="0" w:space="0" w:color="auto"/>
        <w:right w:val="none" w:sz="0" w:space="0" w:color="auto"/>
      </w:divBdr>
    </w:div>
    <w:div w:id="1080711106">
      <w:bodyDiv w:val="1"/>
      <w:marLeft w:val="0"/>
      <w:marRight w:val="0"/>
      <w:marTop w:val="0"/>
      <w:marBottom w:val="0"/>
      <w:divBdr>
        <w:top w:val="none" w:sz="0" w:space="0" w:color="auto"/>
        <w:left w:val="none" w:sz="0" w:space="0" w:color="auto"/>
        <w:bottom w:val="none" w:sz="0" w:space="0" w:color="auto"/>
        <w:right w:val="none" w:sz="0" w:space="0" w:color="auto"/>
      </w:divBdr>
    </w:div>
    <w:div w:id="1426073008">
      <w:bodyDiv w:val="1"/>
      <w:marLeft w:val="0"/>
      <w:marRight w:val="0"/>
      <w:marTop w:val="0"/>
      <w:marBottom w:val="0"/>
      <w:divBdr>
        <w:top w:val="none" w:sz="0" w:space="0" w:color="auto"/>
        <w:left w:val="none" w:sz="0" w:space="0" w:color="auto"/>
        <w:bottom w:val="none" w:sz="0" w:space="0" w:color="auto"/>
        <w:right w:val="none" w:sz="0" w:space="0" w:color="auto"/>
      </w:divBdr>
    </w:div>
    <w:div w:id="1445731254">
      <w:bodyDiv w:val="1"/>
      <w:marLeft w:val="0"/>
      <w:marRight w:val="0"/>
      <w:marTop w:val="0"/>
      <w:marBottom w:val="0"/>
      <w:divBdr>
        <w:top w:val="none" w:sz="0" w:space="0" w:color="auto"/>
        <w:left w:val="none" w:sz="0" w:space="0" w:color="auto"/>
        <w:bottom w:val="none" w:sz="0" w:space="0" w:color="auto"/>
        <w:right w:val="none" w:sz="0" w:space="0" w:color="auto"/>
      </w:divBdr>
    </w:div>
    <w:div w:id="1483081695">
      <w:bodyDiv w:val="1"/>
      <w:marLeft w:val="0"/>
      <w:marRight w:val="0"/>
      <w:marTop w:val="0"/>
      <w:marBottom w:val="0"/>
      <w:divBdr>
        <w:top w:val="none" w:sz="0" w:space="0" w:color="auto"/>
        <w:left w:val="none" w:sz="0" w:space="0" w:color="auto"/>
        <w:bottom w:val="none" w:sz="0" w:space="0" w:color="auto"/>
        <w:right w:val="none" w:sz="0" w:space="0" w:color="auto"/>
      </w:divBdr>
    </w:div>
    <w:div w:id="1616280694">
      <w:bodyDiv w:val="1"/>
      <w:marLeft w:val="0"/>
      <w:marRight w:val="0"/>
      <w:marTop w:val="0"/>
      <w:marBottom w:val="0"/>
      <w:divBdr>
        <w:top w:val="none" w:sz="0" w:space="0" w:color="auto"/>
        <w:left w:val="none" w:sz="0" w:space="0" w:color="auto"/>
        <w:bottom w:val="none" w:sz="0" w:space="0" w:color="auto"/>
        <w:right w:val="none" w:sz="0" w:space="0" w:color="auto"/>
      </w:divBdr>
    </w:div>
    <w:div w:id="1631590786">
      <w:bodyDiv w:val="1"/>
      <w:marLeft w:val="0"/>
      <w:marRight w:val="0"/>
      <w:marTop w:val="0"/>
      <w:marBottom w:val="0"/>
      <w:divBdr>
        <w:top w:val="none" w:sz="0" w:space="0" w:color="auto"/>
        <w:left w:val="none" w:sz="0" w:space="0" w:color="auto"/>
        <w:bottom w:val="none" w:sz="0" w:space="0" w:color="auto"/>
        <w:right w:val="none" w:sz="0" w:space="0" w:color="auto"/>
      </w:divBdr>
    </w:div>
    <w:div w:id="1659382411">
      <w:bodyDiv w:val="1"/>
      <w:marLeft w:val="0"/>
      <w:marRight w:val="0"/>
      <w:marTop w:val="0"/>
      <w:marBottom w:val="0"/>
      <w:divBdr>
        <w:top w:val="none" w:sz="0" w:space="0" w:color="auto"/>
        <w:left w:val="none" w:sz="0" w:space="0" w:color="auto"/>
        <w:bottom w:val="none" w:sz="0" w:space="0" w:color="auto"/>
        <w:right w:val="none" w:sz="0" w:space="0" w:color="auto"/>
      </w:divBdr>
    </w:div>
    <w:div w:id="1737782513">
      <w:bodyDiv w:val="1"/>
      <w:marLeft w:val="0"/>
      <w:marRight w:val="0"/>
      <w:marTop w:val="0"/>
      <w:marBottom w:val="0"/>
      <w:divBdr>
        <w:top w:val="none" w:sz="0" w:space="0" w:color="auto"/>
        <w:left w:val="none" w:sz="0" w:space="0" w:color="auto"/>
        <w:bottom w:val="none" w:sz="0" w:space="0" w:color="auto"/>
        <w:right w:val="none" w:sz="0" w:space="0" w:color="auto"/>
      </w:divBdr>
    </w:div>
    <w:div w:id="1871071048">
      <w:bodyDiv w:val="1"/>
      <w:marLeft w:val="0"/>
      <w:marRight w:val="0"/>
      <w:marTop w:val="0"/>
      <w:marBottom w:val="0"/>
      <w:divBdr>
        <w:top w:val="none" w:sz="0" w:space="0" w:color="auto"/>
        <w:left w:val="none" w:sz="0" w:space="0" w:color="auto"/>
        <w:bottom w:val="none" w:sz="0" w:space="0" w:color="auto"/>
        <w:right w:val="none" w:sz="0" w:space="0" w:color="auto"/>
      </w:divBdr>
    </w:div>
    <w:div w:id="1882329100">
      <w:bodyDiv w:val="1"/>
      <w:marLeft w:val="0"/>
      <w:marRight w:val="0"/>
      <w:marTop w:val="0"/>
      <w:marBottom w:val="0"/>
      <w:divBdr>
        <w:top w:val="none" w:sz="0" w:space="0" w:color="auto"/>
        <w:left w:val="none" w:sz="0" w:space="0" w:color="auto"/>
        <w:bottom w:val="none" w:sz="0" w:space="0" w:color="auto"/>
        <w:right w:val="none" w:sz="0" w:space="0" w:color="auto"/>
      </w:divBdr>
    </w:div>
    <w:div w:id="1979409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4.xml"/><Relationship Id="rId18" Type="http://schemas.openxmlformats.org/officeDocument/2006/relationships/chart" Target="charts/chart9.xml"/><Relationship Id="rId26" Type="http://schemas.openxmlformats.org/officeDocument/2006/relationships/hyperlink" Target="http://www.cagmc.com/blog/impact-of-gst-on-textile-industry-in-rajasthan" TargetMode="External"/><Relationship Id="rId3" Type="http://schemas.openxmlformats.org/officeDocument/2006/relationships/styles" Target="styles.xml"/><Relationship Id="rId21" Type="http://schemas.openxmlformats.org/officeDocument/2006/relationships/hyperlink" Target="http://www.newindianexpress.com/nation/2021/Jul/28/inadequate-rain-pushesthree-states-behind-kharif-sowing-schedule-2336493.html" TargetMode="External"/><Relationship Id="rId34" Type="http://schemas.openxmlformats.org/officeDocument/2006/relationships/hyperlink" Target="https://www.indianjournals.com/ijor.aspx?target=ijor:jadp&amp;volume=32&amp;issue=1&amp;article=001" TargetMode="Externa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chart" Target="charts/chart8.xml"/><Relationship Id="rId25" Type="http://schemas.openxmlformats.org/officeDocument/2006/relationships/hyperlink" Target="http://hdl.handle.net/10603/357871" TargetMode="External"/><Relationship Id="rId33" Type="http://schemas.openxmlformats.org/officeDocument/2006/relationships/hyperlink" Target="http://www.businessjournal.ac.in/2023/Jan/2.pdf" TargetMode="External"/><Relationship Id="rId2" Type="http://schemas.openxmlformats.org/officeDocument/2006/relationships/numbering" Target="numbering.xml"/><Relationship Id="rId16" Type="http://schemas.openxmlformats.org/officeDocument/2006/relationships/chart" Target="charts/chart7.xml"/><Relationship Id="rId20" Type="http://schemas.openxmlformats.org/officeDocument/2006/relationships/chart" Target="charts/chart11.xml"/><Relationship Id="rId29" Type="http://schemas.openxmlformats.org/officeDocument/2006/relationships/hyperlink" Target="http://www.thehindubusinessline.com/news/variety/demonetisation-hits-rajasthan-tourism/article9374748.e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24" Type="http://schemas.openxmlformats.org/officeDocument/2006/relationships/hyperlink" Target="http://www.mospi.gov.in/data" TargetMode="External"/><Relationship Id="rId32" Type="http://schemas.openxmlformats.org/officeDocument/2006/relationships/hyperlink" Target="http://www.phdcci.in/wp-content/uploads/2021/07/Rajasthan-Steady-Strides-into-the-Future.pdf" TargetMode="External"/><Relationship Id="rId5" Type="http://schemas.openxmlformats.org/officeDocument/2006/relationships/webSettings" Target="webSettings.xml"/><Relationship Id="rId15" Type="http://schemas.openxmlformats.org/officeDocument/2006/relationships/chart" Target="charts/chart6.xml"/><Relationship Id="rId23" Type="http://schemas.openxmlformats.org/officeDocument/2006/relationships/hyperlink" Target="http://www.business-standard.com/article/pti-stories/r-than-industries-staring-at-rs-1-lakh-crore-loss-says-forti-116112100395_1.html" TargetMode="External"/><Relationship Id="rId28" Type="http://schemas.openxmlformats.org/officeDocument/2006/relationships/hyperlink" Target="https://nssresearchjournal.com/CertEdiDoc/CurrentEdition4046bb58-da20-43e9-84ef-c5b52ddc059b.pdf" TargetMode="External"/><Relationship Id="rId36" Type="http://schemas.openxmlformats.org/officeDocument/2006/relationships/theme" Target="theme/theme1.xml"/><Relationship Id="rId10" Type="http://schemas.openxmlformats.org/officeDocument/2006/relationships/chart" Target="charts/chart1.xml"/><Relationship Id="rId19" Type="http://schemas.openxmlformats.org/officeDocument/2006/relationships/chart" Target="charts/chart10.xml"/><Relationship Id="rId31" Type="http://schemas.openxmlformats.org/officeDocument/2006/relationships/hyperlink" Target="http://www.nipfp.org.in/media/medialibrary/2023/01/WP_388_2023.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5.xml"/><Relationship Id="rId22" Type="http://schemas.openxmlformats.org/officeDocument/2006/relationships/hyperlink" Target="http://www.ibef.org/download/1722846291_Rajasthan_June_2024.pdf" TargetMode="External"/><Relationship Id="rId27" Type="http://schemas.openxmlformats.org/officeDocument/2006/relationships/hyperlink" Target="https://www.financialexpress.com/policy/economy-demonetisation-how-impact-on-rabi-cropping-in-rajasthan-was-mitigated-631649/" TargetMode="External"/><Relationship Id="rId30" Type="http://schemas.openxmlformats.org/officeDocument/2006/relationships/hyperlink" Target="https://www.ijhssi.org/papers/vol11(5)/Ser-2/J1105025762.pdf" TargetMode="External"/><Relationship Id="rId35" Type="http://schemas.openxmlformats.org/officeDocument/2006/relationships/fontTable" Target="fontTable.xml"/><Relationship Id="rId8"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HP%20PAVILION\OneDrive\Desktop\Growth%20&amp;%20Data\Assignment\Rajasthan%20Data%20Analysi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HP%20PAVILION\OneDrive\Desktop\Growth%20&amp;%20Data\Assignment\Rajasthan%20Data%20Analysi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HP%20PAVILION\OneDrive\Desktop\Growth%20&amp;%20Data\Assignment\Rajasthan%20Data%20Analysi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HP%20PAVILION\OneDrive\Desktop\Growth%20&amp;%20Data\Assignment\Rajasthan%20Data%20Analysi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HP%20PAVILION\OneDrive\Desktop\Growth%20&amp;%20Data\Assignment\Rajasthan%20Data%20Analysi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HP%20PAVILION\OneDrive\Desktop\Growth%20&amp;%20Data\Assignment\Rajasthan%20Data%20Analysi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HP%20PAVILION\OneDrive\Desktop\Growth%20&amp;%20Data\Assignment\Rajasthan%20Data%20Analysis.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HP%20PAVILION\OneDrive\Desktop\Growth%20&amp;%20Data\Assignment\Rajasthan%20Data%20Analysis.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HP%20PAVILION\OneDrive\Desktop\Growth%20&amp;%20Data\Assignment\Rajasthan%20Data%20Analysis.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HP%20PAVILION\OneDrive\Desktop\Growth%20&amp;%20Data\Assignment\Rajasthan%20Data%20Analysis.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HP%20PAVILION\OneDrive\Desktop\Growth%20&amp;%20Data\Assignment\Rajasthan%20Data%20Analysis.xlsx" TargetMode="External"/><Relationship Id="rId2" Type="http://schemas.microsoft.com/office/2011/relationships/chartColorStyle" Target="colors11.xml"/><Relationship Id="rId1" Type="http://schemas.microsoft.com/office/2011/relationships/chartStyle" Target="style1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[Rajasthan Data Analysis.xlsx]GDP Growth Rate!PivotTable3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cap="none" spc="0">
                <a:ln w="0"/>
                <a:solidFill>
                  <a:schemeClr val="tx1"/>
                </a:solidFill>
                <a:effectLst>
                  <a:outerShdw blurRad="38100" dist="19050" dir="2700000" algn="tl" rotWithShape="0">
                    <a:schemeClr val="dk1">
                      <a:alpha val="40000"/>
                    </a:schemeClr>
                  </a:outerShdw>
                </a:effectLst>
              </a:rPr>
              <a:t>Growth</a:t>
            </a:r>
            <a:r>
              <a:rPr lang="en-IN" b="1" cap="none" spc="0" baseline="0">
                <a:ln w="0"/>
                <a:solidFill>
                  <a:schemeClr val="tx1"/>
                </a:solidFill>
                <a:effectLst>
                  <a:outerShdw blurRad="38100" dist="19050" dir="2700000" algn="tl" rotWithShape="0">
                    <a:schemeClr val="dk1">
                      <a:alpha val="40000"/>
                    </a:schemeClr>
                  </a:outerShdw>
                </a:effectLst>
              </a:rPr>
              <a:t> in Gross Domestic Product of Rajasthan and All India </a:t>
            </a:r>
          </a:p>
          <a:p>
            <a:pPr>
              <a:defRPr/>
            </a:pPr>
            <a:r>
              <a:rPr lang="en-IN" b="1" cap="none" spc="0" baseline="0">
                <a:ln w="0"/>
                <a:solidFill>
                  <a:schemeClr val="tx1"/>
                </a:solidFill>
                <a:effectLst>
                  <a:outerShdw blurRad="38100" dist="19050" dir="2700000" algn="tl" rotWithShape="0">
                    <a:schemeClr val="dk1">
                      <a:alpha val="40000"/>
                    </a:schemeClr>
                  </a:outerShdw>
                </a:effectLst>
              </a:rPr>
              <a:t>at Constant Prices (2011-12)</a:t>
            </a:r>
            <a:endParaRPr lang="en-IN" b="1" cap="none" spc="0">
              <a:ln w="0"/>
              <a:solidFill>
                <a:schemeClr val="tx1"/>
              </a:solidFill>
              <a:effectLst>
                <a:outerShdw blurRad="38100" dist="19050" dir="2700000" algn="tl" rotWithShape="0">
                  <a:schemeClr val="dk1">
                    <a:alpha val="40000"/>
                  </a:schemeClr>
                </a:outerShdw>
              </a:effectLst>
            </a:endParaRPr>
          </a:p>
        </c:rich>
      </c:tx>
      <c:layout>
        <c:manualLayout>
          <c:xMode val="edge"/>
          <c:yMode val="edge"/>
          <c:x val="0.18589762468783416"/>
          <c:y val="2.8094638634838958E-3"/>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1155961956359728"/>
          <c:y val="0.13210088736380157"/>
          <c:w val="0.7368476870900651"/>
          <c:h val="0.7357982252723968"/>
        </c:manualLayout>
      </c:layout>
      <c:lineChart>
        <c:grouping val="standard"/>
        <c:varyColors val="0"/>
        <c:ser>
          <c:idx val="0"/>
          <c:order val="0"/>
          <c:tx>
            <c:strRef>
              <c:f>'GDP Growth Rate'!$D$20</c:f>
              <c:strCache>
                <c:ptCount val="1"/>
                <c:pt idx="0">
                  <c:v>Rajasthan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'GDP Growth Rate'!$C$21:$C$33</c:f>
              <c:strCache>
                <c:ptCount val="12"/>
                <c:pt idx="0">
                  <c:v>2011-12</c:v>
                </c:pt>
                <c:pt idx="1">
                  <c:v>2012-13</c:v>
                </c:pt>
                <c:pt idx="2">
                  <c:v>2013-14</c:v>
                </c:pt>
                <c:pt idx="3">
                  <c:v>2014-15</c:v>
                </c:pt>
                <c:pt idx="4">
                  <c:v>2015-16</c:v>
                </c:pt>
                <c:pt idx="5">
                  <c:v>2016-17</c:v>
                </c:pt>
                <c:pt idx="6">
                  <c:v>2017-18</c:v>
                </c:pt>
                <c:pt idx="7">
                  <c:v>2018-19</c:v>
                </c:pt>
                <c:pt idx="8">
                  <c:v>2019-20</c:v>
                </c:pt>
                <c:pt idx="9">
                  <c:v>2020-21</c:v>
                </c:pt>
                <c:pt idx="10">
                  <c:v>2021-22</c:v>
                </c:pt>
                <c:pt idx="11">
                  <c:v>2022-23</c:v>
                </c:pt>
              </c:strCache>
            </c:strRef>
          </c:cat>
          <c:val>
            <c:numRef>
              <c:f>'GDP Growth Rate'!$D$21:$D$33</c:f>
              <c:numCache>
                <c:formatCode>General</c:formatCode>
                <c:ptCount val="12"/>
                <c:pt idx="1">
                  <c:v>4.54</c:v>
                </c:pt>
                <c:pt idx="2">
                  <c:v>6.97</c:v>
                </c:pt>
                <c:pt idx="3">
                  <c:v>7.26</c:v>
                </c:pt>
                <c:pt idx="4">
                  <c:v>8.02</c:v>
                </c:pt>
                <c:pt idx="5">
                  <c:v>5.93</c:v>
                </c:pt>
                <c:pt idx="6">
                  <c:v>5.24</c:v>
                </c:pt>
                <c:pt idx="7">
                  <c:v>2.4300000000000002</c:v>
                </c:pt>
                <c:pt idx="8">
                  <c:v>5.21</c:v>
                </c:pt>
                <c:pt idx="9">
                  <c:v>-1.96</c:v>
                </c:pt>
                <c:pt idx="10">
                  <c:v>11.36</c:v>
                </c:pt>
                <c:pt idx="11">
                  <c:v>8.19</c:v>
                </c:pt>
              </c:numCache>
            </c:numRef>
          </c:val>
          <c:smooth val="0"/>
          <c:extLst>
            <c:ext xmlns:c16="http://schemas.microsoft.com/office/drawing/2014/chart" uri="{C3380CC4-5D6E-409C-BE32-E72D297353CC}">
              <c16:uniqueId val="{00000000-B891-47D2-8E74-CA670F10B453}"/>
            </c:ext>
          </c:extLst>
        </c:ser>
        <c:ser>
          <c:idx val="1"/>
          <c:order val="1"/>
          <c:tx>
            <c:strRef>
              <c:f>'GDP Growth Rate'!$E$20</c:f>
              <c:strCache>
                <c:ptCount val="1"/>
                <c:pt idx="0">
                  <c:v>All India</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'GDP Growth Rate'!$C$21:$C$33</c:f>
              <c:strCache>
                <c:ptCount val="12"/>
                <c:pt idx="0">
                  <c:v>2011-12</c:v>
                </c:pt>
                <c:pt idx="1">
                  <c:v>2012-13</c:v>
                </c:pt>
                <c:pt idx="2">
                  <c:v>2013-14</c:v>
                </c:pt>
                <c:pt idx="3">
                  <c:v>2014-15</c:v>
                </c:pt>
                <c:pt idx="4">
                  <c:v>2015-16</c:v>
                </c:pt>
                <c:pt idx="5">
                  <c:v>2016-17</c:v>
                </c:pt>
                <c:pt idx="6">
                  <c:v>2017-18</c:v>
                </c:pt>
                <c:pt idx="7">
                  <c:v>2018-19</c:v>
                </c:pt>
                <c:pt idx="8">
                  <c:v>2019-20</c:v>
                </c:pt>
                <c:pt idx="9">
                  <c:v>2020-21</c:v>
                </c:pt>
                <c:pt idx="10">
                  <c:v>2021-22</c:v>
                </c:pt>
                <c:pt idx="11">
                  <c:v>2022-23</c:v>
                </c:pt>
              </c:strCache>
            </c:strRef>
          </c:cat>
          <c:val>
            <c:numRef>
              <c:f>'GDP Growth Rate'!$E$21:$E$33</c:f>
              <c:numCache>
                <c:formatCode>General</c:formatCode>
                <c:ptCount val="12"/>
                <c:pt idx="1">
                  <c:v>5.5</c:v>
                </c:pt>
                <c:pt idx="2">
                  <c:v>6.4</c:v>
                </c:pt>
                <c:pt idx="3">
                  <c:v>7.4</c:v>
                </c:pt>
                <c:pt idx="4">
                  <c:v>8</c:v>
                </c:pt>
                <c:pt idx="5">
                  <c:v>8.3000000000000007</c:v>
                </c:pt>
                <c:pt idx="6">
                  <c:v>6.8</c:v>
                </c:pt>
                <c:pt idx="7">
                  <c:v>6.5</c:v>
                </c:pt>
                <c:pt idx="8">
                  <c:v>3.9</c:v>
                </c:pt>
                <c:pt idx="9">
                  <c:v>-5.8</c:v>
                </c:pt>
                <c:pt idx="10">
                  <c:v>9.1</c:v>
                </c:pt>
                <c:pt idx="11">
                  <c:v>7.2</c:v>
                </c:pt>
              </c:numCache>
            </c:numRef>
          </c:val>
          <c:smooth val="0"/>
          <c:extLst>
            <c:ext xmlns:c16="http://schemas.microsoft.com/office/drawing/2014/chart" uri="{C3380CC4-5D6E-409C-BE32-E72D297353CC}">
              <c16:uniqueId val="{00000001-B891-47D2-8E74-CA670F10B453}"/>
            </c:ext>
          </c:extLst>
        </c:ser>
        <c:dLbls>
          <c:showLegendKey val="0"/>
          <c:showVal val="0"/>
          <c:showCatName val="0"/>
          <c:showSerName val="0"/>
          <c:showPercent val="0"/>
          <c:showBubbleSize val="0"/>
        </c:dLbls>
        <c:marker val="1"/>
        <c:smooth val="0"/>
        <c:axId val="1480898239"/>
        <c:axId val="1480909279"/>
      </c:lineChart>
      <c:catAx>
        <c:axId val="148089823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Years</a:t>
                </a:r>
              </a:p>
            </c:rich>
          </c:tx>
          <c:layout>
            <c:manualLayout>
              <c:xMode val="edge"/>
              <c:yMode val="edge"/>
              <c:x val="1.3083760272324038E-2"/>
              <c:y val="0.8802540877809029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baseline="0">
                <a:ln w="0"/>
                <a:solidFill>
                  <a:schemeClr val="tx1"/>
                </a:solidFill>
                <a:effectLst>
                  <a:outerShdw blurRad="38100" dist="19050" dir="2700000" algn="tl" rotWithShape="0">
                    <a:schemeClr val="dk1">
                      <a:alpha val="40000"/>
                    </a:schemeClr>
                  </a:outerShdw>
                </a:effectLst>
                <a:latin typeface="+mn-lt"/>
                <a:ea typeface="+mn-ea"/>
                <a:cs typeface="+mn-cs"/>
              </a:defRPr>
            </a:pPr>
            <a:endParaRPr lang="en-US"/>
          </a:p>
        </c:txPr>
        <c:crossAx val="1480909279"/>
        <c:crosses val="autoZero"/>
        <c:auto val="1"/>
        <c:lblAlgn val="ctr"/>
        <c:lblOffset val="100"/>
        <c:noMultiLvlLbl val="0"/>
      </c:catAx>
      <c:valAx>
        <c:axId val="14809092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Percent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0898239"/>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[Rajasthan Data Analysis.xlsx]Per Capita Income!PivotTable1</c:name>
    <c:fmtId val="-1"/>
  </c:pivotSource>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IN" sz="1400" b="1" cap="none" spc="0">
                <a:ln w="0"/>
                <a:solidFill>
                  <a:schemeClr val="tx1"/>
                </a:solidFill>
                <a:effectLst>
                  <a:outerShdw blurRad="38100" dist="19050" dir="2700000" algn="tl" rotWithShape="0">
                    <a:schemeClr val="dk1">
                      <a:alpha val="40000"/>
                    </a:schemeClr>
                  </a:outerShdw>
                </a:effectLst>
              </a:rPr>
              <a:t>Growth</a:t>
            </a:r>
            <a:r>
              <a:rPr lang="en-IN" sz="1400" b="1" cap="none" spc="0" baseline="0">
                <a:ln w="0"/>
                <a:solidFill>
                  <a:schemeClr val="tx1"/>
                </a:solidFill>
                <a:effectLst>
                  <a:outerShdw blurRad="38100" dist="19050" dir="2700000" algn="tl" rotWithShape="0">
                    <a:schemeClr val="dk1">
                      <a:alpha val="40000"/>
                    </a:schemeClr>
                  </a:outerShdw>
                </a:effectLst>
              </a:rPr>
              <a:t> in Per Capita Income at Constant (2011-12) Prices</a:t>
            </a:r>
          </a:p>
          <a:p>
            <a:pPr>
              <a:defRPr>
                <a:solidFill>
                  <a:schemeClr val="tx1"/>
                </a:solidFill>
              </a:defRPr>
            </a:pPr>
            <a:endParaRPr lang="en-IN" b="0" cap="none" spc="0" baseline="0">
              <a:ln w="0"/>
              <a:solidFill>
                <a:schemeClr val="tx1"/>
              </a:solidFill>
              <a:effectLst>
                <a:outerShdw blurRad="38100" dist="19050" dir="2700000" algn="tl" rotWithShape="0">
                  <a:schemeClr val="dk1">
                    <a:alpha val="40000"/>
                  </a:schemeClr>
                </a:outerShdw>
              </a:effectLst>
            </a:endParaRPr>
          </a:p>
        </c:rich>
      </c:tx>
      <c:layout>
        <c:manualLayout>
          <c:xMode val="edge"/>
          <c:yMode val="edge"/>
          <c:x val="9.8444737948638311E-2"/>
          <c:y val="2.159050017992083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6.8515962284667095E-2"/>
          <c:y val="0.16373957663352534"/>
          <c:w val="0.88632759902646074"/>
          <c:h val="0.7365947644453763"/>
        </c:manualLayout>
      </c:layout>
      <c:lineChart>
        <c:grouping val="standard"/>
        <c:varyColors val="0"/>
        <c:ser>
          <c:idx val="0"/>
          <c:order val="0"/>
          <c:tx>
            <c:strRef>
              <c:f>'Per Capita Income'!$C$24</c:f>
              <c:strCache>
                <c:ptCount val="1"/>
                <c:pt idx="0">
                  <c:v>Rajasthan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'Per Capita Income'!$B$25:$B$36</c:f>
              <c:strCache>
                <c:ptCount val="11"/>
                <c:pt idx="0">
                  <c:v>2012-13</c:v>
                </c:pt>
                <c:pt idx="1">
                  <c:v>2013-14</c:v>
                </c:pt>
                <c:pt idx="2">
                  <c:v>2014-15</c:v>
                </c:pt>
                <c:pt idx="3">
                  <c:v>2015-16</c:v>
                </c:pt>
                <c:pt idx="4">
                  <c:v>2016-17</c:v>
                </c:pt>
                <c:pt idx="5">
                  <c:v>2017-18</c:v>
                </c:pt>
                <c:pt idx="6">
                  <c:v>2018-19</c:v>
                </c:pt>
                <c:pt idx="7">
                  <c:v>2019-20</c:v>
                </c:pt>
                <c:pt idx="8">
                  <c:v>2020-21</c:v>
                </c:pt>
                <c:pt idx="9">
                  <c:v>2021-22</c:v>
                </c:pt>
                <c:pt idx="10">
                  <c:v>2022-23</c:v>
                </c:pt>
              </c:strCache>
            </c:strRef>
          </c:cat>
          <c:val>
            <c:numRef>
              <c:f>'Per Capita Income'!$C$25:$C$36</c:f>
              <c:numCache>
                <c:formatCode>General</c:formatCode>
                <c:ptCount val="11"/>
                <c:pt idx="0">
                  <c:v>2.19</c:v>
                </c:pt>
                <c:pt idx="1">
                  <c:v>4.47</c:v>
                </c:pt>
                <c:pt idx="2">
                  <c:v>5.64</c:v>
                </c:pt>
                <c:pt idx="3">
                  <c:v>6.31</c:v>
                </c:pt>
                <c:pt idx="4">
                  <c:v>4.0199999999999996</c:v>
                </c:pt>
                <c:pt idx="5">
                  <c:v>3.09</c:v>
                </c:pt>
                <c:pt idx="6">
                  <c:v>0.61</c:v>
                </c:pt>
                <c:pt idx="7">
                  <c:v>3.61</c:v>
                </c:pt>
                <c:pt idx="8">
                  <c:v>-4.57</c:v>
                </c:pt>
                <c:pt idx="9">
                  <c:v>10.119999999999999</c:v>
                </c:pt>
                <c:pt idx="10">
                  <c:v>6.94</c:v>
                </c:pt>
              </c:numCache>
            </c:numRef>
          </c:val>
          <c:smooth val="0"/>
          <c:extLst>
            <c:ext xmlns:c16="http://schemas.microsoft.com/office/drawing/2014/chart" uri="{C3380CC4-5D6E-409C-BE32-E72D297353CC}">
              <c16:uniqueId val="{00000000-8F75-4E89-AA1A-BEE7A21C5949}"/>
            </c:ext>
          </c:extLst>
        </c:ser>
        <c:ser>
          <c:idx val="1"/>
          <c:order val="1"/>
          <c:tx>
            <c:strRef>
              <c:f>'Per Capita Income'!$D$24</c:f>
              <c:strCache>
                <c:ptCount val="1"/>
                <c:pt idx="0">
                  <c:v>India</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'Per Capita Income'!$B$25:$B$36</c:f>
              <c:strCache>
                <c:ptCount val="11"/>
                <c:pt idx="0">
                  <c:v>2012-13</c:v>
                </c:pt>
                <c:pt idx="1">
                  <c:v>2013-14</c:v>
                </c:pt>
                <c:pt idx="2">
                  <c:v>2014-15</c:v>
                </c:pt>
                <c:pt idx="3">
                  <c:v>2015-16</c:v>
                </c:pt>
                <c:pt idx="4">
                  <c:v>2016-17</c:v>
                </c:pt>
                <c:pt idx="5">
                  <c:v>2017-18</c:v>
                </c:pt>
                <c:pt idx="6">
                  <c:v>2018-19</c:v>
                </c:pt>
                <c:pt idx="7">
                  <c:v>2019-20</c:v>
                </c:pt>
                <c:pt idx="8">
                  <c:v>2020-21</c:v>
                </c:pt>
                <c:pt idx="9">
                  <c:v>2021-22</c:v>
                </c:pt>
                <c:pt idx="10">
                  <c:v>2022-23</c:v>
                </c:pt>
              </c:strCache>
            </c:strRef>
          </c:cat>
          <c:val>
            <c:numRef>
              <c:f>'Per Capita Income'!$D$25:$D$36</c:f>
              <c:numCache>
                <c:formatCode>General</c:formatCode>
                <c:ptCount val="11"/>
                <c:pt idx="0">
                  <c:v>3.3</c:v>
                </c:pt>
                <c:pt idx="1">
                  <c:v>4.5999999999999996</c:v>
                </c:pt>
                <c:pt idx="2">
                  <c:v>6.2</c:v>
                </c:pt>
                <c:pt idx="3">
                  <c:v>6.7</c:v>
                </c:pt>
                <c:pt idx="4">
                  <c:v>6.9</c:v>
                </c:pt>
                <c:pt idx="5">
                  <c:v>5.5</c:v>
                </c:pt>
                <c:pt idx="6">
                  <c:v>5.2</c:v>
                </c:pt>
                <c:pt idx="7">
                  <c:v>2.5</c:v>
                </c:pt>
                <c:pt idx="8">
                  <c:v>-8.9</c:v>
                </c:pt>
                <c:pt idx="9">
                  <c:v>7.6</c:v>
                </c:pt>
                <c:pt idx="10">
                  <c:v>6.3</c:v>
                </c:pt>
              </c:numCache>
            </c:numRef>
          </c:val>
          <c:smooth val="0"/>
          <c:extLst>
            <c:ext xmlns:c16="http://schemas.microsoft.com/office/drawing/2014/chart" uri="{C3380CC4-5D6E-409C-BE32-E72D297353CC}">
              <c16:uniqueId val="{00000001-8F75-4E89-AA1A-BEE7A21C5949}"/>
            </c:ext>
          </c:extLst>
        </c:ser>
        <c:dLbls>
          <c:showLegendKey val="0"/>
          <c:showVal val="0"/>
          <c:showCatName val="0"/>
          <c:showSerName val="0"/>
          <c:showPercent val="0"/>
          <c:showBubbleSize val="0"/>
        </c:dLbls>
        <c:marker val="1"/>
        <c:smooth val="0"/>
        <c:axId val="1334198944"/>
        <c:axId val="1334202304"/>
      </c:lineChart>
      <c:catAx>
        <c:axId val="133419894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baseline="0">
                <a:ln w="0"/>
                <a:solidFill>
                  <a:schemeClr val="tx1"/>
                </a:solidFill>
                <a:effectLst>
                  <a:outerShdw blurRad="38100" dist="19050" dir="2700000" algn="tl" rotWithShape="0">
                    <a:schemeClr val="dk1">
                      <a:alpha val="40000"/>
                    </a:schemeClr>
                  </a:outerShdw>
                </a:effectLst>
                <a:latin typeface="+mn-lt"/>
                <a:ea typeface="+mn-ea"/>
                <a:cs typeface="+mn-cs"/>
              </a:defRPr>
            </a:pPr>
            <a:endParaRPr lang="en-US"/>
          </a:p>
        </c:txPr>
        <c:crossAx val="1334202304"/>
        <c:crosses val="autoZero"/>
        <c:auto val="1"/>
        <c:lblAlgn val="ctr"/>
        <c:lblOffset val="100"/>
        <c:noMultiLvlLbl val="0"/>
      </c:catAx>
      <c:valAx>
        <c:axId val="13342023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Percent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cap="none" spc="0" baseline="0">
                <a:ln w="0"/>
                <a:solidFill>
                  <a:schemeClr val="tx1"/>
                </a:solidFill>
                <a:effectLst>
                  <a:outerShdw blurRad="38100" dist="19050" dir="2700000" algn="tl" rotWithShape="0">
                    <a:schemeClr val="dk1">
                      <a:alpha val="40000"/>
                    </a:schemeClr>
                  </a:outerShdw>
                </a:effectLst>
                <a:latin typeface="+mn-lt"/>
                <a:ea typeface="+mn-ea"/>
                <a:cs typeface="+mn-cs"/>
              </a:defRPr>
            </a:pPr>
            <a:endParaRPr lang="en-US"/>
          </a:p>
        </c:txPr>
        <c:crossAx val="1334198944"/>
        <c:crosses val="autoZero"/>
        <c:crossBetween val="between"/>
      </c:valAx>
      <c:spPr>
        <a:noFill/>
        <a:ln>
          <a:noFill/>
        </a:ln>
        <a:effectLst/>
      </c:spPr>
    </c:plotArea>
    <c:legend>
      <c:legendPos val="r"/>
      <c:layout>
        <c:manualLayout>
          <c:xMode val="edge"/>
          <c:yMode val="edge"/>
          <c:x val="0.84053818278254766"/>
          <c:y val="7.7959272723151452E-2"/>
          <c:w val="0.14616689144745451"/>
          <c:h val="0.12144741353174682"/>
        </c:manualLayout>
      </c:layout>
      <c:overlay val="0"/>
      <c:spPr>
        <a:noFill/>
        <a:ln>
          <a:noFill/>
        </a:ln>
        <a:effectLst/>
      </c:spPr>
      <c:txPr>
        <a:bodyPr rot="0" spcFirstLastPara="1" vertOverflow="ellipsis" vert="horz" wrap="square" anchor="ctr" anchorCtr="1"/>
        <a:lstStyle/>
        <a:p>
          <a:pPr>
            <a:defRPr sz="900" b="0" i="0" u="none" strike="noStrike" kern="1200" cap="none" spc="0" baseline="0">
              <a:ln w="0"/>
              <a:solidFill>
                <a:schemeClr val="tx1"/>
              </a:solidFill>
              <a:effectLst>
                <a:outerShdw blurRad="38100" dist="19050" dir="2700000" algn="tl" rotWithShape="0">
                  <a:schemeClr val="dk1">
                    <a:alpha val="40000"/>
                  </a:schemeClr>
                </a:outerShdw>
              </a:effectLst>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IN" sz="1400"/>
              <a:t>Sectorial Share of Primary Sector of Gross Value Added of Rajasthan at Constant (2011-12) Prices</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'Sectorial Share'!$B$8</c:f>
              <c:strCache>
                <c:ptCount val="1"/>
                <c:pt idx="0">
                  <c:v>(R) Percentage of Total GSVA</c:v>
                </c:pt>
              </c:strCache>
            </c:strRef>
          </c:tx>
          <c:spPr>
            <a:ln w="22225" cap="rnd">
              <a:solidFill>
                <a:schemeClr val="accent6"/>
              </a:solidFill>
              <a:round/>
            </a:ln>
            <a:effectLst/>
          </c:spPr>
          <c:marker>
            <c:symbol val="diamond"/>
            <c:size val="6"/>
            <c:spPr>
              <a:solidFill>
                <a:schemeClr val="accent6"/>
              </a:solidFill>
              <a:ln w="9525">
                <a:solidFill>
                  <a:schemeClr val="accent6"/>
                </a:solidFill>
                <a:round/>
              </a:ln>
              <a:effectLst/>
            </c:spPr>
          </c:marker>
          <c:cat>
            <c:strRef>
              <c:f>'Sectorial Share'!$C$3:$O$3</c:f>
              <c:strCache>
                <c:ptCount val="13"/>
                <c:pt idx="0">
                  <c:v>2011-12</c:v>
                </c:pt>
                <c:pt idx="1">
                  <c:v>2012-13</c:v>
                </c:pt>
                <c:pt idx="2">
                  <c:v>2013-14</c:v>
                </c:pt>
                <c:pt idx="3">
                  <c:v>2014-15</c:v>
                </c:pt>
                <c:pt idx="4">
                  <c:v>2015-16</c:v>
                </c:pt>
                <c:pt idx="5">
                  <c:v>2016-17</c:v>
                </c:pt>
                <c:pt idx="6">
                  <c:v>2017-18</c:v>
                </c:pt>
                <c:pt idx="7">
                  <c:v>2018-19</c:v>
                </c:pt>
                <c:pt idx="8">
                  <c:v>2019-20</c:v>
                </c:pt>
                <c:pt idx="9">
                  <c:v>2020-21</c:v>
                </c:pt>
                <c:pt idx="10">
                  <c:v>2021-22</c:v>
                </c:pt>
                <c:pt idx="11">
                  <c:v>2022-23</c:v>
                </c:pt>
                <c:pt idx="12">
                  <c:v>2023-24</c:v>
                </c:pt>
              </c:strCache>
            </c:strRef>
          </c:cat>
          <c:val>
            <c:numRef>
              <c:f>'Sectorial Share'!$C$8:$O$8</c:f>
              <c:numCache>
                <c:formatCode>General</c:formatCode>
                <c:ptCount val="13"/>
                <c:pt idx="0">
                  <c:v>32.979318350923933</c:v>
                </c:pt>
                <c:pt idx="1">
                  <c:v>35.656713727843645</c:v>
                </c:pt>
                <c:pt idx="2">
                  <c:v>36.524863028982757</c:v>
                </c:pt>
                <c:pt idx="3">
                  <c:v>36.046435645480855</c:v>
                </c:pt>
                <c:pt idx="4">
                  <c:v>35.726537139644115</c:v>
                </c:pt>
                <c:pt idx="5">
                  <c:v>36.841596615899746</c:v>
                </c:pt>
                <c:pt idx="6">
                  <c:v>35.349381320920237</c:v>
                </c:pt>
                <c:pt idx="7">
                  <c:v>29.640265936040873</c:v>
                </c:pt>
                <c:pt idx="8">
                  <c:v>30.55323708728168</c:v>
                </c:pt>
                <c:pt idx="9">
                  <c:v>34.040102370079701</c:v>
                </c:pt>
                <c:pt idx="10">
                  <c:v>31.593616021174292</c:v>
                </c:pt>
                <c:pt idx="11">
                  <c:v>30.701007518424696</c:v>
                </c:pt>
                <c:pt idx="12">
                  <c:v>29.423815355568049</c:v>
                </c:pt>
              </c:numCache>
            </c:numRef>
          </c:val>
          <c:smooth val="0"/>
          <c:extLst>
            <c:ext xmlns:c16="http://schemas.microsoft.com/office/drawing/2014/chart" uri="{C3380CC4-5D6E-409C-BE32-E72D297353CC}">
              <c16:uniqueId val="{00000000-C66D-44B2-B61C-BD6721EDBA05}"/>
            </c:ext>
          </c:extLst>
        </c:ser>
        <c:dLbls>
          <c:showLegendKey val="0"/>
          <c:showVal val="0"/>
          <c:showCatName val="0"/>
          <c:showSerName val="0"/>
          <c:showPercent val="0"/>
          <c:showBubbleSize val="0"/>
        </c:dLbls>
        <c:marker val="1"/>
        <c:smooth val="0"/>
        <c:axId val="1392389183"/>
        <c:axId val="1392402143"/>
      </c:lineChart>
      <c:catAx>
        <c:axId val="139238918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none" spc="0" normalizeH="0" baseline="0">
                <a:ln w="0"/>
                <a:solidFill>
                  <a:schemeClr val="tx1"/>
                </a:solidFill>
                <a:effectLst>
                  <a:outerShdw blurRad="38100" dist="19050" dir="2700000" algn="tl" rotWithShape="0">
                    <a:schemeClr val="dk1">
                      <a:alpha val="40000"/>
                    </a:schemeClr>
                  </a:outerShdw>
                </a:effectLst>
                <a:latin typeface="+mn-lt"/>
                <a:ea typeface="+mn-ea"/>
                <a:cs typeface="+mn-cs"/>
              </a:defRPr>
            </a:pPr>
            <a:endParaRPr lang="en-US"/>
          </a:p>
        </c:txPr>
        <c:crossAx val="1392402143"/>
        <c:crosses val="autoZero"/>
        <c:auto val="1"/>
        <c:lblAlgn val="ctr"/>
        <c:lblOffset val="100"/>
        <c:noMultiLvlLbl val="0"/>
      </c:catAx>
      <c:valAx>
        <c:axId val="1392402143"/>
        <c:scaling>
          <c:orientation val="minMax"/>
        </c:scaling>
        <c:delete val="0"/>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sz="800" baseline="0"/>
                  <a:t>Percent</a:t>
                </a:r>
              </a:p>
            </c:rich>
          </c:tx>
          <c:layout>
            <c:manualLayout>
              <c:xMode val="edge"/>
              <c:yMode val="edge"/>
              <c:x val="1.6197386194629768E-2"/>
              <c:y val="0.48272830507846326"/>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baseline="0">
                <a:ln w="0"/>
                <a:solidFill>
                  <a:schemeClr val="tx1"/>
                </a:solidFill>
                <a:effectLst>
                  <a:outerShdw blurRad="38100" dist="19050" dir="2700000" algn="tl" rotWithShape="0">
                    <a:schemeClr val="dk1">
                      <a:alpha val="40000"/>
                    </a:schemeClr>
                  </a:outerShdw>
                </a:effectLst>
                <a:latin typeface="+mn-lt"/>
                <a:ea typeface="+mn-ea"/>
                <a:cs typeface="+mn-cs"/>
              </a:defRPr>
            </a:pPr>
            <a:endParaRPr lang="en-US"/>
          </a:p>
        </c:txPr>
        <c:crossAx val="139238918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600" b="1" i="0" u="none" strike="noStrike" kern="1200" cap="all" spc="120" normalizeH="0" baseline="0">
                <a:solidFill>
                  <a:sysClr val="windowText" lastClr="000000">
                    <a:lumMod val="65000"/>
                    <a:lumOff val="35000"/>
                  </a:sysClr>
                </a:solidFill>
                <a:latin typeface="+mn-lt"/>
                <a:ea typeface="+mn-ea"/>
                <a:cs typeface="+mn-cs"/>
              </a:defRPr>
            </a:pPr>
            <a:r>
              <a:rPr lang="en-IN" sz="1400" b="1" i="0" u="none" strike="noStrike" kern="1200" cap="all" spc="120" normalizeH="0" baseline="0">
                <a:solidFill>
                  <a:sysClr val="windowText" lastClr="000000">
                    <a:lumMod val="65000"/>
                    <a:lumOff val="35000"/>
                  </a:sysClr>
                </a:solidFill>
              </a:rPr>
              <a:t>Sectorial Share of SECONDARY Sector of Gross Value Added of Rajasthan at Constant </a:t>
            </a: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r>
              <a:rPr lang="en-IN" sz="1400" b="1" i="0" u="none" strike="noStrike" kern="1200" cap="all" spc="120" normalizeH="0" baseline="0">
                <a:solidFill>
                  <a:sysClr val="windowText" lastClr="000000">
                    <a:lumMod val="65000"/>
                    <a:lumOff val="35000"/>
                  </a:sysClr>
                </a:solidFill>
              </a:rPr>
              <a:t>(2011-12) Prices</a:t>
            </a: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IN"/>
          </a:p>
        </c:rich>
      </c:tx>
      <c:layout>
        <c:manualLayout>
          <c:xMode val="edge"/>
          <c:yMode val="edge"/>
          <c:x val="0.10640328610171973"/>
          <c:y val="0"/>
        </c:manualLayout>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600" b="1" i="0" u="none" strike="noStrike" kern="1200" cap="all" spc="120" normalizeH="0" baseline="0">
              <a:solidFill>
                <a:sysClr val="windowText" lastClr="000000">
                  <a:lumMod val="65000"/>
                  <a:lumOff val="35000"/>
                </a:sysClr>
              </a:solidFill>
              <a:latin typeface="+mn-lt"/>
              <a:ea typeface="+mn-ea"/>
              <a:cs typeface="+mn-cs"/>
            </a:defRPr>
          </a:pPr>
          <a:endParaRPr lang="en-US"/>
        </a:p>
      </c:txPr>
    </c:title>
    <c:autoTitleDeleted val="0"/>
    <c:plotArea>
      <c:layout>
        <c:manualLayout>
          <c:layoutTarget val="inner"/>
          <c:xMode val="edge"/>
          <c:yMode val="edge"/>
          <c:x val="4.6382568588665164E-2"/>
          <c:y val="0.31110034424440519"/>
          <c:w val="0.9316552732476"/>
          <c:h val="0.53909828166376439"/>
        </c:manualLayout>
      </c:layout>
      <c:lineChart>
        <c:grouping val="standard"/>
        <c:varyColors val="0"/>
        <c:ser>
          <c:idx val="0"/>
          <c:order val="0"/>
          <c:spPr>
            <a:ln w="22225" cap="rnd">
              <a:solidFill>
                <a:schemeClr val="accent5"/>
              </a:solidFill>
              <a:round/>
            </a:ln>
            <a:effectLst/>
          </c:spPr>
          <c:marker>
            <c:symbol val="diamond"/>
            <c:size val="6"/>
            <c:spPr>
              <a:solidFill>
                <a:schemeClr val="accent5"/>
              </a:solidFill>
              <a:ln w="9525">
                <a:solidFill>
                  <a:schemeClr val="accent5"/>
                </a:solidFill>
                <a:round/>
              </a:ln>
              <a:effectLst/>
            </c:spPr>
          </c:marker>
          <c:cat>
            <c:strRef>
              <c:f>'Sectorial Share'!$C$3:$O$3</c:f>
              <c:strCache>
                <c:ptCount val="13"/>
                <c:pt idx="0">
                  <c:v>2011-12</c:v>
                </c:pt>
                <c:pt idx="1">
                  <c:v>2012-13</c:v>
                </c:pt>
                <c:pt idx="2">
                  <c:v>2013-14</c:v>
                </c:pt>
                <c:pt idx="3">
                  <c:v>2014-15</c:v>
                </c:pt>
                <c:pt idx="4">
                  <c:v>2015-16</c:v>
                </c:pt>
                <c:pt idx="5">
                  <c:v>2016-17</c:v>
                </c:pt>
                <c:pt idx="6">
                  <c:v>2017-18</c:v>
                </c:pt>
                <c:pt idx="7">
                  <c:v>2018-19</c:v>
                </c:pt>
                <c:pt idx="8">
                  <c:v>2019-20</c:v>
                </c:pt>
                <c:pt idx="9">
                  <c:v>2020-21</c:v>
                </c:pt>
                <c:pt idx="10">
                  <c:v>2021-22</c:v>
                </c:pt>
                <c:pt idx="11">
                  <c:v>2022-23</c:v>
                </c:pt>
                <c:pt idx="12">
                  <c:v>2023-24</c:v>
                </c:pt>
              </c:strCache>
            </c:strRef>
          </c:cat>
          <c:val>
            <c:numRef>
              <c:f>'Sectorial Share'!$C$12:$O$12</c:f>
              <c:numCache>
                <c:formatCode>General</c:formatCode>
                <c:ptCount val="13"/>
                <c:pt idx="0">
                  <c:v>28.272216449473103</c:v>
                </c:pt>
                <c:pt idx="1">
                  <c:v>23.949171652278178</c:v>
                </c:pt>
                <c:pt idx="2">
                  <c:v>22.154926204555142</c:v>
                </c:pt>
                <c:pt idx="3">
                  <c:v>22.301573092843537</c:v>
                </c:pt>
                <c:pt idx="4">
                  <c:v>23.436577545689797</c:v>
                </c:pt>
                <c:pt idx="5">
                  <c:v>22.751480032825267</c:v>
                </c:pt>
                <c:pt idx="6">
                  <c:v>22.374941836269933</c:v>
                </c:pt>
                <c:pt idx="7">
                  <c:v>24.087185985688521</c:v>
                </c:pt>
                <c:pt idx="8">
                  <c:v>24.457025557413722</c:v>
                </c:pt>
                <c:pt idx="9">
                  <c:v>24.69185021567559</c:v>
                </c:pt>
                <c:pt idx="10">
                  <c:v>25.231720854541166</c:v>
                </c:pt>
                <c:pt idx="11">
                  <c:v>25.118168770567799</c:v>
                </c:pt>
                <c:pt idx="12">
                  <c:v>26.624333185437308</c:v>
                </c:pt>
              </c:numCache>
            </c:numRef>
          </c:val>
          <c:smooth val="0"/>
          <c:extLst>
            <c:ext xmlns:c16="http://schemas.microsoft.com/office/drawing/2014/chart" uri="{C3380CC4-5D6E-409C-BE32-E72D297353CC}">
              <c16:uniqueId val="{00000000-8E60-4438-8438-92033E723A81}"/>
            </c:ext>
          </c:extLst>
        </c:ser>
        <c:dLbls>
          <c:showLegendKey val="0"/>
          <c:showVal val="0"/>
          <c:showCatName val="0"/>
          <c:showSerName val="0"/>
          <c:showPercent val="0"/>
          <c:showBubbleSize val="0"/>
        </c:dLbls>
        <c:marker val="1"/>
        <c:smooth val="0"/>
        <c:axId val="1480912159"/>
        <c:axId val="1480924159"/>
      </c:lineChart>
      <c:catAx>
        <c:axId val="148091215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none" spc="0" normalizeH="0" baseline="0">
                <a:ln w="0"/>
                <a:solidFill>
                  <a:schemeClr val="tx1"/>
                </a:solidFill>
                <a:effectLst>
                  <a:outerShdw blurRad="38100" dist="19050" dir="2700000" algn="tl" rotWithShape="0">
                    <a:schemeClr val="dk1">
                      <a:alpha val="40000"/>
                    </a:schemeClr>
                  </a:outerShdw>
                </a:effectLst>
                <a:latin typeface="+mn-lt"/>
                <a:ea typeface="+mn-ea"/>
                <a:cs typeface="+mn-cs"/>
              </a:defRPr>
            </a:pPr>
            <a:endParaRPr lang="en-US"/>
          </a:p>
        </c:txPr>
        <c:crossAx val="1480924159"/>
        <c:crosses val="autoZero"/>
        <c:auto val="1"/>
        <c:lblAlgn val="ctr"/>
        <c:lblOffset val="100"/>
        <c:noMultiLvlLbl val="0"/>
      </c:catAx>
      <c:valAx>
        <c:axId val="1480924159"/>
        <c:scaling>
          <c:orientation val="minMax"/>
        </c:scaling>
        <c:delete val="0"/>
        <c:axPos val="l"/>
        <c:title>
          <c:tx>
            <c:rich>
              <a:bodyPr rot="0" spcFirstLastPara="1" vertOverflow="ellipsis" wrap="square" anchor="t" anchorCtr="0"/>
              <a:lstStyle/>
              <a:p>
                <a:pPr>
                  <a:defRPr sz="900" b="0" i="0" u="none" strike="noStrike" kern="1200" cap="all" baseline="0">
                    <a:solidFill>
                      <a:schemeClr val="tx1">
                        <a:lumMod val="65000"/>
                        <a:lumOff val="35000"/>
                      </a:schemeClr>
                    </a:solidFill>
                    <a:latin typeface="+mn-lt"/>
                    <a:ea typeface="+mn-ea"/>
                    <a:cs typeface="+mn-cs"/>
                  </a:defRPr>
                </a:pPr>
                <a:r>
                  <a:rPr lang="en-IN" sz="800"/>
                  <a:t>Percent</a:t>
                </a:r>
              </a:p>
            </c:rich>
          </c:tx>
          <c:layout>
            <c:manualLayout>
              <c:xMode val="edge"/>
              <c:yMode val="edge"/>
              <c:x val="7.7085664175697045E-3"/>
              <c:y val="0.21554950548101484"/>
            </c:manualLayout>
          </c:layout>
          <c:overlay val="0"/>
          <c:spPr>
            <a:noFill/>
            <a:ln>
              <a:noFill/>
            </a:ln>
            <a:effectLst/>
          </c:spPr>
          <c:txPr>
            <a:bodyPr rot="0" spcFirstLastPara="1" vertOverflow="ellipsis" wrap="square" anchor="t" anchorCtr="0"/>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baseline="0">
                <a:ln w="0"/>
                <a:solidFill>
                  <a:schemeClr val="tx1"/>
                </a:solidFill>
                <a:effectLst>
                  <a:outerShdw blurRad="38100" dist="19050" dir="2700000" algn="tl" rotWithShape="0">
                    <a:schemeClr val="dk1">
                      <a:alpha val="40000"/>
                    </a:schemeClr>
                  </a:outerShdw>
                </a:effectLst>
                <a:latin typeface="+mn-lt"/>
                <a:ea typeface="+mn-ea"/>
                <a:cs typeface="+mn-cs"/>
              </a:defRPr>
            </a:pPr>
            <a:endParaRPr lang="en-US"/>
          </a:p>
        </c:txPr>
        <c:crossAx val="148091215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600" b="1" i="0" u="none" strike="noStrike" kern="1200" cap="all" spc="120" normalizeH="0" baseline="0">
                <a:solidFill>
                  <a:sysClr val="windowText" lastClr="000000">
                    <a:lumMod val="65000"/>
                    <a:lumOff val="35000"/>
                  </a:sysClr>
                </a:solidFill>
                <a:latin typeface="+mn-lt"/>
                <a:ea typeface="+mn-ea"/>
                <a:cs typeface="+mn-cs"/>
              </a:defRPr>
            </a:pPr>
            <a:r>
              <a:rPr lang="en-IN" sz="1400" b="1" i="0" u="none" strike="noStrike" kern="1200" cap="all" spc="120" normalizeH="0" baseline="0">
                <a:solidFill>
                  <a:sysClr val="windowText" lastClr="000000">
                    <a:lumMod val="65000"/>
                    <a:lumOff val="35000"/>
                  </a:sysClr>
                </a:solidFill>
              </a:rPr>
              <a:t>Sectorial Share of TERTIARY Sector of Gross Value Added of Rajasthan at Constant </a:t>
            </a: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r>
              <a:rPr lang="en-IN" sz="1400" b="1" i="0" u="none" strike="noStrike" kern="1200" cap="all" spc="120" normalizeH="0" baseline="0">
                <a:solidFill>
                  <a:sysClr val="windowText" lastClr="000000">
                    <a:lumMod val="65000"/>
                    <a:lumOff val="35000"/>
                  </a:sysClr>
                </a:solidFill>
              </a:rPr>
              <a:t>(2011-12) Prices</a:t>
            </a: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IN"/>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600" b="1" i="0" u="none" strike="noStrike" kern="1200" cap="all" spc="120" normalizeH="0" baseline="0">
              <a:solidFill>
                <a:sysClr val="windowText" lastClr="000000">
                  <a:lumMod val="65000"/>
                  <a:lumOff val="35000"/>
                </a:sysClr>
              </a:solidFill>
              <a:latin typeface="+mn-lt"/>
              <a:ea typeface="+mn-ea"/>
              <a:cs typeface="+mn-cs"/>
            </a:defRPr>
          </a:pPr>
          <a:endParaRPr lang="en-US"/>
        </a:p>
      </c:txPr>
    </c:title>
    <c:autoTitleDeleted val="0"/>
    <c:plotArea>
      <c:layout>
        <c:manualLayout>
          <c:layoutTarget val="inner"/>
          <c:xMode val="edge"/>
          <c:yMode val="edge"/>
          <c:x val="5.6915883377109795E-2"/>
          <c:y val="0.31535151733419264"/>
          <c:w val="0.92883682248694188"/>
          <c:h val="0.54064462462874052"/>
        </c:manualLayout>
      </c:layout>
      <c:lineChart>
        <c:grouping val="standard"/>
        <c:varyColors val="0"/>
        <c:ser>
          <c:idx val="0"/>
          <c:order val="0"/>
          <c:spPr>
            <a:ln w="22225" cap="rnd">
              <a:solidFill>
                <a:schemeClr val="accent4"/>
              </a:solidFill>
              <a:round/>
            </a:ln>
            <a:effectLst/>
          </c:spPr>
          <c:marker>
            <c:symbol val="diamond"/>
            <c:size val="6"/>
            <c:spPr>
              <a:solidFill>
                <a:schemeClr val="accent4"/>
              </a:solidFill>
              <a:ln w="9525">
                <a:solidFill>
                  <a:schemeClr val="accent4"/>
                </a:solidFill>
                <a:round/>
              </a:ln>
              <a:effectLst/>
            </c:spPr>
          </c:marker>
          <c:cat>
            <c:strRef>
              <c:f>'Sectorial Share'!$C$3:$O$3</c:f>
              <c:strCache>
                <c:ptCount val="13"/>
                <c:pt idx="0">
                  <c:v>2011-12</c:v>
                </c:pt>
                <c:pt idx="1">
                  <c:v>2012-13</c:v>
                </c:pt>
                <c:pt idx="2">
                  <c:v>2013-14</c:v>
                </c:pt>
                <c:pt idx="3">
                  <c:v>2014-15</c:v>
                </c:pt>
                <c:pt idx="4">
                  <c:v>2015-16</c:v>
                </c:pt>
                <c:pt idx="5">
                  <c:v>2016-17</c:v>
                </c:pt>
                <c:pt idx="6">
                  <c:v>2017-18</c:v>
                </c:pt>
                <c:pt idx="7">
                  <c:v>2018-19</c:v>
                </c:pt>
                <c:pt idx="8">
                  <c:v>2019-20</c:v>
                </c:pt>
                <c:pt idx="9">
                  <c:v>2020-21</c:v>
                </c:pt>
                <c:pt idx="10">
                  <c:v>2021-22</c:v>
                </c:pt>
                <c:pt idx="11">
                  <c:v>2022-23</c:v>
                </c:pt>
                <c:pt idx="12">
                  <c:v>2023-24</c:v>
                </c:pt>
              </c:strCache>
            </c:strRef>
          </c:cat>
          <c:val>
            <c:numRef>
              <c:f>'Sectorial Share'!$C$15:$O$15</c:f>
              <c:numCache>
                <c:formatCode>General</c:formatCode>
                <c:ptCount val="13"/>
                <c:pt idx="0">
                  <c:v>38.748465199602954</c:v>
                </c:pt>
                <c:pt idx="1">
                  <c:v>40.394114619878167</c:v>
                </c:pt>
                <c:pt idx="2">
                  <c:v>41.320210766462111</c:v>
                </c:pt>
                <c:pt idx="3">
                  <c:v>41.651991261675605</c:v>
                </c:pt>
                <c:pt idx="4">
                  <c:v>40.836885314666077</c:v>
                </c:pt>
                <c:pt idx="5">
                  <c:v>40.406923351274969</c:v>
                </c:pt>
                <c:pt idx="6">
                  <c:v>42.27567684280983</c:v>
                </c:pt>
                <c:pt idx="7">
                  <c:v>46.272548078270603</c:v>
                </c:pt>
                <c:pt idx="8">
                  <c:v>44.989737355304598</c:v>
                </c:pt>
                <c:pt idx="9">
                  <c:v>41.268047414244712</c:v>
                </c:pt>
                <c:pt idx="10">
                  <c:v>43.174663124284528</c:v>
                </c:pt>
                <c:pt idx="11">
                  <c:v>44.18082371100752</c:v>
                </c:pt>
                <c:pt idx="12">
                  <c:v>43.951851458994625</c:v>
                </c:pt>
              </c:numCache>
            </c:numRef>
          </c:val>
          <c:smooth val="0"/>
          <c:extLst>
            <c:ext xmlns:c16="http://schemas.microsoft.com/office/drawing/2014/chart" uri="{C3380CC4-5D6E-409C-BE32-E72D297353CC}">
              <c16:uniqueId val="{00000000-E681-4238-A6F6-E21E2D3FE7C4}"/>
            </c:ext>
          </c:extLst>
        </c:ser>
        <c:dLbls>
          <c:showLegendKey val="0"/>
          <c:showVal val="0"/>
          <c:showCatName val="0"/>
          <c:showSerName val="0"/>
          <c:showPercent val="0"/>
          <c:showBubbleSize val="0"/>
        </c:dLbls>
        <c:marker val="1"/>
        <c:smooth val="0"/>
        <c:axId val="1396264975"/>
        <c:axId val="1396283695"/>
      </c:lineChart>
      <c:catAx>
        <c:axId val="139626497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none" spc="0" normalizeH="0" baseline="0">
                <a:ln w="0"/>
                <a:solidFill>
                  <a:schemeClr val="tx1"/>
                </a:solidFill>
                <a:effectLst>
                  <a:outerShdw blurRad="38100" dist="19050" dir="2700000" algn="tl" rotWithShape="0">
                    <a:schemeClr val="dk1">
                      <a:alpha val="40000"/>
                    </a:schemeClr>
                  </a:outerShdw>
                </a:effectLst>
                <a:latin typeface="+mn-lt"/>
                <a:ea typeface="+mn-ea"/>
                <a:cs typeface="+mn-cs"/>
              </a:defRPr>
            </a:pPr>
            <a:endParaRPr lang="en-US"/>
          </a:p>
        </c:txPr>
        <c:crossAx val="1396283695"/>
        <c:crosses val="autoZero"/>
        <c:auto val="1"/>
        <c:lblAlgn val="ctr"/>
        <c:lblOffset val="100"/>
        <c:noMultiLvlLbl val="0"/>
      </c:catAx>
      <c:valAx>
        <c:axId val="1396283695"/>
        <c:scaling>
          <c:orientation val="minMax"/>
        </c:scaling>
        <c:delete val="0"/>
        <c:axPos val="l"/>
        <c:title>
          <c:tx>
            <c:rich>
              <a:bodyPr rot="0" spcFirstLastPara="1" vertOverflow="ellipsis" wrap="square" anchor="t" anchorCtr="0"/>
              <a:lstStyle/>
              <a:p>
                <a:pPr>
                  <a:defRPr sz="900" b="0" i="0" u="none" strike="noStrike" kern="1200" cap="all" baseline="0">
                    <a:solidFill>
                      <a:schemeClr val="tx1">
                        <a:lumMod val="65000"/>
                        <a:lumOff val="35000"/>
                      </a:schemeClr>
                    </a:solidFill>
                    <a:latin typeface="+mn-lt"/>
                    <a:ea typeface="+mn-ea"/>
                    <a:cs typeface="+mn-cs"/>
                  </a:defRPr>
                </a:pPr>
                <a:r>
                  <a:rPr lang="en-IN"/>
                  <a:t>Percent</a:t>
                </a:r>
              </a:p>
            </c:rich>
          </c:tx>
          <c:layout>
            <c:manualLayout>
              <c:xMode val="edge"/>
              <c:yMode val="edge"/>
              <c:x val="3.5153860419797991E-3"/>
              <c:y val="0.21685895802948826"/>
            </c:manualLayout>
          </c:layout>
          <c:overlay val="0"/>
          <c:spPr>
            <a:noFill/>
            <a:ln>
              <a:noFill/>
            </a:ln>
            <a:effectLst/>
          </c:spPr>
          <c:txPr>
            <a:bodyPr rot="0" spcFirstLastPara="1" vertOverflow="ellipsis" wrap="square" anchor="t" anchorCtr="0"/>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baseline="0">
                <a:ln w="0"/>
                <a:solidFill>
                  <a:schemeClr val="tx1"/>
                </a:solidFill>
                <a:effectLst>
                  <a:outerShdw blurRad="38100" dist="19050" dir="2700000" algn="tl" rotWithShape="0">
                    <a:schemeClr val="dk1">
                      <a:alpha val="40000"/>
                    </a:schemeClr>
                  </a:outerShdw>
                </a:effectLst>
                <a:latin typeface="+mn-lt"/>
                <a:ea typeface="+mn-ea"/>
                <a:cs typeface="+mn-cs"/>
              </a:defRPr>
            </a:pPr>
            <a:endParaRPr lang="en-US"/>
          </a:p>
        </c:txPr>
        <c:crossAx val="139626497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IN"/>
              <a:t>Sectorial Share of Gross Value Added of Rajasthan at Constant (2011-12) Prices</a:t>
            </a:r>
          </a:p>
          <a:p>
            <a:pPr>
              <a:defRPr/>
            </a:pPr>
            <a:endParaRPr lang="en-IN"/>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5.6915883377109795E-2"/>
          <c:y val="0.31535151733419264"/>
          <c:w val="0.92883682248694188"/>
          <c:h val="0.54064462462874052"/>
        </c:manualLayout>
      </c:layout>
      <c:lineChart>
        <c:grouping val="standard"/>
        <c:varyColors val="0"/>
        <c:ser>
          <c:idx val="1"/>
          <c:order val="0"/>
          <c:tx>
            <c:v>Primary</c:v>
          </c:tx>
          <c:spPr>
            <a:ln w="22225" cap="rnd">
              <a:solidFill>
                <a:schemeClr val="accent5"/>
              </a:solidFill>
              <a:round/>
            </a:ln>
            <a:effectLst/>
          </c:spPr>
          <c:marker>
            <c:symbol val="square"/>
            <c:size val="6"/>
            <c:spPr>
              <a:solidFill>
                <a:schemeClr val="accent5"/>
              </a:solidFill>
              <a:ln w="9525">
                <a:solidFill>
                  <a:schemeClr val="accent5"/>
                </a:solidFill>
                <a:round/>
              </a:ln>
              <a:effectLst/>
            </c:spPr>
          </c:marker>
          <c:cat>
            <c:strRef>
              <c:f>'Sectorial Share'!$C$3:$O$3</c:f>
              <c:strCache>
                <c:ptCount val="13"/>
                <c:pt idx="0">
                  <c:v>2011-12</c:v>
                </c:pt>
                <c:pt idx="1">
                  <c:v>2012-13</c:v>
                </c:pt>
                <c:pt idx="2">
                  <c:v>2013-14</c:v>
                </c:pt>
                <c:pt idx="3">
                  <c:v>2014-15</c:v>
                </c:pt>
                <c:pt idx="4">
                  <c:v>2015-16</c:v>
                </c:pt>
                <c:pt idx="5">
                  <c:v>2016-17</c:v>
                </c:pt>
                <c:pt idx="6">
                  <c:v>2017-18</c:v>
                </c:pt>
                <c:pt idx="7">
                  <c:v>2018-19</c:v>
                </c:pt>
                <c:pt idx="8">
                  <c:v>2019-20</c:v>
                </c:pt>
                <c:pt idx="9">
                  <c:v>2020-21</c:v>
                </c:pt>
                <c:pt idx="10">
                  <c:v>2021-22</c:v>
                </c:pt>
                <c:pt idx="11">
                  <c:v>2022-23</c:v>
                </c:pt>
                <c:pt idx="12">
                  <c:v>2023-24</c:v>
                </c:pt>
              </c:strCache>
            </c:strRef>
          </c:cat>
          <c:val>
            <c:numRef>
              <c:f>'Sectorial Share'!$C$8:$O$8</c:f>
              <c:numCache>
                <c:formatCode>General</c:formatCode>
                <c:ptCount val="13"/>
                <c:pt idx="0">
                  <c:v>32.979318350923933</c:v>
                </c:pt>
                <c:pt idx="1">
                  <c:v>35.656713727843645</c:v>
                </c:pt>
                <c:pt idx="2">
                  <c:v>36.524863028982757</c:v>
                </c:pt>
                <c:pt idx="3">
                  <c:v>36.046435645480855</c:v>
                </c:pt>
                <c:pt idx="4">
                  <c:v>35.726537139644115</c:v>
                </c:pt>
                <c:pt idx="5">
                  <c:v>36.841596615899746</c:v>
                </c:pt>
                <c:pt idx="6">
                  <c:v>35.349381320920237</c:v>
                </c:pt>
                <c:pt idx="7">
                  <c:v>29.640265936040873</c:v>
                </c:pt>
                <c:pt idx="8">
                  <c:v>30.55323708728168</c:v>
                </c:pt>
                <c:pt idx="9">
                  <c:v>34.040102370079701</c:v>
                </c:pt>
                <c:pt idx="10">
                  <c:v>31.593616021174292</c:v>
                </c:pt>
                <c:pt idx="11">
                  <c:v>30.701007518424696</c:v>
                </c:pt>
                <c:pt idx="12">
                  <c:v>29.423815355568049</c:v>
                </c:pt>
              </c:numCache>
            </c:numRef>
          </c:val>
          <c:smooth val="0"/>
          <c:extLst>
            <c:ext xmlns:c16="http://schemas.microsoft.com/office/drawing/2014/chart" uri="{C3380CC4-5D6E-409C-BE32-E72D297353CC}">
              <c16:uniqueId val="{00000000-C739-47B0-A8B6-966A30FDE230}"/>
            </c:ext>
          </c:extLst>
        </c:ser>
        <c:ser>
          <c:idx val="2"/>
          <c:order val="1"/>
          <c:tx>
            <c:v>Secondary</c:v>
          </c:tx>
          <c:spPr>
            <a:ln w="22225" cap="rnd">
              <a:solidFill>
                <a:schemeClr val="accent4"/>
              </a:solidFill>
              <a:round/>
            </a:ln>
            <a:effectLst/>
          </c:spPr>
          <c:marker>
            <c:symbol val="triangle"/>
            <c:size val="6"/>
            <c:spPr>
              <a:solidFill>
                <a:schemeClr val="accent4"/>
              </a:solidFill>
              <a:ln w="9525">
                <a:solidFill>
                  <a:schemeClr val="accent4"/>
                </a:solidFill>
                <a:round/>
              </a:ln>
              <a:effectLst/>
            </c:spPr>
          </c:marker>
          <c:cat>
            <c:strRef>
              <c:f>'Sectorial Share'!$C$3:$O$3</c:f>
              <c:strCache>
                <c:ptCount val="13"/>
                <c:pt idx="0">
                  <c:v>2011-12</c:v>
                </c:pt>
                <c:pt idx="1">
                  <c:v>2012-13</c:v>
                </c:pt>
                <c:pt idx="2">
                  <c:v>2013-14</c:v>
                </c:pt>
                <c:pt idx="3">
                  <c:v>2014-15</c:v>
                </c:pt>
                <c:pt idx="4">
                  <c:v>2015-16</c:v>
                </c:pt>
                <c:pt idx="5">
                  <c:v>2016-17</c:v>
                </c:pt>
                <c:pt idx="6">
                  <c:v>2017-18</c:v>
                </c:pt>
                <c:pt idx="7">
                  <c:v>2018-19</c:v>
                </c:pt>
                <c:pt idx="8">
                  <c:v>2019-20</c:v>
                </c:pt>
                <c:pt idx="9">
                  <c:v>2020-21</c:v>
                </c:pt>
                <c:pt idx="10">
                  <c:v>2021-22</c:v>
                </c:pt>
                <c:pt idx="11">
                  <c:v>2022-23</c:v>
                </c:pt>
                <c:pt idx="12">
                  <c:v>2023-24</c:v>
                </c:pt>
              </c:strCache>
            </c:strRef>
          </c:cat>
          <c:val>
            <c:numRef>
              <c:f>'Sectorial Share'!$C$12:$O$12</c:f>
              <c:numCache>
                <c:formatCode>General</c:formatCode>
                <c:ptCount val="13"/>
                <c:pt idx="0">
                  <c:v>28.272216449473103</c:v>
                </c:pt>
                <c:pt idx="1">
                  <c:v>23.949171652278178</c:v>
                </c:pt>
                <c:pt idx="2">
                  <c:v>22.154926204555142</c:v>
                </c:pt>
                <c:pt idx="3">
                  <c:v>22.301573092843537</c:v>
                </c:pt>
                <c:pt idx="4">
                  <c:v>23.436577545689797</c:v>
                </c:pt>
                <c:pt idx="5">
                  <c:v>22.751480032825267</c:v>
                </c:pt>
                <c:pt idx="6">
                  <c:v>22.374941836269933</c:v>
                </c:pt>
                <c:pt idx="7">
                  <c:v>24.087185985688521</c:v>
                </c:pt>
                <c:pt idx="8">
                  <c:v>24.457025557413722</c:v>
                </c:pt>
                <c:pt idx="9">
                  <c:v>24.69185021567559</c:v>
                </c:pt>
                <c:pt idx="10">
                  <c:v>25.231720854541166</c:v>
                </c:pt>
                <c:pt idx="11">
                  <c:v>25.118168770567799</c:v>
                </c:pt>
                <c:pt idx="12">
                  <c:v>26.624333185437308</c:v>
                </c:pt>
              </c:numCache>
            </c:numRef>
          </c:val>
          <c:smooth val="0"/>
          <c:extLst>
            <c:ext xmlns:c16="http://schemas.microsoft.com/office/drawing/2014/chart" uri="{C3380CC4-5D6E-409C-BE32-E72D297353CC}">
              <c16:uniqueId val="{00000001-C739-47B0-A8B6-966A30FDE230}"/>
            </c:ext>
          </c:extLst>
        </c:ser>
        <c:ser>
          <c:idx val="0"/>
          <c:order val="2"/>
          <c:tx>
            <c:v>Tertiary</c:v>
          </c:tx>
          <c:spPr>
            <a:ln w="22225" cap="rnd">
              <a:solidFill>
                <a:schemeClr val="accent6"/>
              </a:solidFill>
              <a:round/>
            </a:ln>
            <a:effectLst/>
          </c:spPr>
          <c:marker>
            <c:symbol val="diamond"/>
            <c:size val="6"/>
            <c:spPr>
              <a:solidFill>
                <a:schemeClr val="accent6"/>
              </a:solidFill>
              <a:ln w="9525">
                <a:solidFill>
                  <a:schemeClr val="accent6"/>
                </a:solidFill>
                <a:round/>
              </a:ln>
              <a:effectLst/>
            </c:spPr>
          </c:marker>
          <c:cat>
            <c:strRef>
              <c:f>'Sectorial Share'!$C$3:$O$3</c:f>
              <c:strCache>
                <c:ptCount val="13"/>
                <c:pt idx="0">
                  <c:v>2011-12</c:v>
                </c:pt>
                <c:pt idx="1">
                  <c:v>2012-13</c:v>
                </c:pt>
                <c:pt idx="2">
                  <c:v>2013-14</c:v>
                </c:pt>
                <c:pt idx="3">
                  <c:v>2014-15</c:v>
                </c:pt>
                <c:pt idx="4">
                  <c:v>2015-16</c:v>
                </c:pt>
                <c:pt idx="5">
                  <c:v>2016-17</c:v>
                </c:pt>
                <c:pt idx="6">
                  <c:v>2017-18</c:v>
                </c:pt>
                <c:pt idx="7">
                  <c:v>2018-19</c:v>
                </c:pt>
                <c:pt idx="8">
                  <c:v>2019-20</c:v>
                </c:pt>
                <c:pt idx="9">
                  <c:v>2020-21</c:v>
                </c:pt>
                <c:pt idx="10">
                  <c:v>2021-22</c:v>
                </c:pt>
                <c:pt idx="11">
                  <c:v>2022-23</c:v>
                </c:pt>
                <c:pt idx="12">
                  <c:v>2023-24</c:v>
                </c:pt>
              </c:strCache>
            </c:strRef>
          </c:cat>
          <c:val>
            <c:numRef>
              <c:f>'Sectorial Share'!$C$15:$O$15</c:f>
              <c:numCache>
                <c:formatCode>General</c:formatCode>
                <c:ptCount val="13"/>
                <c:pt idx="0">
                  <c:v>38.748465199602954</c:v>
                </c:pt>
                <c:pt idx="1">
                  <c:v>40.394114619878167</c:v>
                </c:pt>
                <c:pt idx="2">
                  <c:v>41.320210766462111</c:v>
                </c:pt>
                <c:pt idx="3">
                  <c:v>41.651991261675605</c:v>
                </c:pt>
                <c:pt idx="4">
                  <c:v>40.836885314666077</c:v>
                </c:pt>
                <c:pt idx="5">
                  <c:v>40.406923351274969</c:v>
                </c:pt>
                <c:pt idx="6">
                  <c:v>42.27567684280983</c:v>
                </c:pt>
                <c:pt idx="7">
                  <c:v>46.272548078270603</c:v>
                </c:pt>
                <c:pt idx="8">
                  <c:v>44.989737355304598</c:v>
                </c:pt>
                <c:pt idx="9">
                  <c:v>41.268047414244712</c:v>
                </c:pt>
                <c:pt idx="10">
                  <c:v>43.174663124284528</c:v>
                </c:pt>
                <c:pt idx="11">
                  <c:v>44.18082371100752</c:v>
                </c:pt>
                <c:pt idx="12">
                  <c:v>43.951851458994625</c:v>
                </c:pt>
              </c:numCache>
            </c:numRef>
          </c:val>
          <c:smooth val="0"/>
          <c:extLst>
            <c:ext xmlns:c16="http://schemas.microsoft.com/office/drawing/2014/chart" uri="{C3380CC4-5D6E-409C-BE32-E72D297353CC}">
              <c16:uniqueId val="{00000002-C739-47B0-A8B6-966A30FDE230}"/>
            </c:ext>
          </c:extLst>
        </c:ser>
        <c:dLbls>
          <c:showLegendKey val="0"/>
          <c:showVal val="0"/>
          <c:showCatName val="0"/>
          <c:showSerName val="0"/>
          <c:showPercent val="0"/>
          <c:showBubbleSize val="0"/>
        </c:dLbls>
        <c:marker val="1"/>
        <c:smooth val="0"/>
        <c:axId val="1396264975"/>
        <c:axId val="1396283695"/>
      </c:lineChart>
      <c:catAx>
        <c:axId val="139626497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none" spc="0" normalizeH="0" baseline="0">
                <a:ln w="0"/>
                <a:solidFill>
                  <a:schemeClr val="tx1"/>
                </a:solidFill>
                <a:effectLst>
                  <a:outerShdw blurRad="38100" dist="19050" dir="2700000" algn="tl" rotWithShape="0">
                    <a:schemeClr val="dk1">
                      <a:alpha val="40000"/>
                    </a:schemeClr>
                  </a:outerShdw>
                </a:effectLst>
                <a:latin typeface="+mn-lt"/>
                <a:ea typeface="+mn-ea"/>
                <a:cs typeface="+mn-cs"/>
              </a:defRPr>
            </a:pPr>
            <a:endParaRPr lang="en-US"/>
          </a:p>
        </c:txPr>
        <c:crossAx val="1396283695"/>
        <c:crosses val="autoZero"/>
        <c:auto val="1"/>
        <c:lblAlgn val="ctr"/>
        <c:lblOffset val="100"/>
        <c:noMultiLvlLbl val="0"/>
      </c:catAx>
      <c:valAx>
        <c:axId val="1396283695"/>
        <c:scaling>
          <c:orientation val="minMax"/>
        </c:scaling>
        <c:delete val="0"/>
        <c:axPos val="l"/>
        <c:title>
          <c:tx>
            <c:rich>
              <a:bodyPr rot="0" spcFirstLastPara="1" vertOverflow="ellipsis" wrap="square" anchor="t" anchorCtr="0"/>
              <a:lstStyle/>
              <a:p>
                <a:pPr>
                  <a:defRPr sz="900" b="0" i="0" u="none" strike="noStrike" kern="1200" cap="all" baseline="0">
                    <a:solidFill>
                      <a:schemeClr val="tx1">
                        <a:lumMod val="65000"/>
                        <a:lumOff val="35000"/>
                      </a:schemeClr>
                    </a:solidFill>
                    <a:latin typeface="+mn-lt"/>
                    <a:ea typeface="+mn-ea"/>
                    <a:cs typeface="+mn-cs"/>
                  </a:defRPr>
                </a:pPr>
                <a:r>
                  <a:rPr lang="en-IN"/>
                  <a:t>Percent</a:t>
                </a:r>
              </a:p>
            </c:rich>
          </c:tx>
          <c:layout>
            <c:manualLayout>
              <c:xMode val="edge"/>
              <c:yMode val="edge"/>
              <c:x val="1.6738113369482387E-3"/>
              <c:y val="0.23223403010987861"/>
            </c:manualLayout>
          </c:layout>
          <c:overlay val="0"/>
          <c:spPr>
            <a:noFill/>
            <a:ln>
              <a:noFill/>
            </a:ln>
            <a:effectLst/>
          </c:spPr>
          <c:txPr>
            <a:bodyPr rot="0" spcFirstLastPara="1" vertOverflow="ellipsis" wrap="square" anchor="t" anchorCtr="0"/>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baseline="0">
                <a:ln w="0"/>
                <a:solidFill>
                  <a:schemeClr val="tx1"/>
                </a:solidFill>
                <a:effectLst>
                  <a:outerShdw blurRad="38100" dist="19050" dir="2700000" algn="tl" rotWithShape="0">
                    <a:schemeClr val="dk1">
                      <a:alpha val="40000"/>
                    </a:schemeClr>
                  </a:outerShdw>
                </a:effectLst>
                <a:latin typeface="+mn-lt"/>
                <a:ea typeface="+mn-ea"/>
                <a:cs typeface="+mn-cs"/>
              </a:defRPr>
            </a:pPr>
            <a:endParaRPr lang="en-US"/>
          </a:p>
        </c:txPr>
        <c:crossAx val="139626497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IN"/>
              <a:t>Percentage Growth of Primary Sector as Sectorial Share of GVA </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9.924598647783868E-2"/>
          <c:y val="0.20861111111111111"/>
          <c:w val="0.87567707290891617"/>
          <c:h val="0.64737642169728782"/>
        </c:manualLayout>
      </c:layout>
      <c:lineChart>
        <c:grouping val="standard"/>
        <c:varyColors val="0"/>
        <c:ser>
          <c:idx val="0"/>
          <c:order val="0"/>
          <c:spPr>
            <a:ln w="22225" cap="rnd">
              <a:solidFill>
                <a:schemeClr val="accent6"/>
              </a:solidFill>
              <a:round/>
            </a:ln>
            <a:effectLst/>
          </c:spPr>
          <c:marker>
            <c:symbol val="diamond"/>
            <c:size val="6"/>
            <c:spPr>
              <a:solidFill>
                <a:schemeClr val="accent6"/>
              </a:solidFill>
              <a:ln w="9525">
                <a:solidFill>
                  <a:schemeClr val="accent6"/>
                </a:solidFill>
                <a:round/>
              </a:ln>
              <a:effectLst/>
            </c:spPr>
          </c:marker>
          <c:cat>
            <c:strRef>
              <c:f>'Sectorial Share'!$D$2:$O$3</c:f>
              <c:strCache>
                <c:ptCount val="12"/>
                <c:pt idx="0">
                  <c:v>2012-13</c:v>
                </c:pt>
                <c:pt idx="1">
                  <c:v>2013-14</c:v>
                </c:pt>
                <c:pt idx="2">
                  <c:v>2014-15</c:v>
                </c:pt>
                <c:pt idx="3">
                  <c:v>2015-16</c:v>
                </c:pt>
                <c:pt idx="4">
                  <c:v>2016-17</c:v>
                </c:pt>
                <c:pt idx="5">
                  <c:v>2017-18</c:v>
                </c:pt>
                <c:pt idx="6">
                  <c:v>2018-19</c:v>
                </c:pt>
                <c:pt idx="7">
                  <c:v>2019-20</c:v>
                </c:pt>
                <c:pt idx="8">
                  <c:v>2020-21</c:v>
                </c:pt>
                <c:pt idx="9">
                  <c:v>2021-22</c:v>
                </c:pt>
                <c:pt idx="10">
                  <c:v>2022-23</c:v>
                </c:pt>
                <c:pt idx="11">
                  <c:v>2023-24</c:v>
                </c:pt>
              </c:strCache>
            </c:strRef>
          </c:cat>
          <c:val>
            <c:numRef>
              <c:f>'Sectorial Share'!$D$9:$O$9</c:f>
              <c:numCache>
                <c:formatCode>0.00%</c:formatCode>
                <c:ptCount val="12"/>
                <c:pt idx="0">
                  <c:v>8.1184072649115313E-2</c:v>
                </c:pt>
                <c:pt idx="1">
                  <c:v>2.4347428867545595E-2</c:v>
                </c:pt>
                <c:pt idx="2">
                  <c:v>-1.3098677005914161E-2</c:v>
                </c:pt>
                <c:pt idx="3">
                  <c:v>-8.8746224171222243E-3</c:v>
                </c:pt>
                <c:pt idx="4">
                  <c:v>3.1210958730682581E-2</c:v>
                </c:pt>
                <c:pt idx="5">
                  <c:v>-4.0503545775633198E-2</c:v>
                </c:pt>
                <c:pt idx="6">
                  <c:v>-0.16150538344784648</c:v>
                </c:pt>
                <c:pt idx="7">
                  <c:v>3.0801719296677632E-2</c:v>
                </c:pt>
                <c:pt idx="8">
                  <c:v>0.11412425049552244</c:v>
                </c:pt>
                <c:pt idx="9">
                  <c:v>-7.1870710678467398E-2</c:v>
                </c:pt>
                <c:pt idx="10">
                  <c:v>-2.8252812281802875E-2</c:v>
                </c:pt>
                <c:pt idx="11">
                  <c:v>-4.1600985312620797E-2</c:v>
                </c:pt>
              </c:numCache>
            </c:numRef>
          </c:val>
          <c:smooth val="0"/>
          <c:extLst>
            <c:ext xmlns:c16="http://schemas.microsoft.com/office/drawing/2014/chart" uri="{C3380CC4-5D6E-409C-BE32-E72D297353CC}">
              <c16:uniqueId val="{00000000-18A4-44CE-805B-3366DE5A908F}"/>
            </c:ext>
          </c:extLst>
        </c:ser>
        <c:dLbls>
          <c:showLegendKey val="0"/>
          <c:showVal val="0"/>
          <c:showCatName val="0"/>
          <c:showSerName val="0"/>
          <c:showPercent val="0"/>
          <c:showBubbleSize val="0"/>
        </c:dLbls>
        <c:marker val="1"/>
        <c:smooth val="0"/>
        <c:axId val="1780463584"/>
        <c:axId val="1780459744"/>
      </c:lineChart>
      <c:catAx>
        <c:axId val="178046358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1780459744"/>
        <c:crosses val="autoZero"/>
        <c:auto val="1"/>
        <c:lblAlgn val="ctr"/>
        <c:lblOffset val="100"/>
        <c:noMultiLvlLbl val="0"/>
      </c:catAx>
      <c:valAx>
        <c:axId val="1780459744"/>
        <c:scaling>
          <c:orientation val="minMax"/>
        </c:scaling>
        <c:delete val="0"/>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percent</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804635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IN"/>
              <a:t>Percentage Growth of Secondary Sector as Sectorial Share of GVA </a:t>
            </a:r>
          </a:p>
          <a:p>
            <a:pPr>
              <a:defRPr/>
            </a:pPr>
            <a:endParaRPr lang="en-IN"/>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0089574998560588"/>
          <c:y val="0.25375150784077199"/>
          <c:w val="0.87473021943606488"/>
          <c:h val="0.59615588461574998"/>
        </c:manualLayout>
      </c:layout>
      <c:lineChart>
        <c:grouping val="standard"/>
        <c:varyColors val="0"/>
        <c:ser>
          <c:idx val="0"/>
          <c:order val="0"/>
          <c:spPr>
            <a:ln w="22225" cap="rnd">
              <a:solidFill>
                <a:schemeClr val="accent1"/>
              </a:solidFill>
              <a:round/>
            </a:ln>
            <a:effectLst/>
          </c:spPr>
          <c:marker>
            <c:symbol val="diamond"/>
            <c:size val="6"/>
            <c:spPr>
              <a:solidFill>
                <a:schemeClr val="accent1"/>
              </a:solidFill>
              <a:ln w="9525">
                <a:solidFill>
                  <a:schemeClr val="accent1"/>
                </a:solidFill>
                <a:round/>
              </a:ln>
              <a:effectLst/>
            </c:spPr>
          </c:marker>
          <c:cat>
            <c:strRef>
              <c:f>'Sectorial Share'!$D$2:$O$3</c:f>
              <c:strCache>
                <c:ptCount val="12"/>
                <c:pt idx="0">
                  <c:v>2012-13</c:v>
                </c:pt>
                <c:pt idx="1">
                  <c:v>2013-14</c:v>
                </c:pt>
                <c:pt idx="2">
                  <c:v>2014-15</c:v>
                </c:pt>
                <c:pt idx="3">
                  <c:v>2015-16</c:v>
                </c:pt>
                <c:pt idx="4">
                  <c:v>2016-17</c:v>
                </c:pt>
                <c:pt idx="5">
                  <c:v>2017-18</c:v>
                </c:pt>
                <c:pt idx="6">
                  <c:v>2018-19</c:v>
                </c:pt>
                <c:pt idx="7">
                  <c:v>2019-20</c:v>
                </c:pt>
                <c:pt idx="8">
                  <c:v>2020-21</c:v>
                </c:pt>
                <c:pt idx="9">
                  <c:v>2021-22</c:v>
                </c:pt>
                <c:pt idx="10">
                  <c:v>2022-23</c:v>
                </c:pt>
                <c:pt idx="11">
                  <c:v>2023-24</c:v>
                </c:pt>
              </c:strCache>
              <c:extLst/>
            </c:strRef>
          </c:cat>
          <c:val>
            <c:numRef>
              <c:f>'Sectorial Share'!$E$13:$O$13</c:f>
              <c:numCache>
                <c:formatCode>0.00%</c:formatCode>
                <c:ptCount val="11"/>
                <c:pt idx="0">
                  <c:v>-7.4918893804511111E-2</c:v>
                </c:pt>
                <c:pt idx="1">
                  <c:v>6.6191548973990599E-3</c:v>
                </c:pt>
                <c:pt idx="2">
                  <c:v>5.0893470524304707E-2</c:v>
                </c:pt>
                <c:pt idx="3">
                  <c:v>-2.9231977729210934E-2</c:v>
                </c:pt>
                <c:pt idx="4">
                  <c:v>-1.6550052832258522E-2</c:v>
                </c:pt>
                <c:pt idx="5">
                  <c:v>7.6525077112961526E-2</c:v>
                </c:pt>
                <c:pt idx="6">
                  <c:v>1.5354204179140796E-2</c:v>
                </c:pt>
                <c:pt idx="7">
                  <c:v>9.6015215632256901E-3</c:v>
                </c:pt>
                <c:pt idx="8">
                  <c:v>2.186432503639768E-2</c:v>
                </c:pt>
                <c:pt idx="9">
                  <c:v>-4.500370174035484E-3</c:v>
                </c:pt>
                <c:pt idx="10">
                  <c:v>5.9963145746291691E-2</c:v>
                </c:pt>
              </c:numCache>
              <c:extLst/>
            </c:numRef>
          </c:val>
          <c:smooth val="0"/>
          <c:extLst>
            <c:ext xmlns:c16="http://schemas.microsoft.com/office/drawing/2014/chart" uri="{C3380CC4-5D6E-409C-BE32-E72D297353CC}">
              <c16:uniqueId val="{00000000-4028-4E45-BF22-9E0073AE7200}"/>
            </c:ext>
          </c:extLst>
        </c:ser>
        <c:dLbls>
          <c:showLegendKey val="0"/>
          <c:showVal val="0"/>
          <c:showCatName val="0"/>
          <c:showSerName val="0"/>
          <c:showPercent val="0"/>
          <c:showBubbleSize val="0"/>
        </c:dLbls>
        <c:marker val="1"/>
        <c:smooth val="0"/>
        <c:axId val="1872818112"/>
        <c:axId val="1872815712"/>
      </c:lineChart>
      <c:catAx>
        <c:axId val="187281811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1872815712"/>
        <c:crosses val="autoZero"/>
        <c:auto val="1"/>
        <c:lblAlgn val="ctr"/>
        <c:lblOffset val="100"/>
        <c:noMultiLvlLbl val="0"/>
      </c:catAx>
      <c:valAx>
        <c:axId val="1872815712"/>
        <c:scaling>
          <c:orientation val="minMax"/>
        </c:scaling>
        <c:delete val="0"/>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Percent</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7281811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IN"/>
              <a:t>Percentage Growth of Tertiary Sector as Sectorial Share of GVA </a:t>
            </a:r>
          </a:p>
          <a:p>
            <a:pPr>
              <a:defRPr/>
            </a:pPr>
            <a:endParaRPr lang="en-IN"/>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0089574998560588"/>
          <c:y val="0.21311403508771931"/>
          <c:w val="0.87473021943606488"/>
          <c:h val="0.65045310125707978"/>
        </c:manualLayout>
      </c:layout>
      <c:lineChart>
        <c:grouping val="standard"/>
        <c:varyColors val="0"/>
        <c:ser>
          <c:idx val="0"/>
          <c:order val="0"/>
          <c:spPr>
            <a:ln w="22225" cap="rnd">
              <a:solidFill>
                <a:schemeClr val="accent4"/>
              </a:solidFill>
              <a:round/>
            </a:ln>
            <a:effectLst/>
          </c:spPr>
          <c:marker>
            <c:symbol val="diamond"/>
            <c:size val="6"/>
            <c:spPr>
              <a:solidFill>
                <a:schemeClr val="accent4"/>
              </a:solidFill>
              <a:ln w="9525">
                <a:solidFill>
                  <a:schemeClr val="accent4"/>
                </a:solidFill>
                <a:round/>
              </a:ln>
              <a:effectLst/>
            </c:spPr>
          </c:marker>
          <c:cat>
            <c:strRef>
              <c:f>'Sectorial Share'!$D$3:$O$3</c:f>
              <c:strCache>
                <c:ptCount val="12"/>
                <c:pt idx="0">
                  <c:v>2012-13</c:v>
                </c:pt>
                <c:pt idx="1">
                  <c:v>2013-14</c:v>
                </c:pt>
                <c:pt idx="2">
                  <c:v>2014-15</c:v>
                </c:pt>
                <c:pt idx="3">
                  <c:v>2015-16</c:v>
                </c:pt>
                <c:pt idx="4">
                  <c:v>2016-17</c:v>
                </c:pt>
                <c:pt idx="5">
                  <c:v>2017-18</c:v>
                </c:pt>
                <c:pt idx="6">
                  <c:v>2018-19</c:v>
                </c:pt>
                <c:pt idx="7">
                  <c:v>2019-20</c:v>
                </c:pt>
                <c:pt idx="8">
                  <c:v>2020-21</c:v>
                </c:pt>
                <c:pt idx="9">
                  <c:v>2021-22</c:v>
                </c:pt>
                <c:pt idx="10">
                  <c:v>2022-23</c:v>
                </c:pt>
                <c:pt idx="11">
                  <c:v>2023-24</c:v>
                </c:pt>
              </c:strCache>
            </c:strRef>
          </c:cat>
          <c:val>
            <c:numRef>
              <c:f>'Sectorial Share'!$D$17:$O$17</c:f>
              <c:numCache>
                <c:formatCode>0.00%</c:formatCode>
                <c:ptCount val="12"/>
                <c:pt idx="0">
                  <c:v>4.2470054279519553E-2</c:v>
                </c:pt>
                <c:pt idx="1">
                  <c:v>2.2926511827250362E-2</c:v>
                </c:pt>
                <c:pt idx="2">
                  <c:v>8.0294966811442769E-3</c:v>
                </c:pt>
                <c:pt idx="3">
                  <c:v>-1.9569435273542712E-2</c:v>
                </c:pt>
                <c:pt idx="4">
                  <c:v>-1.0528764867302254E-2</c:v>
                </c:pt>
                <c:pt idx="5">
                  <c:v>4.6248348959631924E-2</c:v>
                </c:pt>
                <c:pt idx="6">
                  <c:v>9.454304540934988E-2</c:v>
                </c:pt>
                <c:pt idx="7">
                  <c:v>-2.7722932413320134E-2</c:v>
                </c:pt>
                <c:pt idx="8">
                  <c:v>-8.2723086637914611E-2</c:v>
                </c:pt>
                <c:pt idx="9">
                  <c:v>4.6200773467699907E-2</c:v>
                </c:pt>
                <c:pt idx="10">
                  <c:v>2.3304422406878134E-2</c:v>
                </c:pt>
                <c:pt idx="11">
                  <c:v>-5.1826161845833774E-3</c:v>
                </c:pt>
              </c:numCache>
            </c:numRef>
          </c:val>
          <c:smooth val="0"/>
          <c:extLst>
            <c:ext xmlns:c16="http://schemas.microsoft.com/office/drawing/2014/chart" uri="{C3380CC4-5D6E-409C-BE32-E72D297353CC}">
              <c16:uniqueId val="{00000000-A2D7-474A-A49B-B7A79661D74A}"/>
            </c:ext>
          </c:extLst>
        </c:ser>
        <c:dLbls>
          <c:showLegendKey val="0"/>
          <c:showVal val="0"/>
          <c:showCatName val="0"/>
          <c:showSerName val="0"/>
          <c:showPercent val="0"/>
          <c:showBubbleSize val="0"/>
        </c:dLbls>
        <c:marker val="1"/>
        <c:smooth val="0"/>
        <c:axId val="1872760032"/>
        <c:axId val="1872769632"/>
      </c:lineChart>
      <c:catAx>
        <c:axId val="187276003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1872769632"/>
        <c:crosses val="autoZero"/>
        <c:auto val="1"/>
        <c:lblAlgn val="ctr"/>
        <c:lblOffset val="100"/>
        <c:noMultiLvlLbl val="0"/>
      </c:catAx>
      <c:valAx>
        <c:axId val="1872769632"/>
        <c:scaling>
          <c:orientation val="minMax"/>
        </c:scaling>
        <c:delete val="0"/>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Percent</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7276003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en-US" sz="1400"/>
              <a:t>Sectorial Percentage of Total GSVA in</a:t>
            </a:r>
            <a:r>
              <a:rPr lang="en-US" sz="1400" baseline="0"/>
              <a:t> </a:t>
            </a:r>
            <a:r>
              <a:rPr lang="en-US" sz="1400"/>
              <a:t>2011-12</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plotArea>
      <c:layout/>
      <c:pieChart>
        <c:varyColors val="1"/>
        <c:ser>
          <c:idx val="0"/>
          <c:order val="0"/>
          <c:tx>
            <c:strRef>
              <c:f>'Sectorial Share'!$C$51</c:f>
              <c:strCache>
                <c:ptCount val="1"/>
                <c:pt idx="0">
                  <c:v>2011-12</c:v>
                </c:pt>
              </c:strCache>
            </c:strRef>
          </c:tx>
          <c:dPt>
            <c:idx val="0"/>
            <c:bubble3D val="0"/>
            <c:spPr>
              <a:solidFill>
                <a:schemeClr val="accent6"/>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4CA9-495E-BFBE-F9D773D21963}"/>
              </c:ext>
            </c:extLst>
          </c:dPt>
          <c:dPt>
            <c:idx val="1"/>
            <c:bubble3D val="0"/>
            <c:spPr>
              <a:solidFill>
                <a:schemeClr val="accent5"/>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4CA9-495E-BFBE-F9D773D21963}"/>
              </c:ext>
            </c:extLst>
          </c:dPt>
          <c:dPt>
            <c:idx val="2"/>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4CA9-495E-BFBE-F9D773D21963}"/>
              </c:ext>
            </c:extLst>
          </c:dPt>
          <c:dLbls>
            <c:dLbl>
              <c:idx val="0"/>
              <c:layout>
                <c:manualLayout>
                  <c:x val="-0.10329337384165496"/>
                  <c:y val="0.10328725031701151"/>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4CA9-495E-BFBE-F9D773D21963}"/>
                </c:ext>
              </c:extLst>
            </c:dLbl>
            <c:dLbl>
              <c:idx val="1"/>
              <c:layout>
                <c:manualLayout>
                  <c:x val="-4.0193132108486539E-2"/>
                  <c:y val="-0.1842361111111111"/>
                </c:manualLayout>
              </c:layout>
              <c:spPr>
                <a:noFill/>
                <a:ln>
                  <a:noFill/>
                </a:ln>
                <a:effectLst/>
              </c:spPr>
              <c:txPr>
                <a:bodyPr rot="0" spcFirstLastPara="1" vertOverflow="ellipsis" vert="horz" wrap="square" lIns="38100" tIns="19050" rIns="38100" bIns="19050" anchor="ctr" anchorCtr="1">
                  <a:noAutofit/>
                </a:bodyPr>
                <a:lstStyle/>
                <a:p>
                  <a:pPr>
                    <a:defRPr sz="900" b="1" i="0" u="none" strike="noStrike" kern="1200" baseline="0">
                      <a:solidFill>
                        <a:schemeClr val="lt1"/>
                      </a:solidFill>
                      <a:latin typeface="+mn-lt"/>
                      <a:ea typeface="+mn-ea"/>
                      <a:cs typeface="+mn-cs"/>
                    </a:defRPr>
                  </a:pPr>
                  <a:endParaRPr lang="en-US"/>
                </a:p>
              </c:txPr>
              <c:dLblPos val="bestFit"/>
              <c:showLegendKey val="0"/>
              <c:showVal val="0"/>
              <c:showCatName val="0"/>
              <c:showSerName val="0"/>
              <c:showPercent val="1"/>
              <c:showBubbleSize val="0"/>
              <c:extLst>
                <c:ext xmlns:c15="http://schemas.microsoft.com/office/drawing/2012/chart" uri="{CE6537A1-D6FC-4f65-9D91-7224C49458BB}">
                  <c15:layout>
                    <c:manualLayout>
                      <c:w val="7.1333333333333332E-2"/>
                      <c:h val="9.7152960046660811E-2"/>
                    </c:manualLayout>
                  </c15:layout>
                </c:ext>
                <c:ext xmlns:c16="http://schemas.microsoft.com/office/drawing/2014/chart" uri="{C3380CC4-5D6E-409C-BE32-E72D297353CC}">
                  <c16:uniqueId val="{00000003-4CA9-495E-BFBE-F9D773D21963}"/>
                </c:ext>
              </c:extLst>
            </c:dLbl>
            <c:dLbl>
              <c:idx val="2"/>
              <c:layout>
                <c:manualLayout>
                  <c:x val="9.9009449404908689E-2"/>
                  <c:y val="8.0780282817059068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4CA9-495E-BFBE-F9D773D21963}"/>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'Sectorial Share'!$B$52:$B$54</c:f>
              <c:strCache>
                <c:ptCount val="3"/>
                <c:pt idx="0">
                  <c:v>Primary Sector</c:v>
                </c:pt>
                <c:pt idx="1">
                  <c:v>Secondary Sector</c:v>
                </c:pt>
                <c:pt idx="2">
                  <c:v>Tertiary Sector</c:v>
                </c:pt>
              </c:strCache>
            </c:strRef>
          </c:cat>
          <c:val>
            <c:numRef>
              <c:f>'Sectorial Share'!$C$52:$C$54</c:f>
              <c:numCache>
                <c:formatCode>General</c:formatCode>
                <c:ptCount val="3"/>
                <c:pt idx="0">
                  <c:v>32.979318399999997</c:v>
                </c:pt>
                <c:pt idx="1">
                  <c:v>28.272216400000001</c:v>
                </c:pt>
                <c:pt idx="2">
                  <c:v>38.748465199999998</c:v>
                </c:pt>
              </c:numCache>
            </c:numRef>
          </c:val>
          <c:extLst>
            <c:ext xmlns:c16="http://schemas.microsoft.com/office/drawing/2014/chart" uri="{C3380CC4-5D6E-409C-BE32-E72D297353CC}">
              <c16:uniqueId val="{00000006-4CA9-495E-BFBE-F9D773D21963}"/>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en-US" sz="1400"/>
              <a:t>Sectorial</a:t>
            </a:r>
            <a:r>
              <a:rPr lang="en-US" sz="1400" baseline="0"/>
              <a:t> Percentage of Total GSVA in </a:t>
            </a:r>
            <a:r>
              <a:rPr lang="en-US" sz="1400"/>
              <a:t>2023-24</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plotArea>
      <c:layout/>
      <c:pieChart>
        <c:varyColors val="1"/>
        <c:ser>
          <c:idx val="0"/>
          <c:order val="0"/>
          <c:tx>
            <c:strRef>
              <c:f>'Sectorial Share'!$D$51</c:f>
              <c:strCache>
                <c:ptCount val="1"/>
                <c:pt idx="0">
                  <c:v>2023-24</c:v>
                </c:pt>
              </c:strCache>
            </c:strRef>
          </c:tx>
          <c:dPt>
            <c:idx val="0"/>
            <c:bubble3D val="0"/>
            <c:spPr>
              <a:solidFill>
                <a:schemeClr val="accent6"/>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543C-49BF-9B4D-5031EDE3B1E7}"/>
              </c:ext>
            </c:extLst>
          </c:dPt>
          <c:dPt>
            <c:idx val="1"/>
            <c:bubble3D val="0"/>
            <c:spPr>
              <a:solidFill>
                <a:schemeClr val="accent5"/>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543C-49BF-9B4D-5031EDE3B1E7}"/>
              </c:ext>
            </c:extLst>
          </c:dPt>
          <c:dPt>
            <c:idx val="2"/>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543C-49BF-9B4D-5031EDE3B1E7}"/>
              </c:ext>
            </c:extLst>
          </c:dPt>
          <c:dLbls>
            <c:dLbl>
              <c:idx val="0"/>
              <c:layout>
                <c:manualLayout>
                  <c:x val="-0.11173452101840398"/>
                  <c:y val="0.1222696876073275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543C-49BF-9B4D-5031EDE3B1E7}"/>
                </c:ext>
              </c:extLst>
            </c:dLbl>
            <c:dLbl>
              <c:idx val="1"/>
              <c:layout>
                <c:manualLayout>
                  <c:x val="-7.2751972588119052E-2"/>
                  <c:y val="-0.16060494732043415"/>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543C-49BF-9B4D-5031EDE3B1E7}"/>
                </c:ext>
              </c:extLst>
            </c:dLbl>
            <c:dLbl>
              <c:idx val="2"/>
              <c:layout>
                <c:manualLayout>
                  <c:x val="0.12761461067366583"/>
                  <c:y val="2.9857465733449984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543C-49BF-9B4D-5031EDE3B1E7}"/>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'Sectorial Share'!$B$52:$B$54</c:f>
              <c:strCache>
                <c:ptCount val="3"/>
                <c:pt idx="0">
                  <c:v>Primary Sector</c:v>
                </c:pt>
                <c:pt idx="1">
                  <c:v>Secondary Sector</c:v>
                </c:pt>
                <c:pt idx="2">
                  <c:v>Tertiary Sector</c:v>
                </c:pt>
              </c:strCache>
            </c:strRef>
          </c:cat>
          <c:val>
            <c:numRef>
              <c:f>'Sectorial Share'!$D$52:$D$54</c:f>
              <c:numCache>
                <c:formatCode>General</c:formatCode>
                <c:ptCount val="3"/>
                <c:pt idx="0">
                  <c:v>29.423815359999999</c:v>
                </c:pt>
                <c:pt idx="1">
                  <c:v>26.624333190000002</c:v>
                </c:pt>
                <c:pt idx="2">
                  <c:v>43.95185146</c:v>
                </c:pt>
              </c:numCache>
            </c:numRef>
          </c:val>
          <c:extLst>
            <c:ext xmlns:c16="http://schemas.microsoft.com/office/drawing/2014/chart" uri="{C3380CC4-5D6E-409C-BE32-E72D297353CC}">
              <c16:uniqueId val="{00000006-543C-49BF-9B4D-5031EDE3B1E7}"/>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withinLinearReversed" id="26">
  <a:schemeClr val="accent6"/>
</cs:colorStyle>
</file>

<file path=word/charts/colors4.xml><?xml version="1.0" encoding="utf-8"?>
<cs:colorStyle xmlns:cs="http://schemas.microsoft.com/office/drawing/2012/chartStyle" xmlns:a="http://schemas.openxmlformats.org/drawingml/2006/main" meth="withinLinearReversed" id="25">
  <a:schemeClr val="accent5"/>
</cs:colorStyle>
</file>

<file path=word/charts/colors5.xml><?xml version="1.0" encoding="utf-8"?>
<cs:colorStyle xmlns:cs="http://schemas.microsoft.com/office/drawing/2012/chartStyle" xmlns:a="http://schemas.openxmlformats.org/drawingml/2006/main" meth="withinLinear" id="17">
  <a:schemeClr val="accent4"/>
</cs:colorStyle>
</file>

<file path=word/charts/colors6.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withinLinearReversed" id="24">
  <a:schemeClr val="accent4"/>
</cs:colorStyle>
</file>

<file path=word/charts/colors10.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3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3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3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3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3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3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3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0.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1.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23043137</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1173</TotalTime>
  <Pages>16</Pages>
  <Words>3901</Words>
  <Characters>22241</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Growth Analysis of Rajasthan’s economy</vt:lpstr>
    </vt:vector>
  </TitlesOfParts>
  <Company/>
  <LinksUpToDate>false</LinksUpToDate>
  <CharactersWithSpaces>26090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Growth Analysis of Rajasthan’s economy</dc:title>
  <dc:subject>2011-24</dc:subject>
  <dc:creator>Vanshika Singh</dc:creator>
  <cp:keywords/>
  <dc:description/>
  <cp:lastModifiedBy>Vanshika Singh</cp:lastModifiedBy>
  <cp:revision>41</cp:revision>
  <dcterms:created xsi:type="dcterms:W3CDTF">2024-10-02T02:49:00Z</dcterms:created>
  <dcterms:modified xsi:type="dcterms:W3CDTF">2024-10-16T02:58:00Z</dcterms:modified>
</cp:coreProperties>
</file>