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B46"/>
          <w:sz w:val="60"/>
        </w:rPr>
        <w:t>BHUMI–NITI</w:t>
      </w:r>
    </w:p>
    <w:p>
      <w:pPr>
        <w:jc w:val="center"/>
      </w:pPr>
      <w:r>
        <w:rPr>
          <w:b/>
          <w:sz w:val="42"/>
        </w:rPr>
        <w:t>Innovation Portal — Product &amp; UI Completion Specification</w:t>
      </w:r>
    </w:p>
    <w:p>
      <w:pPr>
        <w:jc w:val="center"/>
      </w:pPr>
      <w:r>
        <w:rPr>
          <w:color w:val="60736A"/>
          <w:sz w:val="22"/>
        </w:rPr>
        <w:t>National Digital Platform for Research, Policy Innovation &amp; Evidence-Based Land Governance</w:t>
      </w:r>
    </w:p>
    <w:tbl>
      <w:tblPr>
        <w:tblW w:type="auto" w:w="0"/>
        <w:jc w:val="center"/>
        <w:tblLook w:firstColumn="1" w:firstRow="1" w:lastColumn="0" w:lastRow="0" w:noHBand="0" w:noVBand="1" w:val="04A0"/>
      </w:tblPr>
      <w:tblGrid>
        <w:gridCol w:w="10224"/>
      </w:tblGrid>
      <w:tr>
        <w:tc>
          <w:tcPr>
            <w:tcW w:type="dxa" w:w="10224"/>
            <w:shd w:fill="EAF5EF"/>
          </w:tcPr>
          <w:p>
            <w:r>
              <w:rPr>
                <w:b/>
                <w:color w:val="006B46"/>
                <w:sz w:val="22"/>
              </w:rPr>
              <w:t>PURPOSE</w:t>
              <w:br/>
            </w:r>
            <w:r>
              <w:rPr>
                <w:color w:val="17231D"/>
                <w:sz w:val="19"/>
              </w:rPr>
              <w:t>Turn the existing Innovation Portal into a credible national land-governance innovation marketplace: a place where researchers, students, startups, government teams and institutions discover challenges, submit solutions, form teams, run pilots, publish outcomes and connect evidence back to policy.</w:t>
            </w:r>
          </w:p>
        </w:tc>
      </w:tr>
    </w:tbl>
    <w:p>
      <w:pPr>
        <w:pStyle w:val="Heading1"/>
      </w:pPr>
      <w:r>
        <w:t>1. Product goal</w:t>
      </w:r>
    </w:p>
    <w:p>
      <w:r>
        <w:t>The Innovation Portal should be the execution layer between the BHUMI–NITI Research Hub, GIS intelligence, datasets, policy simulations and the multilingual AI Copilot. It should feel like a serious national research-and-governance platform, not a generic hackathon page.</w:t>
      </w:r>
    </w:p>
    <w:p>
      <w:pPr>
        <w:pStyle w:val="ListBullet"/>
        <w:spacing w:after="40"/>
      </w:pPr>
      <w:r>
        <w:t>Discover government challenges, research calls, grants, pilots and innovation opportunities.</w:t>
      </w:r>
    </w:p>
    <w:p>
      <w:pPr>
        <w:pStyle w:val="ListBullet"/>
        <w:spacing w:after="40"/>
      </w:pPr>
      <w:r>
        <w:t>Let innovators submit proposals, datasets, prototypes, models and implementation plans.</w:t>
      </w:r>
    </w:p>
    <w:p>
      <w:pPr>
        <w:pStyle w:val="ListBullet"/>
        <w:spacing w:after="40"/>
      </w:pPr>
      <w:r>
        <w:t>Create persistent collaborative workspaces for accepted projects.</w:t>
      </w:r>
    </w:p>
    <w:p>
      <w:pPr>
        <w:pStyle w:val="ListBullet"/>
        <w:spacing w:after="40"/>
      </w:pPr>
      <w:r>
        <w:t>Connect each challenge to research papers, policy documents, datasets and GIS evidence.</w:t>
      </w:r>
    </w:p>
    <w:p>
      <w:pPr>
        <w:pStyle w:val="ListBullet"/>
        <w:spacing w:after="40"/>
      </w:pPr>
      <w:r>
        <w:t>Track Challenge → Evidence → Build → Review → Pilot → Measure → Policy Learning → Scale.</w:t>
      </w:r>
    </w:p>
    <w:p>
      <w:pPr>
        <w:pStyle w:val="ListBullet"/>
        <w:spacing w:after="40"/>
      </w:pPr>
      <w:r>
        <w:t>Show measurable outcomes and evidence rather than only project cards or winner badges.</w:t>
      </w:r>
    </w:p>
    <w:p>
      <w:pPr>
        <w:pStyle w:val="Heading1"/>
      </w:pPr>
      <w:r>
        <w:t>2. Recommended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06B46"/>
          </w:tcPr>
          <w:p>
            <w:r/>
            <w:r>
              <w:rPr>
                <w:rFonts w:ascii="Aptos" w:hAnsi="Aptos"/>
                <w:b/>
                <w:color w:val="FFFFFF"/>
                <w:sz w:val="18"/>
              </w:rPr>
              <w:t>Route / Area</w:t>
            </w:r>
          </w:p>
        </w:tc>
        <w:tc>
          <w:tcPr>
            <w:tcW w:type="dxa" w:w="3408"/>
            <w:vAlign w:val="center"/>
            <w:shd w:fill="006B46"/>
          </w:tcPr>
          <w:p>
            <w:r/>
            <w:r>
              <w:rPr>
                <w:rFonts w:ascii="Aptos" w:hAnsi="Aptos"/>
                <w:b/>
                <w:color w:val="FFFFFF"/>
                <w:sz w:val="18"/>
              </w:rPr>
              <w:t>Purpose</w:t>
            </w:r>
          </w:p>
        </w:tc>
        <w:tc>
          <w:tcPr>
            <w:tcW w:type="dxa" w:w="3408"/>
            <w:vAlign w:val="center"/>
            <w:shd w:fill="006B46"/>
          </w:tcPr>
          <w:p>
            <w:r/>
            <w:r>
              <w:rPr>
                <w:rFonts w:ascii="Aptos" w:hAnsi="Aptos"/>
                <w:b/>
                <w:color w:val="FFFFFF"/>
                <w:sz w:val="18"/>
              </w:rPr>
              <w:t>Key UI</w:t>
            </w:r>
          </w:p>
        </w:tc>
      </w:tr>
      <w:tr>
        <w:tc>
          <w:tcPr>
            <w:tcW w:type="dxa" w:w="3408"/>
            <w:vAlign w:val="center"/>
          </w:tcPr>
          <w:p>
            <w:r/>
            <w:r>
              <w:rPr>
                <w:rFonts w:ascii="Aptos" w:hAnsi="Aptos"/>
                <w:b/>
                <w:color w:val="006B46"/>
                <w:sz w:val="16"/>
              </w:rPr>
              <w:t>Innovation Home</w:t>
            </w:r>
          </w:p>
        </w:tc>
        <w:tc>
          <w:tcPr>
            <w:tcW w:type="dxa" w:w="3408"/>
            <w:vAlign w:val="center"/>
          </w:tcPr>
          <w:p>
            <w:r/>
            <w:r>
              <w:rPr>
                <w:rFonts w:ascii="Aptos" w:hAnsi="Aptos"/>
                <w:b w:val="0"/>
                <w:color w:val="17231D"/>
                <w:sz w:val="16"/>
              </w:rPr>
              <w:t>National ecosystem overview</w:t>
            </w:r>
          </w:p>
        </w:tc>
        <w:tc>
          <w:tcPr>
            <w:tcW w:type="dxa" w:w="3408"/>
            <w:vAlign w:val="center"/>
          </w:tcPr>
          <w:p>
            <w:r/>
            <w:r>
              <w:rPr>
                <w:rFonts w:ascii="Aptos" w:hAnsi="Aptos"/>
                <w:b w:val="0"/>
                <w:color w:val="17231D"/>
                <w:sz w:val="16"/>
              </w:rPr>
              <w:t>Hero, active calls, impact counters, pipeline</w:t>
            </w:r>
          </w:p>
        </w:tc>
      </w:tr>
      <w:tr>
        <w:tc>
          <w:tcPr>
            <w:tcW w:type="dxa" w:w="3408"/>
            <w:vAlign w:val="center"/>
          </w:tcPr>
          <w:p>
            <w:r/>
            <w:r>
              <w:rPr>
                <w:rFonts w:ascii="Aptos" w:hAnsi="Aptos"/>
                <w:b/>
                <w:color w:val="006B46"/>
                <w:sz w:val="16"/>
              </w:rPr>
              <w:t>Challenges</w:t>
            </w:r>
          </w:p>
        </w:tc>
        <w:tc>
          <w:tcPr>
            <w:tcW w:type="dxa" w:w="3408"/>
            <w:vAlign w:val="center"/>
          </w:tcPr>
          <w:p>
            <w:r/>
            <w:r>
              <w:rPr>
                <w:rFonts w:ascii="Aptos" w:hAnsi="Aptos"/>
                <w:b w:val="0"/>
                <w:color w:val="17231D"/>
                <w:sz w:val="16"/>
              </w:rPr>
              <w:t>Discover problem statements</w:t>
            </w:r>
          </w:p>
        </w:tc>
        <w:tc>
          <w:tcPr>
            <w:tcW w:type="dxa" w:w="3408"/>
            <w:vAlign w:val="center"/>
          </w:tcPr>
          <w:p>
            <w:r/>
            <w:r>
              <w:rPr>
                <w:rFonts w:ascii="Aptos" w:hAnsi="Aptos"/>
                <w:b w:val="0"/>
                <w:color w:val="17231D"/>
                <w:sz w:val="16"/>
              </w:rPr>
              <w:t>Filters, cards, map, status and deadline</w:t>
            </w:r>
          </w:p>
        </w:tc>
      </w:tr>
      <w:tr>
        <w:tc>
          <w:tcPr>
            <w:tcW w:type="dxa" w:w="3408"/>
            <w:vAlign w:val="center"/>
          </w:tcPr>
          <w:p>
            <w:r/>
            <w:r>
              <w:rPr>
                <w:rFonts w:ascii="Aptos" w:hAnsi="Aptos"/>
                <w:b/>
                <w:color w:val="006B46"/>
                <w:sz w:val="16"/>
              </w:rPr>
              <w:t>Challenge Detail</w:t>
            </w:r>
          </w:p>
        </w:tc>
        <w:tc>
          <w:tcPr>
            <w:tcW w:type="dxa" w:w="3408"/>
            <w:vAlign w:val="center"/>
          </w:tcPr>
          <w:p>
            <w:r/>
            <w:r>
              <w:rPr>
                <w:rFonts w:ascii="Aptos" w:hAnsi="Aptos"/>
                <w:b w:val="0"/>
                <w:color w:val="17231D"/>
                <w:sz w:val="16"/>
              </w:rPr>
              <w:t>Understand a problem deeply</w:t>
            </w:r>
          </w:p>
        </w:tc>
        <w:tc>
          <w:tcPr>
            <w:tcW w:type="dxa" w:w="3408"/>
            <w:vAlign w:val="center"/>
          </w:tcPr>
          <w:p>
            <w:r/>
            <w:r>
              <w:rPr>
                <w:rFonts w:ascii="Aptos" w:hAnsi="Aptos"/>
                <w:b w:val="0"/>
                <w:color w:val="17231D"/>
                <w:sz w:val="16"/>
              </w:rPr>
              <w:t>PS, geography, evidence, datasets, eligibility</w:t>
            </w:r>
          </w:p>
        </w:tc>
      </w:tr>
      <w:tr>
        <w:tc>
          <w:tcPr>
            <w:tcW w:type="dxa" w:w="3408"/>
            <w:vAlign w:val="center"/>
          </w:tcPr>
          <w:p>
            <w:r/>
            <w:r>
              <w:rPr>
                <w:rFonts w:ascii="Aptos" w:hAnsi="Aptos"/>
                <w:b/>
                <w:color w:val="006B46"/>
                <w:sz w:val="16"/>
              </w:rPr>
              <w:t>Submit Solution</w:t>
            </w:r>
          </w:p>
        </w:tc>
        <w:tc>
          <w:tcPr>
            <w:tcW w:type="dxa" w:w="3408"/>
            <w:vAlign w:val="center"/>
          </w:tcPr>
          <w:p>
            <w:r/>
            <w:r>
              <w:rPr>
                <w:rFonts w:ascii="Aptos" w:hAnsi="Aptos"/>
                <w:b w:val="0"/>
                <w:color w:val="17231D"/>
                <w:sz w:val="16"/>
              </w:rPr>
              <w:t>Structured proposal intake</w:t>
            </w:r>
          </w:p>
        </w:tc>
        <w:tc>
          <w:tcPr>
            <w:tcW w:type="dxa" w:w="3408"/>
            <w:vAlign w:val="center"/>
          </w:tcPr>
          <w:p>
            <w:r/>
            <w:r>
              <w:rPr>
                <w:rFonts w:ascii="Aptos" w:hAnsi="Aptos"/>
                <w:b w:val="0"/>
                <w:color w:val="17231D"/>
                <w:sz w:val="16"/>
              </w:rPr>
              <w:t>6-step wizard, team, evidence, pilot and KPIs</w:t>
            </w:r>
          </w:p>
        </w:tc>
      </w:tr>
      <w:tr>
        <w:tc>
          <w:tcPr>
            <w:tcW w:type="dxa" w:w="3408"/>
            <w:vAlign w:val="center"/>
          </w:tcPr>
          <w:p>
            <w:r/>
            <w:r>
              <w:rPr>
                <w:rFonts w:ascii="Aptos" w:hAnsi="Aptos"/>
                <w:b/>
                <w:color w:val="006B46"/>
                <w:sz w:val="16"/>
              </w:rPr>
              <w:t>Workspaces</w:t>
            </w:r>
          </w:p>
        </w:tc>
        <w:tc>
          <w:tcPr>
            <w:tcW w:type="dxa" w:w="3408"/>
            <w:vAlign w:val="center"/>
          </w:tcPr>
          <w:p>
            <w:r/>
            <w:r>
              <w:rPr>
                <w:rFonts w:ascii="Aptos" w:hAnsi="Aptos"/>
                <w:b w:val="0"/>
                <w:color w:val="17231D"/>
                <w:sz w:val="16"/>
              </w:rPr>
              <w:t>Collaborative project execution</w:t>
            </w:r>
          </w:p>
        </w:tc>
        <w:tc>
          <w:tcPr>
            <w:tcW w:type="dxa" w:w="3408"/>
            <w:vAlign w:val="center"/>
          </w:tcPr>
          <w:p>
            <w:r/>
            <w:r>
              <w:rPr>
                <w:rFonts w:ascii="Aptos" w:hAnsi="Aptos"/>
                <w:b w:val="0"/>
                <w:color w:val="17231D"/>
                <w:sz w:val="16"/>
              </w:rPr>
              <w:t>Tasks, files, discussions, GIS, AI, milestones</w:t>
            </w:r>
          </w:p>
        </w:tc>
      </w:tr>
      <w:tr>
        <w:tc>
          <w:tcPr>
            <w:tcW w:type="dxa" w:w="3408"/>
            <w:vAlign w:val="center"/>
          </w:tcPr>
          <w:p>
            <w:r/>
            <w:r>
              <w:rPr>
                <w:rFonts w:ascii="Aptos" w:hAnsi="Aptos"/>
                <w:b/>
                <w:color w:val="006B46"/>
                <w:sz w:val="16"/>
              </w:rPr>
              <w:t>Pilots</w:t>
            </w:r>
          </w:p>
        </w:tc>
        <w:tc>
          <w:tcPr>
            <w:tcW w:type="dxa" w:w="3408"/>
            <w:vAlign w:val="center"/>
          </w:tcPr>
          <w:p>
            <w:r/>
            <w:r>
              <w:rPr>
                <w:rFonts w:ascii="Aptos" w:hAnsi="Aptos"/>
                <w:b w:val="0"/>
                <w:color w:val="17231D"/>
                <w:sz w:val="16"/>
              </w:rPr>
              <w:t>Track experiments</w:t>
            </w:r>
          </w:p>
        </w:tc>
        <w:tc>
          <w:tcPr>
            <w:tcW w:type="dxa" w:w="3408"/>
            <w:vAlign w:val="center"/>
          </w:tcPr>
          <w:p>
            <w:r/>
            <w:r>
              <w:rPr>
                <w:rFonts w:ascii="Aptos" w:hAnsi="Aptos"/>
                <w:b w:val="0"/>
                <w:color w:val="17231D"/>
                <w:sz w:val="16"/>
              </w:rPr>
              <w:t>Pilot map, status, KPI and evidence</w:t>
            </w:r>
          </w:p>
        </w:tc>
      </w:tr>
      <w:tr>
        <w:tc>
          <w:tcPr>
            <w:tcW w:type="dxa" w:w="3408"/>
            <w:vAlign w:val="center"/>
          </w:tcPr>
          <w:p>
            <w:r/>
            <w:r>
              <w:rPr>
                <w:rFonts w:ascii="Aptos" w:hAnsi="Aptos"/>
                <w:b/>
                <w:color w:val="006B46"/>
                <w:sz w:val="16"/>
              </w:rPr>
              <w:t>Grants &amp; Fellowships</w:t>
            </w:r>
          </w:p>
        </w:tc>
        <w:tc>
          <w:tcPr>
            <w:tcW w:type="dxa" w:w="3408"/>
            <w:vAlign w:val="center"/>
          </w:tcPr>
          <w:p>
            <w:r/>
            <w:r>
              <w:rPr>
                <w:rFonts w:ascii="Aptos" w:hAnsi="Aptos"/>
                <w:b w:val="0"/>
                <w:color w:val="17231D"/>
                <w:sz w:val="16"/>
              </w:rPr>
              <w:t>Fund research/innovation</w:t>
            </w:r>
          </w:p>
        </w:tc>
        <w:tc>
          <w:tcPr>
            <w:tcW w:type="dxa" w:w="3408"/>
            <w:vAlign w:val="center"/>
          </w:tcPr>
          <w:p>
            <w:r/>
            <w:r>
              <w:rPr>
                <w:rFonts w:ascii="Aptos" w:hAnsi="Aptos"/>
                <w:b w:val="0"/>
                <w:color w:val="17231D"/>
                <w:sz w:val="16"/>
              </w:rPr>
              <w:t>Calls, eligibility, deadlines, applications</w:t>
            </w:r>
          </w:p>
        </w:tc>
      </w:tr>
      <w:tr>
        <w:tc>
          <w:tcPr>
            <w:tcW w:type="dxa" w:w="3408"/>
            <w:vAlign w:val="center"/>
          </w:tcPr>
          <w:p>
            <w:r/>
            <w:r>
              <w:rPr>
                <w:rFonts w:ascii="Aptos" w:hAnsi="Aptos"/>
                <w:b/>
                <w:color w:val="006B46"/>
                <w:sz w:val="16"/>
              </w:rPr>
              <w:t>Impact</w:t>
            </w:r>
          </w:p>
        </w:tc>
        <w:tc>
          <w:tcPr>
            <w:tcW w:type="dxa" w:w="3408"/>
            <w:vAlign w:val="center"/>
          </w:tcPr>
          <w:p>
            <w:r/>
            <w:r>
              <w:rPr>
                <w:rFonts w:ascii="Aptos" w:hAnsi="Aptos"/>
                <w:b w:val="0"/>
                <w:color w:val="17231D"/>
                <w:sz w:val="16"/>
              </w:rPr>
              <w:t>Show ecosystem outcomes</w:t>
            </w:r>
          </w:p>
        </w:tc>
        <w:tc>
          <w:tcPr>
            <w:tcW w:type="dxa" w:w="3408"/>
            <w:vAlign w:val="center"/>
          </w:tcPr>
          <w:p>
            <w:r/>
            <w:r>
              <w:rPr>
                <w:rFonts w:ascii="Aptos" w:hAnsi="Aptos"/>
                <w:b w:val="0"/>
                <w:color w:val="17231D"/>
                <w:sz w:val="16"/>
              </w:rPr>
              <w:t>State map, funnel, KPIs, completed pilots</w:t>
            </w:r>
          </w:p>
        </w:tc>
      </w:tr>
      <w:tr>
        <w:tc>
          <w:tcPr>
            <w:tcW w:type="dxa" w:w="3408"/>
            <w:vAlign w:val="center"/>
          </w:tcPr>
          <w:p>
            <w:r/>
            <w:r>
              <w:rPr>
                <w:rFonts w:ascii="Aptos" w:hAnsi="Aptos"/>
                <w:b/>
                <w:color w:val="006B46"/>
                <w:sz w:val="16"/>
              </w:rPr>
              <w:t>My Innovation</w:t>
            </w:r>
          </w:p>
        </w:tc>
        <w:tc>
          <w:tcPr>
            <w:tcW w:type="dxa" w:w="3408"/>
            <w:vAlign w:val="center"/>
          </w:tcPr>
          <w:p>
            <w:r/>
            <w:r>
              <w:rPr>
                <w:rFonts w:ascii="Aptos" w:hAnsi="Aptos"/>
                <w:b w:val="0"/>
                <w:color w:val="17231D"/>
                <w:sz w:val="16"/>
              </w:rPr>
              <w:t>Personal/team control centre</w:t>
            </w:r>
          </w:p>
        </w:tc>
        <w:tc>
          <w:tcPr>
            <w:tcW w:type="dxa" w:w="3408"/>
            <w:vAlign w:val="center"/>
          </w:tcPr>
          <w:p>
            <w:r/>
            <w:r>
              <w:rPr>
                <w:rFonts w:ascii="Aptos" w:hAnsi="Aptos"/>
                <w:b w:val="0"/>
                <w:color w:val="17231D"/>
                <w:sz w:val="16"/>
              </w:rPr>
              <w:t>Drafts, submissions, tasks, reviews</w:t>
            </w:r>
          </w:p>
        </w:tc>
      </w:tr>
    </w:tbl>
    <w:p>
      <w:pPr>
        <w:pStyle w:val="Heading1"/>
      </w:pPr>
      <w:r>
        <w:t>3. Innovation homepage</w:t>
      </w:r>
    </w:p>
    <w:p>
      <w:pPr>
        <w:pStyle w:val="ListBullet"/>
        <w:spacing w:after="40"/>
      </w:pPr>
      <w:r>
        <w:t>Hero: “Where land-governance ideas become tested solutions.”</w:t>
      </w:r>
    </w:p>
    <w:p>
      <w:pPr>
        <w:pStyle w:val="ListBullet"/>
        <w:spacing w:after="40"/>
      </w:pPr>
      <w:r>
        <w:t>Subheadline: “Discover challenges. Build with evidence. Pilot in the real world.”</w:t>
      </w:r>
    </w:p>
    <w:p>
      <w:pPr>
        <w:pStyle w:val="ListBullet"/>
        <w:spacing w:after="40"/>
      </w:pPr>
      <w:r>
        <w:t>Primary CTA: Explore Challenges. Secondary CTA: Launch an Innovation Call.</w:t>
      </w:r>
    </w:p>
    <w:p>
      <w:pPr>
        <w:pStyle w:val="ListBullet"/>
        <w:spacing w:after="40"/>
      </w:pPr>
      <w:r>
        <w:t>Animated India/GIS-inspired visual showing Challenge → Research → Dataset → Prototype → Pilot → Policy.</w:t>
      </w:r>
    </w:p>
    <w:p>
      <w:pPr>
        <w:pStyle w:val="ListBullet"/>
        <w:spacing w:after="40"/>
      </w:pPr>
      <w:r>
        <w:t>Live Innovation Pulse: active challenges, open grants, ongoing pilots, participating institutions, submissions and completed pilots.</w:t>
      </w:r>
    </w:p>
    <w:p>
      <w:pPr>
        <w:pStyle w:val="ListBullet"/>
        <w:spacing w:after="40"/>
      </w:pPr>
      <w:r>
        <w:t>Featured Challenge cards with issuing institution, problem, geography, tags, funding/prize, deadline and status.</w:t>
      </w:r>
    </w:p>
    <w:p>
      <w:pPr>
        <w:pStyle w:val="ListBullet"/>
        <w:spacing w:after="40"/>
      </w:pPr>
      <w:r>
        <w:t>Research-to-Innovation Bridge showing papers, datasets, GIS layers and policy documents connected to active challenges.</w:t>
      </w:r>
    </w:p>
    <w:p>
      <w:pPr>
        <w:pStyle w:val="ListBullet"/>
        <w:spacing w:after="40"/>
      </w:pPr>
      <w:r>
        <w:t>India Pilot Map with filters for land use, climate, disputes, urbanization, digital records, agriculture and infrastructure.</w:t>
      </w:r>
    </w:p>
    <w:p>
      <w:pPr>
        <w:pStyle w:val="ListBullet"/>
        <w:spacing w:after="40"/>
      </w:pPr>
      <w:r>
        <w:t>Impact Stories with problem → intervention → KPI → outcome; mark demo/prototype data clearly.</w:t>
      </w:r>
    </w:p>
    <w:p>
      <w:pPr>
        <w:pStyle w:val="Heading1"/>
      </w:pPr>
      <w:r>
        <w:t>4. Challenge detail page</w:t>
      </w:r>
    </w:p>
    <w:p>
      <w:r>
        <w:t>Make this the strongest screen. It should read like a government research brief plus an innovation workspace entry point.</w:t>
      </w:r>
    </w:p>
    <w:p>
      <w:pPr>
        <w:pStyle w:val="ListNumber"/>
        <w:spacing w:after="60"/>
      </w:pPr>
      <w:r>
        <w:t>Header: Featured Challenge, title, issuing institution and status.</w:t>
      </w:r>
    </w:p>
    <w:p>
      <w:pPr>
        <w:pStyle w:val="ListNumber"/>
        <w:spacing w:after="60"/>
      </w:pPr>
      <w:r>
        <w:t>Problem statement and why the governance problem matters.</w:t>
      </w:r>
    </w:p>
    <w:p>
      <w:pPr>
        <w:pStyle w:val="ListNumber"/>
        <w:spacing w:after="60"/>
      </w:pPr>
      <w:r>
        <w:t>Geographic scope: India/state/district/pilot areas.</w:t>
      </w:r>
    </w:p>
    <w:p>
      <w:pPr>
        <w:pStyle w:val="ListNumber"/>
        <w:spacing w:after="60"/>
      </w:pPr>
      <w:r>
        <w:t>Evidence panel: research, datasets, satellite/GIS layers, land records and policy documents.</w:t>
      </w:r>
    </w:p>
    <w:p>
      <w:pPr>
        <w:pStyle w:val="ListNumber"/>
        <w:spacing w:after="60"/>
      </w:pPr>
      <w:r>
        <w:t>Expected outputs: model, dashboard, API, research prototype, policy experiment or field pilot.</w:t>
      </w:r>
    </w:p>
    <w:p>
      <w:pPr>
        <w:pStyle w:val="ListNumber"/>
        <w:spacing w:after="60"/>
      </w:pPr>
      <w:r>
        <w:t>Eligibility, team requirements and timeline.</w:t>
      </w:r>
    </w:p>
    <w:p>
      <w:pPr>
        <w:pStyle w:val="ListNumber"/>
        <w:spacing w:after="60"/>
      </w:pPr>
      <w:r>
        <w:t>Evaluation criteria: evidence quality, feasibility, governance value, scalability, explainability and measurable impact.</w:t>
      </w:r>
    </w:p>
    <w:p>
      <w:pPr>
        <w:pStyle w:val="ListNumber"/>
        <w:spacing w:after="60"/>
      </w:pPr>
      <w:r>
        <w:t>Resources: data dictionary, APIs, sample data, GIS layers and reference documents.</w:t>
      </w:r>
    </w:p>
    <w:p>
      <w:pPr>
        <w:pStyle w:val="ListNumber"/>
        <w:spacing w:after="60"/>
      </w:pPr>
      <w:r>
        <w:t>Find Collaborators CTA for GIS, ML, policy, domain and field expertise.</w:t>
      </w:r>
    </w:p>
    <w:p>
      <w:pPr>
        <w:pStyle w:val="ListNumber"/>
        <w:spacing w:after="60"/>
      </w:pPr>
      <w:r>
        <w:t>Build a Solution CTA that opens the structured submission workflow.</w:t>
      </w:r>
    </w:p>
    <w:p>
      <w:pPr>
        <w:pStyle w:val="Heading1"/>
      </w:pPr>
      <w:r>
        <w:t>5. Submission wizard</w:t>
      </w:r>
    </w:p>
    <w:tbl>
      <w:tblPr>
        <w:tblW w:type="auto" w:w="0"/>
        <w:jc w:val="center"/>
        <w:tblLook w:firstColumn="1" w:firstRow="1" w:lastColumn="0" w:lastRow="0" w:noHBand="0" w:noVBand="1" w:val="04A0"/>
      </w:tblPr>
      <w:tblGrid>
        <w:gridCol w:w="10224"/>
      </w:tblGrid>
      <w:tr>
        <w:tc>
          <w:tcPr>
            <w:tcW w:type="dxa" w:w="10224"/>
            <w:shd w:fill="FFF7DD"/>
          </w:tcPr>
          <w:p>
            <w:r>
              <w:rPr>
                <w:b/>
                <w:color w:val="006B46"/>
                <w:sz w:val="22"/>
              </w:rPr>
              <w:t>DO NOT USE ONE HUGE FORM</w:t>
              <w:br/>
            </w:r>
            <w:r>
              <w:rPr>
                <w:color w:val="17231D"/>
                <w:sz w:val="19"/>
              </w:rPr>
              <w:t>Use a 5–6 step autosaving wizard with a visible completion indicator.</w:t>
            </w:r>
          </w:p>
        </w:tc>
      </w:tr>
    </w:tbl>
    <w:p>
      <w:pPr>
        <w:pStyle w:val="ListNumber"/>
        <w:spacing w:after="60"/>
      </w:pPr>
      <w:r>
        <w:t>Problem &amp; Approach — problem, hypothesis and intervention.</w:t>
      </w:r>
    </w:p>
    <w:p>
      <w:pPr>
        <w:pStyle w:val="ListNumber"/>
        <w:spacing w:after="60"/>
      </w:pPr>
      <w:r>
        <w:t>Team — members, institution, roles and expertise.</w:t>
      </w:r>
    </w:p>
    <w:p>
      <w:pPr>
        <w:pStyle w:val="ListNumber"/>
        <w:spacing w:after="60"/>
      </w:pPr>
      <w:r>
        <w:t>Evidence &amp; Data — datasets, GIS layers, research papers, APIs and assumptions.</w:t>
      </w:r>
    </w:p>
    <w:p>
      <w:pPr>
        <w:pStyle w:val="ListNumber"/>
        <w:spacing w:after="60"/>
      </w:pPr>
      <w:r>
        <w:t>Solution — architecture, methodology, model/prototype or policy mechanism.</w:t>
      </w:r>
    </w:p>
    <w:p>
      <w:pPr>
        <w:pStyle w:val="ListNumber"/>
        <w:spacing w:after="60"/>
      </w:pPr>
      <w:r>
        <w:t>Pilot Plan — location, users, implementation partners, timeline and resources.</w:t>
      </w:r>
    </w:p>
    <w:p>
      <w:pPr>
        <w:pStyle w:val="ListNumber"/>
        <w:spacing w:after="60"/>
      </w:pPr>
      <w:r>
        <w:t>Measurement — baseline, KPIs, treatment/control where appropriate, risks and evidence collection.</w:t>
      </w:r>
    </w:p>
    <w:p>
      <w:pPr>
        <w:pStyle w:val="Heading1"/>
      </w:pPr>
      <w:r>
        <w:t>6. Collaborative Innovation Workspace</w:t>
      </w:r>
    </w:p>
    <w:p>
      <w:r>
        <w:t>This is the feature that makes BHUMI–NITI materially different from a normal hackathon portal. Every accepted submission should become a persistent project workspace.</w:t>
      </w:r>
    </w:p>
    <w:tbl>
      <w:tblPr>
        <w:tblStyle w:val="TableGrid"/>
        <w:tblW w:type="auto" w:w="0"/>
        <w:tblLook w:firstColumn="1" w:firstRow="1" w:lastColumn="0" w:lastRow="0" w:noHBand="0" w:noVBand="1" w:val="04A0"/>
      </w:tblPr>
      <w:tblGrid>
        <w:gridCol w:w="5112"/>
        <w:gridCol w:w="5112"/>
      </w:tblGrid>
      <w:tr>
        <w:tc>
          <w:tcPr>
            <w:tcW w:type="dxa" w:w="5112"/>
            <w:vAlign w:val="center"/>
            <w:shd w:fill="006B46"/>
          </w:tcPr>
          <w:p>
            <w:r/>
            <w:r>
              <w:rPr>
                <w:rFonts w:ascii="Aptos" w:hAnsi="Aptos"/>
                <w:b/>
                <w:color w:val="FFFFFF"/>
                <w:sz w:val="18"/>
              </w:rPr>
              <w:t>Workspace module</w:t>
            </w:r>
          </w:p>
        </w:tc>
        <w:tc>
          <w:tcPr>
            <w:tcW w:type="dxa" w:w="5112"/>
            <w:vAlign w:val="center"/>
            <w:shd w:fill="006B46"/>
          </w:tcPr>
          <w:p>
            <w:r/>
            <w:r>
              <w:rPr>
                <w:rFonts w:ascii="Aptos" w:hAnsi="Aptos"/>
                <w:b/>
                <w:color w:val="FFFFFF"/>
                <w:sz w:val="18"/>
              </w:rPr>
              <w:t>Required behaviour</w:t>
            </w:r>
          </w:p>
        </w:tc>
      </w:tr>
      <w:tr>
        <w:tc>
          <w:tcPr>
            <w:tcW w:type="dxa" w:w="5112"/>
            <w:vAlign w:val="center"/>
          </w:tcPr>
          <w:p>
            <w:r/>
            <w:r>
              <w:rPr>
                <w:rFonts w:ascii="Aptos" w:hAnsi="Aptos"/>
                <w:b/>
                <w:color w:val="006B46"/>
                <w:sz w:val="17"/>
              </w:rPr>
              <w:t>Workspace Header</w:t>
            </w:r>
          </w:p>
        </w:tc>
        <w:tc>
          <w:tcPr>
            <w:tcW w:type="dxa" w:w="5112"/>
            <w:vAlign w:val="center"/>
          </w:tcPr>
          <w:p>
            <w:r/>
            <w:r>
              <w:rPr>
                <w:rFonts w:ascii="Aptos" w:hAnsi="Aptos"/>
                <w:b w:val="0"/>
                <w:color w:val="17231D"/>
                <w:sz w:val="17"/>
              </w:rPr>
              <w:t>Project, challenge, team, institution, pilot geography, status and progress.</w:t>
            </w:r>
          </w:p>
        </w:tc>
      </w:tr>
      <w:tr>
        <w:tc>
          <w:tcPr>
            <w:tcW w:type="dxa" w:w="5112"/>
            <w:vAlign w:val="center"/>
          </w:tcPr>
          <w:p>
            <w:r/>
            <w:r>
              <w:rPr>
                <w:rFonts w:ascii="Aptos" w:hAnsi="Aptos"/>
                <w:b/>
                <w:color w:val="006B46"/>
                <w:sz w:val="17"/>
              </w:rPr>
              <w:t>Project Overview</w:t>
            </w:r>
          </w:p>
        </w:tc>
        <w:tc>
          <w:tcPr>
            <w:tcW w:type="dxa" w:w="5112"/>
            <w:vAlign w:val="center"/>
          </w:tcPr>
          <w:p>
            <w:r/>
            <w:r>
              <w:rPr>
                <w:rFonts w:ascii="Aptos" w:hAnsi="Aptos"/>
                <w:b w:val="0"/>
                <w:color w:val="17231D"/>
                <w:sz w:val="17"/>
              </w:rPr>
              <w:t>Problem, hypothesis, solution summary, current milestone and next action.</w:t>
            </w:r>
          </w:p>
        </w:tc>
      </w:tr>
      <w:tr>
        <w:tc>
          <w:tcPr>
            <w:tcW w:type="dxa" w:w="5112"/>
            <w:vAlign w:val="center"/>
          </w:tcPr>
          <w:p>
            <w:r/>
            <w:r>
              <w:rPr>
                <w:rFonts w:ascii="Aptos" w:hAnsi="Aptos"/>
                <w:b/>
                <w:color w:val="006B46"/>
                <w:sz w:val="17"/>
              </w:rPr>
              <w:t>Evidence Locker</w:t>
            </w:r>
          </w:p>
        </w:tc>
        <w:tc>
          <w:tcPr>
            <w:tcW w:type="dxa" w:w="5112"/>
            <w:vAlign w:val="center"/>
          </w:tcPr>
          <w:p>
            <w:r/>
            <w:r>
              <w:rPr>
                <w:rFonts w:ascii="Aptos" w:hAnsi="Aptos"/>
                <w:b w:val="0"/>
                <w:color w:val="17231D"/>
                <w:sz w:val="17"/>
              </w:rPr>
              <w:t>Shared papers, policy documents, datasets, satellite references, GIS layers and citations.</w:t>
            </w:r>
          </w:p>
        </w:tc>
      </w:tr>
      <w:tr>
        <w:tc>
          <w:tcPr>
            <w:tcW w:type="dxa" w:w="5112"/>
            <w:vAlign w:val="center"/>
          </w:tcPr>
          <w:p>
            <w:r/>
            <w:r>
              <w:rPr>
                <w:rFonts w:ascii="Aptos" w:hAnsi="Aptos"/>
                <w:b/>
                <w:color w:val="006B46"/>
                <w:sz w:val="17"/>
              </w:rPr>
              <w:t>Research Board</w:t>
            </w:r>
          </w:p>
        </w:tc>
        <w:tc>
          <w:tcPr>
            <w:tcW w:type="dxa" w:w="5112"/>
            <w:vAlign w:val="center"/>
          </w:tcPr>
          <w:p>
            <w:r/>
            <w:r>
              <w:rPr>
                <w:rFonts w:ascii="Aptos" w:hAnsi="Aptos"/>
                <w:b w:val="0"/>
                <w:color w:val="17231D"/>
                <w:sz w:val="17"/>
              </w:rPr>
              <w:t>Literature notes, findings, hypotheses, evidence-backed comments.</w:t>
            </w:r>
          </w:p>
        </w:tc>
      </w:tr>
      <w:tr>
        <w:tc>
          <w:tcPr>
            <w:tcW w:type="dxa" w:w="5112"/>
            <w:vAlign w:val="center"/>
          </w:tcPr>
          <w:p>
            <w:r/>
            <w:r>
              <w:rPr>
                <w:rFonts w:ascii="Aptos" w:hAnsi="Aptos"/>
                <w:b/>
                <w:color w:val="006B46"/>
                <w:sz w:val="17"/>
              </w:rPr>
              <w:t>GIS Workspace</w:t>
            </w:r>
          </w:p>
        </w:tc>
        <w:tc>
          <w:tcPr>
            <w:tcW w:type="dxa" w:w="5112"/>
            <w:vAlign w:val="center"/>
          </w:tcPr>
          <w:p>
            <w:r/>
            <w:r>
              <w:rPr>
                <w:rFonts w:ascii="Aptos" w:hAnsi="Aptos"/>
                <w:b w:val="0"/>
                <w:color w:val="17231D"/>
                <w:sz w:val="17"/>
              </w:rPr>
              <w:t>Open relevant BHUMI–NITI layers, save map views and study regions.</w:t>
            </w:r>
          </w:p>
        </w:tc>
      </w:tr>
      <w:tr>
        <w:tc>
          <w:tcPr>
            <w:tcW w:type="dxa" w:w="5112"/>
            <w:vAlign w:val="center"/>
          </w:tcPr>
          <w:p>
            <w:r/>
            <w:r>
              <w:rPr>
                <w:rFonts w:ascii="Aptos" w:hAnsi="Aptos"/>
                <w:b/>
                <w:color w:val="006B46"/>
                <w:sz w:val="17"/>
              </w:rPr>
              <w:t>Task Board</w:t>
            </w:r>
          </w:p>
        </w:tc>
        <w:tc>
          <w:tcPr>
            <w:tcW w:type="dxa" w:w="5112"/>
            <w:vAlign w:val="center"/>
          </w:tcPr>
          <w:p>
            <w:r/>
            <w:r>
              <w:rPr>
                <w:rFonts w:ascii="Aptos" w:hAnsi="Aptos"/>
                <w:b w:val="0"/>
                <w:color w:val="17231D"/>
                <w:sz w:val="17"/>
              </w:rPr>
              <w:t>Backlog → In Progress → Review → Done with owners and due dates.</w:t>
            </w:r>
          </w:p>
        </w:tc>
      </w:tr>
      <w:tr>
        <w:tc>
          <w:tcPr>
            <w:tcW w:type="dxa" w:w="5112"/>
            <w:vAlign w:val="center"/>
          </w:tcPr>
          <w:p>
            <w:r/>
            <w:r>
              <w:rPr>
                <w:rFonts w:ascii="Aptos" w:hAnsi="Aptos"/>
                <w:b/>
                <w:color w:val="006B46"/>
                <w:sz w:val="17"/>
              </w:rPr>
              <w:t>Discussion</w:t>
            </w:r>
          </w:p>
        </w:tc>
        <w:tc>
          <w:tcPr>
            <w:tcW w:type="dxa" w:w="5112"/>
            <w:vAlign w:val="center"/>
          </w:tcPr>
          <w:p>
            <w:r/>
            <w:r>
              <w:rPr>
                <w:rFonts w:ascii="Aptos" w:hAnsi="Aptos"/>
                <w:b w:val="0"/>
                <w:color w:val="17231D"/>
                <w:sz w:val="17"/>
              </w:rPr>
              <w:t>Threads, @mentions, attachments and decision records.</w:t>
            </w:r>
          </w:p>
        </w:tc>
      </w:tr>
      <w:tr>
        <w:tc>
          <w:tcPr>
            <w:tcW w:type="dxa" w:w="5112"/>
            <w:vAlign w:val="center"/>
          </w:tcPr>
          <w:p>
            <w:r/>
            <w:r>
              <w:rPr>
                <w:rFonts w:ascii="Aptos" w:hAnsi="Aptos"/>
                <w:b/>
                <w:color w:val="006B46"/>
                <w:sz w:val="17"/>
              </w:rPr>
              <w:t>Experiment Log</w:t>
            </w:r>
          </w:p>
        </w:tc>
        <w:tc>
          <w:tcPr>
            <w:tcW w:type="dxa" w:w="5112"/>
            <w:vAlign w:val="center"/>
          </w:tcPr>
          <w:p>
            <w:r/>
            <w:r>
              <w:rPr>
                <w:rFonts w:ascii="Aptos" w:hAnsi="Aptos"/>
                <w:b w:val="0"/>
                <w:color w:val="17231D"/>
                <w:sz w:val="17"/>
              </w:rPr>
              <w:t>Model versions, scenarios, assumptions, outputs and evaluation metrics.</w:t>
            </w:r>
          </w:p>
        </w:tc>
      </w:tr>
      <w:tr>
        <w:tc>
          <w:tcPr>
            <w:tcW w:type="dxa" w:w="5112"/>
            <w:vAlign w:val="center"/>
          </w:tcPr>
          <w:p>
            <w:r/>
            <w:r>
              <w:rPr>
                <w:rFonts w:ascii="Aptos" w:hAnsi="Aptos"/>
                <w:b/>
                <w:color w:val="006B46"/>
                <w:sz w:val="17"/>
              </w:rPr>
              <w:t>Pilot Tracker</w:t>
            </w:r>
          </w:p>
        </w:tc>
        <w:tc>
          <w:tcPr>
            <w:tcW w:type="dxa" w:w="5112"/>
            <w:vAlign w:val="center"/>
          </w:tcPr>
          <w:p>
            <w:r/>
            <w:r>
              <w:rPr>
                <w:rFonts w:ascii="Aptos" w:hAnsi="Aptos"/>
                <w:b w:val="0"/>
                <w:color w:val="17231D"/>
                <w:sz w:val="17"/>
              </w:rPr>
              <w:t>Locations, beneficiaries, stage, field observations and KPI updates.</w:t>
            </w:r>
          </w:p>
        </w:tc>
      </w:tr>
      <w:tr>
        <w:tc>
          <w:tcPr>
            <w:tcW w:type="dxa" w:w="5112"/>
            <w:vAlign w:val="center"/>
          </w:tcPr>
          <w:p>
            <w:r/>
            <w:r>
              <w:rPr>
                <w:rFonts w:ascii="Aptos" w:hAnsi="Aptos"/>
                <w:b/>
                <w:color w:val="006B46"/>
                <w:sz w:val="17"/>
              </w:rPr>
              <w:t>AI Research Assistant</w:t>
            </w:r>
          </w:p>
        </w:tc>
        <w:tc>
          <w:tcPr>
            <w:tcW w:type="dxa" w:w="5112"/>
            <w:vAlign w:val="center"/>
          </w:tcPr>
          <w:p>
            <w:r/>
            <w:r>
              <w:rPr>
                <w:rFonts w:ascii="Aptos" w:hAnsi="Aptos"/>
                <w:b w:val="0"/>
                <w:color w:val="17231D"/>
                <w:sz w:val="17"/>
              </w:rPr>
              <w:t>Questions over project evidence with citations.</w:t>
            </w:r>
          </w:p>
        </w:tc>
      </w:tr>
      <w:tr>
        <w:tc>
          <w:tcPr>
            <w:tcW w:type="dxa" w:w="5112"/>
            <w:vAlign w:val="center"/>
          </w:tcPr>
          <w:p>
            <w:r/>
            <w:r>
              <w:rPr>
                <w:rFonts w:ascii="Aptos" w:hAnsi="Aptos"/>
                <w:b/>
                <w:color w:val="006B46"/>
                <w:sz w:val="17"/>
              </w:rPr>
              <w:t>Decision Log</w:t>
            </w:r>
          </w:p>
        </w:tc>
        <w:tc>
          <w:tcPr>
            <w:tcW w:type="dxa" w:w="5112"/>
            <w:vAlign w:val="center"/>
          </w:tcPr>
          <w:p>
            <w:r/>
            <w:r>
              <w:rPr>
                <w:rFonts w:ascii="Aptos" w:hAnsi="Aptos"/>
                <w:b w:val="0"/>
                <w:color w:val="17231D"/>
                <w:sz w:val="17"/>
              </w:rPr>
              <w:t>Important project/policy decisions, rationale, evidence and date.</w:t>
            </w:r>
          </w:p>
        </w:tc>
      </w:tr>
      <w:tr>
        <w:tc>
          <w:tcPr>
            <w:tcW w:type="dxa" w:w="5112"/>
            <w:vAlign w:val="center"/>
          </w:tcPr>
          <w:p>
            <w:r/>
            <w:r>
              <w:rPr>
                <w:rFonts w:ascii="Aptos" w:hAnsi="Aptos"/>
                <w:b/>
                <w:color w:val="006B46"/>
                <w:sz w:val="17"/>
              </w:rPr>
              <w:t>Review &amp; Submission</w:t>
            </w:r>
          </w:p>
        </w:tc>
        <w:tc>
          <w:tcPr>
            <w:tcW w:type="dxa" w:w="5112"/>
            <w:vAlign w:val="center"/>
          </w:tcPr>
          <w:p>
            <w:r/>
            <w:r>
              <w:rPr>
                <w:rFonts w:ascii="Aptos" w:hAnsi="Aptos"/>
                <w:b w:val="0"/>
                <w:color w:val="17231D"/>
                <w:sz w:val="17"/>
              </w:rPr>
              <w:t>Milestones, reviewer feedback, revisions and final evidence package.</w:t>
            </w:r>
          </w:p>
        </w:tc>
      </w:tr>
    </w:tbl>
    <w:p>
      <w:pPr>
        <w:pStyle w:val="Heading1"/>
      </w:pPr>
      <w:r>
        <w:t>7. Team roles</w:t>
      </w:r>
    </w:p>
    <w:p>
      <w:pPr>
        <w:pStyle w:val="ListBullet"/>
        <w:spacing w:after="40"/>
      </w:pPr>
      <w:r>
        <w:t>Project Lead — manages milestones and submission.</w:t>
      </w:r>
    </w:p>
    <w:p>
      <w:pPr>
        <w:pStyle w:val="ListBullet"/>
        <w:spacing w:after="40"/>
      </w:pPr>
      <w:r>
        <w:t>Researcher — literature, evidence synthesis and research notes.</w:t>
      </w:r>
    </w:p>
    <w:p>
      <w:pPr>
        <w:pStyle w:val="ListBullet"/>
        <w:spacing w:after="40"/>
      </w:pPr>
      <w:r>
        <w:t>GIS / Remote Sensing Lead — spatial analysis and map layers.</w:t>
      </w:r>
    </w:p>
    <w:p>
      <w:pPr>
        <w:pStyle w:val="ListBullet"/>
        <w:spacing w:after="40"/>
      </w:pPr>
      <w:r>
        <w:t>ML / Data Lead — models, pipelines and evaluation.</w:t>
      </w:r>
    </w:p>
    <w:p>
      <w:pPr>
        <w:pStyle w:val="ListBullet"/>
        <w:spacing w:after="40"/>
      </w:pPr>
      <w:r>
        <w:t>Policy / Governance Lead — policy mechanism, legal context and implementation.</w:t>
      </w:r>
    </w:p>
    <w:p>
      <w:pPr>
        <w:pStyle w:val="ListBullet"/>
        <w:spacing w:after="40"/>
      </w:pPr>
      <w:r>
        <w:t>Field / Pilot Lead — field coordination, observations and KPI collection.</w:t>
      </w:r>
    </w:p>
    <w:p>
      <w:pPr>
        <w:pStyle w:val="ListBullet"/>
        <w:spacing w:after="40"/>
      </w:pPr>
      <w:r>
        <w:t>Government / Institutional Reviewer — restricted review and feedback.</w:t>
      </w:r>
    </w:p>
    <w:p>
      <w:pPr>
        <w:pStyle w:val="ListBullet"/>
        <w:spacing w:after="40"/>
      </w:pPr>
      <w:r>
        <w:t>Public Viewer — read-only published outcomes.</w:t>
      </w:r>
    </w:p>
    <w:p>
      <w:pPr>
        <w:pStyle w:val="Heading1"/>
      </w:pPr>
      <w:r>
        <w:t>8. Evidence-first AI</w:t>
      </w:r>
    </w:p>
    <w:p>
      <w:pPr>
        <w:pStyle w:val="ListBullet"/>
        <w:spacing w:after="40"/>
      </w:pPr>
      <w:r>
        <w:t>Find evidence for this challenge — search research, datasets, policy and GIS resources.</w:t>
      </w:r>
    </w:p>
    <w:p>
      <w:pPr>
        <w:pStyle w:val="ListBullet"/>
        <w:spacing w:after="40"/>
      </w:pPr>
      <w:r>
        <w:t>Explain this dataset — provenance, date, coverage, variables and limitations.</w:t>
      </w:r>
    </w:p>
    <w:p>
      <w:pPr>
        <w:pStyle w:val="ListBullet"/>
        <w:spacing w:after="40"/>
      </w:pPr>
      <w:r>
        <w:t>Find similar pilots — recommend related initiatives and documented outcomes.</w:t>
      </w:r>
    </w:p>
    <w:p>
      <w:pPr>
        <w:pStyle w:val="ListBullet"/>
        <w:spacing w:after="40"/>
      </w:pPr>
      <w:r>
        <w:t>Build a literature brief — synthesize papers while preserving citations.</w:t>
      </w:r>
    </w:p>
    <w:p>
      <w:pPr>
        <w:pStyle w:val="ListBullet"/>
        <w:spacing w:after="40"/>
      </w:pPr>
      <w:r>
        <w:t>Identify missing evidence — flag unsupported claims in a proposal.</w:t>
      </w:r>
    </w:p>
    <w:p>
      <w:pPr>
        <w:pStyle w:val="ListBullet"/>
        <w:spacing w:after="40"/>
      </w:pPr>
      <w:r>
        <w:t>Suggest KPIs — propose measurable indicators and clearly mark them as AI-generated suggestions.</w:t>
      </w:r>
    </w:p>
    <w:p>
      <w:pPr>
        <w:pStyle w:val="ListBullet"/>
        <w:spacing w:after="40"/>
      </w:pPr>
      <w:r>
        <w:t>Prepare policy brief — convert validated project findings into an evidence-backed brief.</w:t>
      </w:r>
    </w:p>
    <w:tbl>
      <w:tblPr>
        <w:tblW w:type="auto" w:w="0"/>
        <w:jc w:val="center"/>
        <w:tblLook w:firstColumn="1" w:firstRow="1" w:lastColumn="0" w:lastRow="0" w:noHBand="0" w:noVBand="1" w:val="04A0"/>
      </w:tblPr>
      <w:tblGrid>
        <w:gridCol w:w="10224"/>
      </w:tblGrid>
      <w:tr>
        <w:tc>
          <w:tcPr>
            <w:tcW w:type="dxa" w:w="10224"/>
            <w:shd w:fill="EAF5EF"/>
          </w:tcPr>
          <w:p>
            <w:r>
              <w:rPr>
                <w:b/>
                <w:color w:val="006B46"/>
                <w:sz w:val="22"/>
              </w:rPr>
              <w:t>AI TRUST RULE</w:t>
              <w:br/>
            </w:r>
            <w:r>
              <w:rPr>
                <w:color w:val="17231D"/>
                <w:sz w:val="19"/>
              </w:rPr>
              <w:t>AI should assist discovery and synthesis, not invent evidence. Factual claims should expose their underlying source whenever a source exists.</w:t>
            </w:r>
          </w:p>
        </w:tc>
      </w:tr>
    </w:tbl>
    <w:p>
      <w:pPr>
        <w:pStyle w:val="Heading1"/>
      </w:pPr>
      <w:r>
        <w:t>9. GIS + policy experimentation</w:t>
      </w:r>
    </w:p>
    <w:p>
      <w:pPr>
        <w:pStyle w:val="ListBullet"/>
        <w:spacing w:after="40"/>
      </w:pPr>
      <w:r>
        <w:t>Every challenge has a geographic scope and every project can save study regions.</w:t>
      </w:r>
    </w:p>
    <w:p>
      <w:pPr>
        <w:pStyle w:val="ListBullet"/>
        <w:spacing w:after="40"/>
      </w:pPr>
      <w:r>
        <w:t>Attach GIS layers directly to a project workspace.</w:t>
      </w:r>
    </w:p>
    <w:p>
      <w:pPr>
        <w:pStyle w:val="ListBullet"/>
        <w:spacing w:after="40"/>
      </w:pPr>
      <w:r>
        <w:t>Show pilots on the national innovation map.</w:t>
      </w:r>
    </w:p>
    <w:p>
      <w:pPr>
        <w:pStyle w:val="ListBullet"/>
        <w:spacing w:after="40"/>
      </w:pPr>
      <w:r>
        <w:t>Link land-use, climate risk, disputes, socio-economic and infrastructure layers as contextual evidence.</w:t>
      </w:r>
    </w:p>
    <w:p>
      <w:pPr>
        <w:pStyle w:val="ListBullet"/>
        <w:spacing w:after="40"/>
      </w:pPr>
      <w:r>
        <w:t>Link /landdifference for challenges involving land-use change and policy impact.</w:t>
      </w:r>
    </w:p>
    <w:p>
      <w:pPr>
        <w:pStyle w:val="ListBullet"/>
        <w:spacing w:after="40"/>
      </w:pPr>
      <w:r>
        <w:t>Support baseline capture, intervention/comparison areas where appropriate, pre-registered KPIs and periodic evidence snapshots.</w:t>
      </w:r>
    </w:p>
    <w:p>
      <w:pPr>
        <w:pStyle w:val="ListBullet"/>
        <w:spacing w:after="40"/>
      </w:pPr>
      <w:r>
        <w:t>Provide a Difference-in-Differences visualization for eligible policy experiments, with methodology and assumptions visible.</w:t>
      </w:r>
    </w:p>
    <w:p>
      <w:pPr>
        <w:pStyle w:val="Heading1"/>
      </w:pPr>
      <w:r>
        <w:t>10. Impact dashboard</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06B46"/>
          </w:tcPr>
          <w:p>
            <w:r/>
            <w:r>
              <w:rPr>
                <w:rFonts w:ascii="Aptos" w:hAnsi="Aptos"/>
                <w:b/>
                <w:color w:val="FFFFFF"/>
                <w:sz w:val="18"/>
              </w:rPr>
              <w:t>Metric</w:t>
            </w:r>
          </w:p>
        </w:tc>
        <w:tc>
          <w:tcPr>
            <w:tcW w:type="dxa" w:w="3408"/>
            <w:vAlign w:val="center"/>
            <w:shd w:fill="006B46"/>
          </w:tcPr>
          <w:p>
            <w:r/>
            <w:r>
              <w:rPr>
                <w:rFonts w:ascii="Aptos" w:hAnsi="Aptos"/>
                <w:b/>
                <w:color w:val="FFFFFF"/>
                <w:sz w:val="18"/>
              </w:rPr>
              <w:t>Visualization</w:t>
            </w:r>
          </w:p>
        </w:tc>
        <w:tc>
          <w:tcPr>
            <w:tcW w:type="dxa" w:w="3408"/>
            <w:vAlign w:val="center"/>
            <w:shd w:fill="006B46"/>
          </w:tcPr>
          <w:p>
            <w:r/>
            <w:r>
              <w:rPr>
                <w:rFonts w:ascii="Aptos" w:hAnsi="Aptos"/>
                <w:b/>
                <w:color w:val="FFFFFF"/>
                <w:sz w:val="18"/>
              </w:rPr>
              <w:t>Purpose</w:t>
            </w:r>
          </w:p>
        </w:tc>
      </w:tr>
      <w:tr>
        <w:tc>
          <w:tcPr>
            <w:tcW w:type="dxa" w:w="3408"/>
            <w:vAlign w:val="center"/>
          </w:tcPr>
          <w:p>
            <w:r/>
            <w:r>
              <w:rPr>
                <w:rFonts w:ascii="Aptos" w:hAnsi="Aptos"/>
                <w:b w:val="0"/>
                <w:color w:val="17231D"/>
                <w:sz w:val="17"/>
              </w:rPr>
              <w:t>Active innovations</w:t>
            </w:r>
          </w:p>
        </w:tc>
        <w:tc>
          <w:tcPr>
            <w:tcW w:type="dxa" w:w="3408"/>
            <w:vAlign w:val="center"/>
          </w:tcPr>
          <w:p>
            <w:r/>
            <w:r>
              <w:rPr>
                <w:rFonts w:ascii="Aptos" w:hAnsi="Aptos"/>
                <w:b w:val="0"/>
                <w:color w:val="17231D"/>
                <w:sz w:val="17"/>
              </w:rPr>
              <w:t>Number + trend</w:t>
            </w:r>
          </w:p>
        </w:tc>
        <w:tc>
          <w:tcPr>
            <w:tcW w:type="dxa" w:w="3408"/>
            <w:vAlign w:val="center"/>
          </w:tcPr>
          <w:p>
            <w:r/>
            <w:r>
              <w:rPr>
                <w:rFonts w:ascii="Aptos" w:hAnsi="Aptos"/>
                <w:b w:val="0"/>
                <w:color w:val="17231D"/>
                <w:sz w:val="17"/>
              </w:rPr>
              <w:t>Ecosystem activity</w:t>
            </w:r>
          </w:p>
        </w:tc>
      </w:tr>
      <w:tr>
        <w:tc>
          <w:tcPr>
            <w:tcW w:type="dxa" w:w="3408"/>
            <w:vAlign w:val="center"/>
          </w:tcPr>
          <w:p>
            <w:r/>
            <w:r>
              <w:rPr>
                <w:rFonts w:ascii="Aptos" w:hAnsi="Aptos"/>
                <w:b w:val="0"/>
                <w:color w:val="17231D"/>
                <w:sz w:val="17"/>
              </w:rPr>
              <w:t>Pilots by state</w:t>
            </w:r>
          </w:p>
        </w:tc>
        <w:tc>
          <w:tcPr>
            <w:tcW w:type="dxa" w:w="3408"/>
            <w:vAlign w:val="center"/>
          </w:tcPr>
          <w:p>
            <w:r/>
            <w:r>
              <w:rPr>
                <w:rFonts w:ascii="Aptos" w:hAnsi="Aptos"/>
                <w:b w:val="0"/>
                <w:color w:val="17231D"/>
                <w:sz w:val="17"/>
              </w:rPr>
              <w:t>India map</w:t>
            </w:r>
          </w:p>
        </w:tc>
        <w:tc>
          <w:tcPr>
            <w:tcW w:type="dxa" w:w="3408"/>
            <w:vAlign w:val="center"/>
          </w:tcPr>
          <w:p>
            <w:r/>
            <w:r>
              <w:rPr>
                <w:rFonts w:ascii="Aptos" w:hAnsi="Aptos"/>
                <w:b w:val="0"/>
                <w:color w:val="17231D"/>
                <w:sz w:val="17"/>
              </w:rPr>
              <w:t>Geographic reach</w:t>
            </w:r>
          </w:p>
        </w:tc>
      </w:tr>
      <w:tr>
        <w:tc>
          <w:tcPr>
            <w:tcW w:type="dxa" w:w="3408"/>
            <w:vAlign w:val="center"/>
          </w:tcPr>
          <w:p>
            <w:r/>
            <w:r>
              <w:rPr>
                <w:rFonts w:ascii="Aptos" w:hAnsi="Aptos"/>
                <w:b w:val="0"/>
                <w:color w:val="17231D"/>
                <w:sz w:val="17"/>
              </w:rPr>
              <w:t>Research → Pilot conversion</w:t>
            </w:r>
          </w:p>
        </w:tc>
        <w:tc>
          <w:tcPr>
            <w:tcW w:type="dxa" w:w="3408"/>
            <w:vAlign w:val="center"/>
          </w:tcPr>
          <w:p>
            <w:r/>
            <w:r>
              <w:rPr>
                <w:rFonts w:ascii="Aptos" w:hAnsi="Aptos"/>
                <w:b w:val="0"/>
                <w:color w:val="17231D"/>
                <w:sz w:val="17"/>
              </w:rPr>
              <w:t>Funnel</w:t>
            </w:r>
          </w:p>
        </w:tc>
        <w:tc>
          <w:tcPr>
            <w:tcW w:type="dxa" w:w="3408"/>
            <w:vAlign w:val="center"/>
          </w:tcPr>
          <w:p>
            <w:r/>
            <w:r>
              <w:rPr>
                <w:rFonts w:ascii="Aptos" w:hAnsi="Aptos"/>
                <w:b w:val="0"/>
                <w:color w:val="17231D"/>
                <w:sz w:val="17"/>
              </w:rPr>
              <w:t>Evidence-to-action</w:t>
            </w:r>
          </w:p>
        </w:tc>
      </w:tr>
      <w:tr>
        <w:tc>
          <w:tcPr>
            <w:tcW w:type="dxa" w:w="3408"/>
            <w:vAlign w:val="center"/>
          </w:tcPr>
          <w:p>
            <w:r/>
            <w:r>
              <w:rPr>
                <w:rFonts w:ascii="Aptos" w:hAnsi="Aptos"/>
                <w:b w:val="0"/>
                <w:color w:val="17231D"/>
                <w:sz w:val="17"/>
              </w:rPr>
              <w:t>Average pilot duration</w:t>
            </w:r>
          </w:p>
        </w:tc>
        <w:tc>
          <w:tcPr>
            <w:tcW w:type="dxa" w:w="3408"/>
            <w:vAlign w:val="center"/>
          </w:tcPr>
          <w:p>
            <w:r/>
            <w:r>
              <w:rPr>
                <w:rFonts w:ascii="Aptos" w:hAnsi="Aptos"/>
                <w:b w:val="0"/>
                <w:color w:val="17231D"/>
                <w:sz w:val="17"/>
              </w:rPr>
              <w:t>Metric/distribution</w:t>
            </w:r>
          </w:p>
        </w:tc>
        <w:tc>
          <w:tcPr>
            <w:tcW w:type="dxa" w:w="3408"/>
            <w:vAlign w:val="center"/>
          </w:tcPr>
          <w:p>
            <w:r/>
            <w:r>
              <w:rPr>
                <w:rFonts w:ascii="Aptos" w:hAnsi="Aptos"/>
                <w:b w:val="0"/>
                <w:color w:val="17231D"/>
                <w:sz w:val="17"/>
              </w:rPr>
              <w:t>Implementation speed</w:t>
            </w:r>
          </w:p>
        </w:tc>
      </w:tr>
      <w:tr>
        <w:tc>
          <w:tcPr>
            <w:tcW w:type="dxa" w:w="3408"/>
            <w:vAlign w:val="center"/>
          </w:tcPr>
          <w:p>
            <w:r/>
            <w:r>
              <w:rPr>
                <w:rFonts w:ascii="Aptos" w:hAnsi="Aptos"/>
                <w:b w:val="0"/>
                <w:color w:val="17231D"/>
                <w:sz w:val="17"/>
              </w:rPr>
              <w:t>Evidence-linked projects</w:t>
            </w:r>
          </w:p>
        </w:tc>
        <w:tc>
          <w:tcPr>
            <w:tcW w:type="dxa" w:w="3408"/>
            <w:vAlign w:val="center"/>
          </w:tcPr>
          <w:p>
            <w:r/>
            <w:r>
              <w:rPr>
                <w:rFonts w:ascii="Aptos" w:hAnsi="Aptos"/>
                <w:b w:val="0"/>
                <w:color w:val="17231D"/>
                <w:sz w:val="17"/>
              </w:rPr>
              <w:t>Percentage</w:t>
            </w:r>
          </w:p>
        </w:tc>
        <w:tc>
          <w:tcPr>
            <w:tcW w:type="dxa" w:w="3408"/>
            <w:vAlign w:val="center"/>
          </w:tcPr>
          <w:p>
            <w:r/>
            <w:r>
              <w:rPr>
                <w:rFonts w:ascii="Aptos" w:hAnsi="Aptos"/>
                <w:b w:val="0"/>
                <w:color w:val="17231D"/>
                <w:sz w:val="17"/>
              </w:rPr>
              <w:t>Evidence quality</w:t>
            </w:r>
          </w:p>
        </w:tc>
      </w:tr>
      <w:tr>
        <w:tc>
          <w:tcPr>
            <w:tcW w:type="dxa" w:w="3408"/>
            <w:vAlign w:val="center"/>
          </w:tcPr>
          <w:p>
            <w:r/>
            <w:r>
              <w:rPr>
                <w:rFonts w:ascii="Aptos" w:hAnsi="Aptos"/>
                <w:b w:val="0"/>
                <w:color w:val="17231D"/>
                <w:sz w:val="17"/>
              </w:rPr>
              <w:t>Policy experiments</w:t>
            </w:r>
          </w:p>
        </w:tc>
        <w:tc>
          <w:tcPr>
            <w:tcW w:type="dxa" w:w="3408"/>
            <w:vAlign w:val="center"/>
          </w:tcPr>
          <w:p>
            <w:r/>
            <w:r>
              <w:rPr>
                <w:rFonts w:ascii="Aptos" w:hAnsi="Aptos"/>
                <w:b w:val="0"/>
                <w:color w:val="17231D"/>
                <w:sz w:val="17"/>
              </w:rPr>
              <w:t>Timeline/cards</w:t>
            </w:r>
          </w:p>
        </w:tc>
        <w:tc>
          <w:tcPr>
            <w:tcW w:type="dxa" w:w="3408"/>
            <w:vAlign w:val="center"/>
          </w:tcPr>
          <w:p>
            <w:r/>
            <w:r>
              <w:rPr>
                <w:rFonts w:ascii="Aptos" w:hAnsi="Aptos"/>
                <w:b w:val="0"/>
                <w:color w:val="17231D"/>
                <w:sz w:val="17"/>
              </w:rPr>
              <w:t>Policy testing</w:t>
            </w:r>
          </w:p>
        </w:tc>
      </w:tr>
      <w:tr>
        <w:tc>
          <w:tcPr>
            <w:tcW w:type="dxa" w:w="3408"/>
            <w:vAlign w:val="center"/>
          </w:tcPr>
          <w:p>
            <w:r/>
            <w:r>
              <w:rPr>
                <w:rFonts w:ascii="Aptos" w:hAnsi="Aptos"/>
                <w:b w:val="0"/>
                <w:color w:val="17231D"/>
                <w:sz w:val="17"/>
              </w:rPr>
              <w:t>Completed pilots</w:t>
            </w:r>
          </w:p>
        </w:tc>
        <w:tc>
          <w:tcPr>
            <w:tcW w:type="dxa" w:w="3408"/>
            <w:vAlign w:val="center"/>
          </w:tcPr>
          <w:p>
            <w:r/>
            <w:r>
              <w:rPr>
                <w:rFonts w:ascii="Aptos" w:hAnsi="Aptos"/>
                <w:b w:val="0"/>
                <w:color w:val="17231D"/>
                <w:sz w:val="17"/>
              </w:rPr>
              <w:t>Outcome cards</w:t>
            </w:r>
          </w:p>
        </w:tc>
        <w:tc>
          <w:tcPr>
            <w:tcW w:type="dxa" w:w="3408"/>
            <w:vAlign w:val="center"/>
          </w:tcPr>
          <w:p>
            <w:r/>
            <w:r>
              <w:rPr>
                <w:rFonts w:ascii="Aptos" w:hAnsi="Aptos"/>
                <w:b w:val="0"/>
                <w:color w:val="17231D"/>
                <w:sz w:val="17"/>
              </w:rPr>
              <w:t>Execution</w:t>
            </w:r>
          </w:p>
        </w:tc>
      </w:tr>
      <w:tr>
        <w:tc>
          <w:tcPr>
            <w:tcW w:type="dxa" w:w="3408"/>
            <w:vAlign w:val="center"/>
          </w:tcPr>
          <w:p>
            <w:r/>
            <w:r>
              <w:rPr>
                <w:rFonts w:ascii="Aptos" w:hAnsi="Aptos"/>
                <w:b w:val="0"/>
                <w:color w:val="17231D"/>
                <w:sz w:val="17"/>
              </w:rPr>
              <w:t>Documented outcomes</w:t>
            </w:r>
          </w:p>
        </w:tc>
        <w:tc>
          <w:tcPr>
            <w:tcW w:type="dxa" w:w="3408"/>
            <w:vAlign w:val="center"/>
          </w:tcPr>
          <w:p>
            <w:r/>
            <w:r>
              <w:rPr>
                <w:rFonts w:ascii="Aptos" w:hAnsi="Aptos"/>
                <w:b w:val="0"/>
                <w:color w:val="17231D"/>
                <w:sz w:val="17"/>
              </w:rPr>
              <w:t>KPI charts</w:t>
            </w:r>
          </w:p>
        </w:tc>
        <w:tc>
          <w:tcPr>
            <w:tcW w:type="dxa" w:w="3408"/>
            <w:vAlign w:val="center"/>
          </w:tcPr>
          <w:p>
            <w:r/>
            <w:r>
              <w:rPr>
                <w:rFonts w:ascii="Aptos" w:hAnsi="Aptos"/>
                <w:b w:val="0"/>
                <w:color w:val="17231D"/>
                <w:sz w:val="17"/>
              </w:rPr>
              <w:t>Measurable impact</w:t>
            </w:r>
          </w:p>
        </w:tc>
      </w:tr>
    </w:tbl>
    <w:p>
      <w:pPr>
        <w:pStyle w:val="Heading1"/>
      </w:pPr>
      <w:r>
        <w:t>11. Visual system</w:t>
      </w:r>
    </w:p>
    <w:p>
      <w:pPr>
        <w:pStyle w:val="ListBullet"/>
        <w:spacing w:after="40"/>
      </w:pPr>
      <w:r>
        <w:t>Primary green #006B46; ink #17231D; ivory #F8F7F1; soft green #EAF5EF; gold #E7B84B.</w:t>
      </w:r>
    </w:p>
    <w:p>
      <w:pPr>
        <w:pStyle w:val="ListBullet"/>
        <w:spacing w:after="40"/>
      </w:pPr>
      <w:r>
        <w:t>Blue can represent research/data states; red should be reserved for warnings, risk and urgent deadlines.</w:t>
      </w:r>
    </w:p>
    <w:p>
      <w:pPr>
        <w:pStyle w:val="ListBullet"/>
        <w:spacing w:after="40"/>
      </w:pPr>
      <w:r>
        <w:t>Use 14–22 px rounded cards, thin muted borders and subtle shadows.</w:t>
      </w:r>
    </w:p>
    <w:p>
      <w:pPr>
        <w:pStyle w:val="ListBullet"/>
        <w:spacing w:after="40"/>
      </w:pPr>
      <w:r>
        <w:t>Keep the existing BHUMI–NITI editorial typography and clean UI language.</w:t>
      </w:r>
    </w:p>
    <w:p>
      <w:pPr>
        <w:pStyle w:val="ListBullet"/>
        <w:spacing w:after="40"/>
      </w:pPr>
      <w:r>
        <w:t>Use subtle satellite textures, cadastral lines and geographic contours as accents.</w:t>
      </w:r>
    </w:p>
    <w:p>
      <w:pPr>
        <w:pStyle w:val="ListBullet"/>
        <w:spacing w:after="40"/>
      </w:pPr>
      <w:r>
        <w:t>Use slow purposeful animation: map-node pulses, progress transitions and small hover elevation.</w:t>
      </w:r>
    </w:p>
    <w:p>
      <w:pPr>
        <w:pStyle w:val="ListBullet"/>
        <w:spacing w:after="40"/>
      </w:pPr>
      <w:r>
        <w:t>Avoid neon/cyberpunk styling, excessive gradients, excessive glassmorphism and generic SaaS templates.</w:t>
      </w:r>
    </w:p>
    <w:p>
      <w:pPr>
        <w:pStyle w:val="Heading1"/>
      </w:pPr>
      <w:r>
        <w:t>12. What makes it different</w:t>
      </w:r>
    </w:p>
    <w:p>
      <w:pPr>
        <w:pStyle w:val="ListBullet"/>
        <w:spacing w:after="40"/>
      </w:pPr>
      <w:r>
        <w:t>Challenge → Evidence → Build → Pilot → Evaluation is one connected lifecycle.</w:t>
      </w:r>
    </w:p>
    <w:p>
      <w:pPr>
        <w:pStyle w:val="ListBullet"/>
        <w:spacing w:after="40"/>
      </w:pPr>
      <w:r>
        <w:t>Projects directly use BHUMI–NITI research resources and GIS context.</w:t>
      </w:r>
    </w:p>
    <w:p>
      <w:pPr>
        <w:pStyle w:val="ListBullet"/>
        <w:spacing w:after="40"/>
      </w:pPr>
      <w:r>
        <w:t>Every innovation has geographic and policy context.</w:t>
      </w:r>
    </w:p>
    <w:p>
      <w:pPr>
        <w:pStyle w:val="ListBullet"/>
        <w:spacing w:after="40"/>
      </w:pPr>
      <w:r>
        <w:t>Collaborative workspaces preserve the research process, not just the final submission.</w:t>
      </w:r>
    </w:p>
    <w:p>
      <w:pPr>
        <w:pStyle w:val="ListBullet"/>
        <w:spacing w:after="40"/>
      </w:pPr>
      <w:r>
        <w:t>Pilot outcomes feed back into research and policy analysis.</w:t>
      </w:r>
    </w:p>
    <w:p>
      <w:pPr>
        <w:pStyle w:val="ListBullet"/>
        <w:spacing w:after="40"/>
      </w:pPr>
      <w:r>
        <w:t>The final output is a traceable evidence package, not merely a competition entry.</w:t>
      </w:r>
    </w:p>
    <w:p>
      <w:pPr>
        <w:pStyle w:val="Heading1"/>
      </w:pPr>
      <w:r>
        <w:t>13. Implementation priority</w:t>
      </w:r>
    </w:p>
    <w:tbl>
      <w:tblPr>
        <w:tblStyle w:val="TableGrid"/>
        <w:tblW w:type="auto" w:w="0"/>
        <w:tblLook w:firstColumn="1" w:firstRow="1" w:lastColumn="0" w:lastRow="0" w:noHBand="0" w:noVBand="1" w:val="04A0"/>
      </w:tblPr>
      <w:tblGrid>
        <w:gridCol w:w="5112"/>
        <w:gridCol w:w="5112"/>
      </w:tblGrid>
      <w:tr>
        <w:tc>
          <w:tcPr>
            <w:tcW w:type="dxa" w:w="5112"/>
            <w:vAlign w:val="center"/>
            <w:shd w:fill="006B46"/>
          </w:tcPr>
          <w:p>
            <w:r/>
            <w:r>
              <w:rPr>
                <w:rFonts w:ascii="Aptos" w:hAnsi="Aptos"/>
                <w:b/>
                <w:color w:val="FFFFFF"/>
                <w:sz w:val="18"/>
              </w:rPr>
              <w:t>Priority</w:t>
            </w:r>
          </w:p>
        </w:tc>
        <w:tc>
          <w:tcPr>
            <w:tcW w:type="dxa" w:w="5112"/>
            <w:vAlign w:val="center"/>
            <w:shd w:fill="006B46"/>
          </w:tcPr>
          <w:p>
            <w:r/>
            <w:r>
              <w:rPr>
                <w:rFonts w:ascii="Aptos" w:hAnsi="Aptos"/>
                <w:b/>
                <w:color w:val="FFFFFF"/>
                <w:sz w:val="18"/>
              </w:rPr>
              <w:t>Scope</w:t>
            </w:r>
          </w:p>
        </w:tc>
      </w:tr>
      <w:tr>
        <w:tc>
          <w:tcPr>
            <w:tcW w:type="dxa" w:w="5112"/>
            <w:vAlign w:val="center"/>
          </w:tcPr>
          <w:p>
            <w:r/>
            <w:r>
              <w:rPr>
                <w:rFonts w:ascii="Aptos" w:hAnsi="Aptos"/>
                <w:b/>
                <w:color w:val="006B46"/>
                <w:sz w:val="17"/>
              </w:rPr>
              <w:t>P0 — Must have</w:t>
            </w:r>
          </w:p>
        </w:tc>
        <w:tc>
          <w:tcPr>
            <w:tcW w:type="dxa" w:w="5112"/>
            <w:vAlign w:val="center"/>
          </w:tcPr>
          <w:p>
            <w:r/>
            <w:r>
              <w:rPr>
                <w:rFonts w:ascii="Aptos" w:hAnsi="Aptos"/>
                <w:b w:val="0"/>
                <w:color w:val="17231D"/>
                <w:sz w:val="17"/>
              </w:rPr>
              <w:t>Innovation home, challenges, challenge detail, submission wizard, team/workspace, evidence locker, status pipeline, roles.</w:t>
            </w:r>
          </w:p>
        </w:tc>
      </w:tr>
      <w:tr>
        <w:tc>
          <w:tcPr>
            <w:tcW w:type="dxa" w:w="5112"/>
            <w:vAlign w:val="center"/>
          </w:tcPr>
          <w:p>
            <w:r/>
            <w:r>
              <w:rPr>
                <w:rFonts w:ascii="Aptos" w:hAnsi="Aptos"/>
                <w:b/>
                <w:color w:val="006B46"/>
                <w:sz w:val="17"/>
              </w:rPr>
              <w:t>P1 — High value</w:t>
            </w:r>
          </w:p>
        </w:tc>
        <w:tc>
          <w:tcPr>
            <w:tcW w:type="dxa" w:w="5112"/>
            <w:vAlign w:val="center"/>
          </w:tcPr>
          <w:p>
            <w:r/>
            <w:r>
              <w:rPr>
                <w:rFonts w:ascii="Aptos" w:hAnsi="Aptos"/>
                <w:b w:val="0"/>
                <w:color w:val="17231D"/>
                <w:sz w:val="17"/>
              </w:rPr>
              <w:t>Pilot tracker, GIS integration, research-resource linking, AI evidence assistant, impact dashboard, collaboration.</w:t>
            </w:r>
          </w:p>
        </w:tc>
      </w:tr>
      <w:tr>
        <w:tc>
          <w:tcPr>
            <w:tcW w:type="dxa" w:w="5112"/>
            <w:vAlign w:val="center"/>
          </w:tcPr>
          <w:p>
            <w:r/>
            <w:r>
              <w:rPr>
                <w:rFonts w:ascii="Aptos" w:hAnsi="Aptos"/>
                <w:b/>
                <w:color w:val="006B46"/>
                <w:sz w:val="17"/>
              </w:rPr>
              <w:t>P2 — Advanced</w:t>
            </w:r>
          </w:p>
        </w:tc>
        <w:tc>
          <w:tcPr>
            <w:tcW w:type="dxa" w:w="5112"/>
            <w:vAlign w:val="center"/>
          </w:tcPr>
          <w:p>
            <w:r/>
            <w:r>
              <w:rPr>
                <w:rFonts w:ascii="Aptos" w:hAnsi="Aptos"/>
                <w:b w:val="0"/>
                <w:color w:val="17231D"/>
                <w:sz w:val="17"/>
              </w:rPr>
              <w:t>Grant management, recommendations, policy experiment templates, causal-evaluation dashboard.</w:t>
            </w:r>
          </w:p>
        </w:tc>
      </w:tr>
      <w:tr>
        <w:tc>
          <w:tcPr>
            <w:tcW w:type="dxa" w:w="5112"/>
            <w:vAlign w:val="center"/>
          </w:tcPr>
          <w:p>
            <w:r/>
            <w:r>
              <w:rPr>
                <w:rFonts w:ascii="Aptos" w:hAnsi="Aptos"/>
                <w:b/>
                <w:color w:val="006B46"/>
                <w:sz w:val="17"/>
              </w:rPr>
              <w:t>P3 — Scale</w:t>
            </w:r>
          </w:p>
        </w:tc>
        <w:tc>
          <w:tcPr>
            <w:tcW w:type="dxa" w:w="5112"/>
            <w:vAlign w:val="center"/>
          </w:tcPr>
          <w:p>
            <w:r/>
            <w:r>
              <w:rPr>
                <w:rFonts w:ascii="Aptos" w:hAnsi="Aptos"/>
                <w:b w:val="0"/>
                <w:color w:val="17231D"/>
                <w:sz w:val="17"/>
              </w:rPr>
              <w:t>External APIs, institutional integrations, advanced digital-twin and federated-data workflows.</w:t>
            </w:r>
          </w:p>
        </w:tc>
      </w:tr>
    </w:tbl>
    <w:p>
      <w:pPr>
        <w:pStyle w:val="Heading1"/>
      </w:pPr>
      <w:r>
        <w:t>14. AI Builder master prompt</w:t>
      </w:r>
    </w:p>
    <w:tbl>
      <w:tblPr>
        <w:tblW w:type="auto" w:w="0"/>
        <w:tblLook w:firstColumn="1" w:firstRow="1" w:lastColumn="0" w:lastRow="0" w:noHBand="0" w:noVBand="1" w:val="04A0"/>
      </w:tblPr>
      <w:tblGrid>
        <w:gridCol w:w="10224"/>
      </w:tblGrid>
      <w:tr>
        <w:tc>
          <w:tcPr>
            <w:tcW w:type="dxa" w:w="10224"/>
            <w:shd w:fill="F3F7F4"/>
          </w:tcPr>
          <w:p>
            <w:r>
              <w:rPr>
                <w:rFonts w:ascii="Consolas" w:hAnsi="Consolas"/>
                <w:sz w:val="17"/>
              </w:rPr>
              <w:t>Build the BHUMI–NITI Innovation Portal as a production-quality national land-governance innovation ecosystem. Preserve the existing BHUMI–NITI visual identity: warm ivory background, deep forest green, editorial typography, rounded cards, thin borders, restrained gold accents and GIS-inspired details.</w:t>
              <w:br/>
              <w:br/>
              <w:t>Do NOT make it a generic hackathon website. Connect the full lifecycle:</w:t>
              <w:br/>
              <w:t>Challenge → Evidence → Research → Build → Review → Pilot → Measure → Policy Learning → Scale.</w:t>
              <w:br/>
              <w:br/>
              <w:t>Create:</w:t>
              <w:br/>
              <w:t>- /innovation — hero, live statistics, featured challenges, pipeline, research-to-innovation bridge, India pilot map and impact stories.</w:t>
              <w:br/>
              <w:t>- /innovation/challenges — searchable/filterable challenge discovery.</w:t>
              <w:br/>
              <w:t>- /innovation/challenges/:id — government-style challenge brief with PS, geography, evidence, datasets, GIS layers, eligibility, timeline and evaluation criteria.</w:t>
              <w:br/>
              <w:t>- /innovation/submit — autosaving multi-step submission wizard.</w:t>
              <w:br/>
              <w:t>- /innovation/workspace/:id — collaborative project workspace.</w:t>
              <w:br/>
              <w:t>- /innovation/pilots — national pilot map and experiment tracker.</w:t>
              <w:br/>
              <w:t>- /innovation/impact — impact and outcome dashboard.</w:t>
              <w:br/>
              <w:br/>
              <w:t>Make the workspace the hero feature: left project navigation, project progress, team avatars, milestones, Kanban tasks, threaded discussion, shared evidence locker, research board, saved GIS views, experiment log, pilot tracker, KPI cards, AI research assistant with citations, decision log and reviewer feedback.</w:t>
              <w:br/>
              <w:br/>
              <w:t>Integrate Research Hub and GIS resources so papers, policy documents, datasets, satellite layers and case studies can be attached to challenges/projects. Every factual AI claim should show its source when available.</w:t>
              <w:br/>
              <w:br/>
              <w:t>For policy experiments, support baseline, intervention/comparison groups where appropriate, pre-registered KPIs, field observations, evidence uploads and Difference-in-Differences visualizations.</w:t>
              <w:br/>
              <w:br/>
              <w:t>Colors: #006B46 primary, #17231D ink, #F8F7F1 ivory, #EAF5EF soft green, #E7B84B gold. Use blue for research/data and red only for warnings/risk.</w:t>
              <w:br/>
              <w:br/>
              <w:t>Keep the interface responsive, polished, accessible and consistent with existing BHUMI–NITI routes. Do not break existing routes. Use realistic demo data and clearly label prototype/demo values.</w:t>
            </w:r>
          </w:p>
        </w:tc>
      </w:tr>
    </w:tbl>
    <w:p>
      <w:pPr>
        <w:pStyle w:val="Heading1"/>
      </w:pPr>
      <w:r>
        <w:t>15. Suggested demo challenges</w:t>
      </w:r>
    </w:p>
    <w:p>
      <w:pPr>
        <w:pStyle w:val="ListBullet"/>
        <w:spacing w:after="40"/>
      </w:pPr>
      <w:r>
        <w:t>AI for Detecting Illegal Land Use Change — Remote Sensing / AI-ML / Land Governance.</w:t>
      </w:r>
    </w:p>
    <w:p>
      <w:pPr>
        <w:pStyle w:val="ListBullet"/>
        <w:spacing w:after="40"/>
      </w:pPr>
      <w:r>
        <w:t>Climate-resilient land-use planning for flood-prone districts.</w:t>
      </w:r>
    </w:p>
    <w:p>
      <w:pPr>
        <w:pStyle w:val="ListBullet"/>
        <w:spacing w:after="40"/>
      </w:pPr>
      <w:r>
        <w:t>Evidence platform for reducing mutation and record-processing delays.</w:t>
      </w:r>
    </w:p>
    <w:p>
      <w:pPr>
        <w:pStyle w:val="ListBullet"/>
        <w:spacing w:after="40"/>
      </w:pPr>
      <w:r>
        <w:t>Urban-rural land transition monitoring using satellite time series.</w:t>
      </w:r>
    </w:p>
    <w:p>
      <w:pPr>
        <w:pStyle w:val="ListBullet"/>
        <w:spacing w:after="40"/>
      </w:pPr>
      <w:r>
        <w:t>Land dispute early-warning and evidence discovery.</w:t>
      </w:r>
    </w:p>
    <w:p>
      <w:pPr>
        <w:pStyle w:val="ListBullet"/>
        <w:spacing w:after="40"/>
      </w:pPr>
      <w:r>
        <w:t>Digitization quality assessment for cadastral and land records.</w:t>
      </w:r>
    </w:p>
    <w:tbl>
      <w:tblPr>
        <w:tblW w:type="auto" w:w="0"/>
        <w:jc w:val="center"/>
        <w:tblLook w:firstColumn="1" w:firstRow="1" w:lastColumn="0" w:lastRow="0" w:noHBand="0" w:noVBand="1" w:val="04A0"/>
      </w:tblPr>
      <w:tblGrid>
        <w:gridCol w:w="10224"/>
      </w:tblGrid>
      <w:tr>
        <w:tc>
          <w:tcPr>
            <w:tcW w:type="dxa" w:w="10224"/>
            <w:shd w:fill="EAF5EF"/>
          </w:tcPr>
          <w:p>
            <w:r>
              <w:rPr>
                <w:b/>
                <w:color w:val="006B46"/>
                <w:sz w:val="22"/>
              </w:rPr>
              <w:t>NORTH STAR</w:t>
              <w:br/>
            </w:r>
            <w:r>
              <w:rPr>
                <w:color w:val="17231D"/>
                <w:sz w:val="19"/>
              </w:rPr>
              <w:t>A policymaker should be able to discover a challenge, inspect the evidence, find researchers/innovators, join a workspace, observe the pilot on a map, inspect measurable outcomes and trace the learning back to policy — without leaving BHUMI–NITI.</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36A"/>
        <w:sz w:val="16"/>
      </w:rPr>
      <w:t>BHUMI–NITI • Innovation Portal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3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6B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23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6B4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