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Operation Hydra</w:t>
      </w:r>
    </w:p>
    <w:p>
      <w:pPr>
        <w:spacing w:after="300"/>
        <w:jc w:val="center"/>
      </w:pPr>
      <w:r>
        <w:rPr>
          <w:b/>
          <w:bCs/>
          <w:sz w:val="26"/>
          <w:szCs w:val="26"/>
        </w:rPr>
        <w:t xml:space="preserve">Unraveling a Multi-Vector Cyber Crime Involving Phishing, Spoofing &amp; Financial Fraud</w:t>
      </w:r>
    </w:p>
    <w:p>
      <w:pPr>
        <w:spacing w:after="60"/>
        <w:jc w:val="center"/>
      </w:pPr>
      <w:r>
        <w:rPr>
          <w:sz w:val="22"/>
          <w:szCs w:val="22"/>
        </w:rPr>
        <w:t xml:space="preserve">Assignment 2 — Unit 2: Types of Cyber Crimes</w:t>
      </w:r>
    </w:p>
    <w:p>
      <w:pPr>
        <w:spacing w:after="400"/>
        <w:jc w:val="center"/>
      </w:pPr>
      <w:r>
        <w:rPr>
          <w:i/>
          <w:iCs/>
          <w:sz w:val="22"/>
          <w:szCs w:val="22"/>
        </w:rPr>
        <w:t xml:space="preserve">Legal-Technical Impact Report</w:t>
      </w:r>
    </w:p>
    <w:p>
      <w:pPr>
        <w:spacing w:after="40"/>
        <w:jc w:val="center"/>
      </w:pPr>
      <w:r>
        <w:rPr>
          <w:sz w:val="20"/>
          <w:szCs w:val="20"/>
        </w:rPr>
        <w:t xml:space="preserve">Name: Vansh Sharma        Roll No.: 2301730159</w:t>
      </w:r>
    </w:p>
    <w:p>
      <w:pPr>
        <w:spacing w:after="40"/>
        <w:jc w:val="center"/>
      </w:pPr>
      <w:r>
        <w:rPr>
          <w:sz w:val="20"/>
          <w:szCs w:val="20"/>
        </w:rPr>
        <w:t xml:space="preserve">Class/Section: B.Tech CSE (AI &amp; ML) — Section C</w:t>
      </w:r>
    </w:p>
    <w:p>
      <w:pPr>
        <w:spacing w:after="200"/>
        <w:jc w:val="center"/>
      </w:pPr>
      <w:r>
        <w:rPr>
          <w:sz w:val="20"/>
          <w:szCs w:val="20"/>
        </w:rPr>
        <w:t xml:space="preserve">Course/Unit: Unit 2 — Types of Cyber Crimes        Date: 01 September 2026</w:t>
      </w:r>
    </w:p>
    <w:p>
      <w:r>
        <w:br w:type="page"/>
      </w:r>
    </w:p>
    <w:p>
      <w:pPr>
        <w:pStyle w:val="Heading1"/>
        <w:spacing w:after="150" w:before="300"/>
      </w:pPr>
      <w:r>
        <w:t xml:space="preserve">1. Executive Summary</w:t>
      </w:r>
    </w:p>
    <w:p>
      <w:pPr>
        <w:spacing w:after="120"/>
      </w:pPr>
      <w:r>
        <w:t xml:space="preserve">This report documents a simulated investigation into "Operation Hydra," a fictional multi-stage cyber-crime campaign constructed for coursework purposes. The scenario models a realistic attack chain in which a threat actor group impersonates a financial services company to harvest credentials, deploys a Remote Access Trojan (RAT) through a weaponized attachment, and monetizes the intrusion through UPI-based transaction fraud and layered movement of funds through mule accounts and a cryptocurrency wallet.</w:t>
      </w:r>
    </w:p>
    <w:p>
      <w:pPr>
        <w:spacing w:after="120"/>
      </w:pPr>
      <w:r>
        <w:t xml:space="preserve">The investigation is decomposed into five sub-problems: (1) cybercrime classification and legal mapping, (2) phishing and spoofing analysis, (3) malware payload analysis, (4) financial fraud tracing, and (5) a consolidated legal, ethical, and impact assessment. Each section below presents simulated evidence artifacts alongside the analytical method a real investigator would apply, and maps findings to Indian and international legal frameworks.</w:t>
      </w:r>
    </w:p>
    <w:p>
      <w:pPr>
        <w:pStyle w:val="Heading1"/>
        <w:spacing w:after="150" w:before="300"/>
      </w:pPr>
      <w:r>
        <w:t xml:space="preserve">2. Simulated Case Scenario</w:t>
      </w:r>
    </w:p>
    <w:p>
      <w:pPr>
        <w:spacing w:after="120"/>
      </w:pPr>
      <w:r>
        <w:t xml:space="preserve">Fictional victim organization: Nimbus FinServ Pvt. Ltd. (a mid-size NBFC). Fictional legitimate domain: nimbusfinserv.in. Attacker infrastructure (simulated): nimbus-secure-verify.com, registered via a privacy-shielded registrar four days before the campaign began.</w:t>
      </w:r>
    </w:p>
    <w:p>
      <w:pPr>
        <w:spacing w:after="120"/>
      </w:pPr>
      <w:r>
        <w:t xml:space="preserve">Attack narrative (simulated timeline):</w:t>
      </w:r>
    </w:p>
    <w:p>
      <w:pPr>
        <w:pStyle w:val="ListParagraph"/>
        <w:numPr>
          <w:ilvl w:val="0"/>
          <w:numId w:val="1"/>
        </w:numPr>
        <w:spacing w:after="60"/>
      </w:pPr>
      <w:r>
        <w:t xml:space="preserve">Day 0 — Reconnaissance: Attacker group ("Hydra Collective", fictional) scrapes employee and customer email addresses from a public leak aggregator.</w:t>
      </w:r>
    </w:p>
    <w:p>
      <w:pPr>
        <w:pStyle w:val="ListParagraph"/>
        <w:numPr>
          <w:ilvl w:val="0"/>
          <w:numId w:val="1"/>
        </w:numPr>
        <w:spacing w:after="60"/>
      </w:pPr>
      <w:r>
        <w:t xml:space="preserve">Day 1 — Spoofed domain nimbus-secure-verify.com registered; lookalike login page cloned from the real customer portal.</w:t>
      </w:r>
    </w:p>
    <w:p>
      <w:pPr>
        <w:pStyle w:val="ListParagraph"/>
        <w:numPr>
          <w:ilvl w:val="0"/>
          <w:numId w:val="1"/>
        </w:numPr>
        <w:spacing w:after="60"/>
      </w:pPr>
      <w:r>
        <w:t xml:space="preserve">Day 2–4 — Mass phishing email campaign sent to ~4,000 fictional customers, spoofing the "From" header to appear as [email protected]</w:t>
      </w:r>
    </w:p>
    <w:p>
      <w:pPr>
        <w:pStyle w:val="ListParagraph"/>
        <w:numPr>
          <w:ilvl w:val="0"/>
          <w:numId w:val="1"/>
        </w:numPr>
        <w:spacing w:after="60"/>
      </w:pPr>
      <w:r>
        <w:t xml:space="preserve">Day 4 — A subset of victims download a "KYC Update Form.pdf.exe" attachment, executing a simulated RAT payload.</w:t>
      </w:r>
    </w:p>
    <w:p>
      <w:pPr>
        <w:pStyle w:val="ListParagraph"/>
        <w:numPr>
          <w:ilvl w:val="0"/>
          <w:numId w:val="1"/>
        </w:numPr>
        <w:spacing w:after="60"/>
      </w:pPr>
      <w:r>
        <w:t xml:space="preserve">Day 5–9 — Captured banking credentials and OTP-relay malware used to initiate unauthorized UPI transactions.</w:t>
      </w:r>
    </w:p>
    <w:p>
      <w:pPr>
        <w:pStyle w:val="ListParagraph"/>
        <w:numPr>
          <w:ilvl w:val="0"/>
          <w:numId w:val="1"/>
        </w:numPr>
        <w:spacing w:after="60"/>
      </w:pPr>
      <w:r>
        <w:t xml:space="preserve">Day 9–14 — Funds layered through 6 simulated mule accounts, then partially converted to cryptocurrency.</w:t>
      </w:r>
    </w:p>
    <w:p>
      <w:pPr>
        <w:pStyle w:val="Heading1"/>
        <w:spacing w:after="150" w:before="300"/>
      </w:pPr>
      <w:r>
        <w:t xml:space="preserve">3. Cybercrime Decomposition &amp; Legal Mapping</w:t>
      </w:r>
    </w:p>
    <w:p>
      <w:pPr>
        <w:spacing w:after="120"/>
      </w:pPr>
      <w:r>
        <w:t xml:space="preserve">At least five distinct offences are identifiable within the simulated campaign. The table below maps each to Indian statutes (Information Technology Act 2000, as amended; Indian Penal Code / Bharatiya Nyaya Sanhita 2023 provisions commonly invoked alongside IT Act charges) and global equivalents.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00"/>
      </w:tblGrid>
      <w:tr>
        <w:tc>
          <w:tcPr>
            <w:tcW w:type="dxa" w:w="1500"/>
            <w:shd w:fill="1F3864" w:val="clear"/>
          </w:tcPr>
          <w:p>
            <w:r>
              <w:rPr>
                <w:b/>
                <w:bCs/>
                <w:color w:val="FFFFFF"/>
                <w:sz w:val="20"/>
                <w:szCs w:val="20"/>
              </w:rPr>
              <w:t xml:space="preserve">Cyber Crime</w:t>
            </w:r>
          </w:p>
        </w:tc>
        <w:tc>
          <w:tcPr>
            <w:tcW w:type="dxa" w:w="2600"/>
            <w:shd w:fill="1F3864" w:val="clear"/>
          </w:tcPr>
          <w:p>
            <w:r>
              <w:rPr>
                <w:b/>
                <w:bCs/>
                <w:color w:val="FFFFFF"/>
                <w:sz w:val="20"/>
                <w:szCs w:val="20"/>
              </w:rPr>
              <w:t xml:space="preserve">Indian IT Act</w:t>
            </w:r>
          </w:p>
        </w:tc>
        <w:tc>
          <w:tcPr>
            <w:tcW w:type="dxa" w:w="2600"/>
            <w:shd w:fill="1F3864" w:val="clear"/>
          </w:tcPr>
          <w:p>
            <w:r>
              <w:rPr>
                <w:b/>
                <w:bCs/>
                <w:color w:val="FFFFFF"/>
                <w:sz w:val="20"/>
                <w:szCs w:val="20"/>
              </w:rPr>
              <w:t xml:space="preserve">IPC / BNS (adjacent)</w:t>
            </w:r>
          </w:p>
        </w:tc>
        <w:tc>
          <w:tcPr>
            <w:tcW w:type="dxa" w:w="2600"/>
            <w:shd w:fill="1F3864" w:val="clear"/>
          </w:tcPr>
          <w:p>
            <w:r>
              <w:rPr>
                <w:b/>
                <w:bCs/>
                <w:color w:val="FFFFFF"/>
                <w:sz w:val="20"/>
                <w:szCs w:val="20"/>
              </w:rPr>
              <w:t xml:space="preserve">Global Equivalent</w:t>
            </w:r>
          </w:p>
        </w:tc>
      </w:tr>
      <w:tr>
        <w:tc>
          <w:tcPr>
            <w:tcW w:type="dxa" w:w="1500"/>
          </w:tcPr>
          <w:p>
            <w:r>
              <w:rPr>
                <w:b w:val="false"/>
                <w:bCs w:val="false"/>
                <w:color w:val="000000"/>
                <w:sz w:val="20"/>
                <w:szCs w:val="20"/>
              </w:rPr>
              <w:t xml:space="preserve">Phishing (credential theft via deceptive email)</w:t>
            </w:r>
          </w:p>
        </w:tc>
        <w:tc>
          <w:tcPr>
            <w:tcW w:type="dxa" w:w="2600"/>
          </w:tcPr>
          <w:p>
            <w:r>
              <w:rPr>
                <w:b w:val="false"/>
                <w:bCs w:val="false"/>
                <w:color w:val="000000"/>
                <w:sz w:val="20"/>
                <w:szCs w:val="20"/>
              </w:rPr>
              <w:t xml:space="preserve">IT Act s.66C (identity theft), s.66D (cheating by personation using computer resource)</w:t>
            </w:r>
          </w:p>
        </w:tc>
        <w:tc>
          <w:tcPr>
            <w:tcW w:type="dxa" w:w="2600"/>
          </w:tcPr>
          <w:p>
            <w:r>
              <w:rPr>
                <w:b w:val="false"/>
                <w:bCs w:val="false"/>
                <w:color w:val="000000"/>
                <w:sz w:val="20"/>
                <w:szCs w:val="20"/>
              </w:rPr>
              <w:t xml:space="preserve">IPC s.419 (cheating by personation), s.420 (cheating &amp; dishonestly inducing delivery of property)</w:t>
            </w:r>
          </w:p>
        </w:tc>
        <w:tc>
          <w:tcPr>
            <w:tcW w:type="dxa" w:w="2600"/>
          </w:tcPr>
          <w:p>
            <w:r>
              <w:rPr>
                <w:b w:val="false"/>
                <w:bCs w:val="false"/>
                <w:color w:val="000000"/>
                <w:sz w:val="20"/>
                <w:szCs w:val="20"/>
              </w:rPr>
              <w:t xml:space="preserve">US CFAA 18 U.S.C. §1030; EU: Directive 2013/40/EU on attacks against information systems</w:t>
            </w:r>
          </w:p>
        </w:tc>
      </w:tr>
      <w:tr>
        <w:tc>
          <w:tcPr>
            <w:tcW w:type="dxa" w:w="1500"/>
          </w:tcPr>
          <w:p>
            <w:r>
              <w:rPr>
                <w:b w:val="false"/>
                <w:bCs w:val="false"/>
                <w:color w:val="000000"/>
                <w:sz w:val="20"/>
                <w:szCs w:val="20"/>
              </w:rPr>
              <w:t xml:space="preserve">Email/domain spoofing</w:t>
            </w:r>
          </w:p>
        </w:tc>
        <w:tc>
          <w:tcPr>
            <w:tcW w:type="dxa" w:w="2600"/>
          </w:tcPr>
          <w:p>
            <w:r>
              <w:rPr>
                <w:b w:val="false"/>
                <w:bCs w:val="false"/>
                <w:color w:val="000000"/>
                <w:sz w:val="20"/>
                <w:szCs w:val="20"/>
              </w:rPr>
              <w:t xml:space="preserve">IT Act s.66C, s.66D; s.43 (unauthorized access/damage, civil liability)</w:t>
            </w:r>
          </w:p>
        </w:tc>
        <w:tc>
          <w:tcPr>
            <w:tcW w:type="dxa" w:w="2600"/>
          </w:tcPr>
          <w:p>
            <w:r>
              <w:rPr>
                <w:b w:val="false"/>
                <w:bCs w:val="false"/>
                <w:color w:val="000000"/>
                <w:sz w:val="20"/>
                <w:szCs w:val="20"/>
              </w:rPr>
              <w:t xml:space="preserve">IPC s.463/465 (forgery, read with IT Act s.66)</w:t>
            </w:r>
          </w:p>
        </w:tc>
        <w:tc>
          <w:tcPr>
            <w:tcW w:type="dxa" w:w="2600"/>
          </w:tcPr>
          <w:p>
            <w:r>
              <w:rPr>
                <w:b w:val="false"/>
                <w:bCs w:val="false"/>
                <w:color w:val="000000"/>
                <w:sz w:val="20"/>
                <w:szCs w:val="20"/>
              </w:rPr>
              <w:t xml:space="preserve">Budapest Convention Art. 8 (computer-related fraud); CAN-SPAM Act (US, spam-adjacent)</w:t>
            </w:r>
          </w:p>
        </w:tc>
      </w:tr>
      <w:tr>
        <w:tc>
          <w:tcPr>
            <w:tcW w:type="dxa" w:w="1500"/>
          </w:tcPr>
          <w:p>
            <w:r>
              <w:rPr>
                <w:b w:val="false"/>
                <w:bCs w:val="false"/>
                <w:color w:val="000000"/>
                <w:sz w:val="20"/>
                <w:szCs w:val="20"/>
              </w:rPr>
              <w:t xml:space="preserve">Malware deployment (RAT/Trojan)</w:t>
            </w:r>
          </w:p>
        </w:tc>
        <w:tc>
          <w:tcPr>
            <w:tcW w:type="dxa" w:w="2600"/>
          </w:tcPr>
          <w:p>
            <w:r>
              <w:rPr>
                <w:b w:val="false"/>
                <w:bCs w:val="false"/>
                <w:color w:val="000000"/>
                <w:sz w:val="20"/>
                <w:szCs w:val="20"/>
              </w:rPr>
              <w:t xml:space="preserve">IT Act s.43(c) (introducing computer contaminant/virus), s.66 (computer-related offences), s.43A (data protection failure — organizational liability)</w:t>
            </w:r>
          </w:p>
        </w:tc>
        <w:tc>
          <w:tcPr>
            <w:tcW w:type="dxa" w:w="2600"/>
          </w:tcPr>
          <w:p>
            <w:r>
              <w:rPr>
                <w:b w:val="false"/>
                <w:bCs w:val="false"/>
                <w:color w:val="000000"/>
                <w:sz w:val="20"/>
                <w:szCs w:val="20"/>
              </w:rPr>
              <w:t xml:space="preserve">IPC s.425/426 (mischief, where damage results)</w:t>
            </w:r>
          </w:p>
        </w:tc>
        <w:tc>
          <w:tcPr>
            <w:tcW w:type="dxa" w:w="2600"/>
          </w:tcPr>
          <w:p>
            <w:r>
              <w:rPr>
                <w:b w:val="false"/>
                <w:bCs w:val="false"/>
                <w:color w:val="000000"/>
                <w:sz w:val="20"/>
                <w:szCs w:val="20"/>
              </w:rPr>
              <w:t xml:space="preserve">Budapest Convention Art. 5 (system interference), Art. 6 (misuse of devices); CFAA §1030(a)(5)</w:t>
            </w:r>
          </w:p>
        </w:tc>
      </w:tr>
      <w:tr>
        <w:tc>
          <w:tcPr>
            <w:tcW w:type="dxa" w:w="1500"/>
          </w:tcPr>
          <w:p>
            <w:r>
              <w:rPr>
                <w:b w:val="false"/>
                <w:bCs w:val="false"/>
                <w:color w:val="000000"/>
                <w:sz w:val="20"/>
                <w:szCs w:val="20"/>
              </w:rPr>
              <w:t xml:space="preserve">Unauthorized access to banking/UPI systems</w:t>
            </w:r>
          </w:p>
        </w:tc>
        <w:tc>
          <w:tcPr>
            <w:tcW w:type="dxa" w:w="2600"/>
          </w:tcPr>
          <w:p>
            <w:r>
              <w:rPr>
                <w:b w:val="false"/>
                <w:bCs w:val="false"/>
                <w:color w:val="000000"/>
                <w:sz w:val="20"/>
                <w:szCs w:val="20"/>
              </w:rPr>
              <w:t xml:space="preserve">IT Act s.43, s.66 (hacking-type offence), s.66C</w:t>
            </w:r>
          </w:p>
        </w:tc>
        <w:tc>
          <w:tcPr>
            <w:tcW w:type="dxa" w:w="2600"/>
          </w:tcPr>
          <w:p>
            <w:r>
              <w:rPr>
                <w:b w:val="false"/>
                <w:bCs w:val="false"/>
                <w:color w:val="000000"/>
                <w:sz w:val="20"/>
                <w:szCs w:val="20"/>
              </w:rPr>
              <w:t xml:space="preserve">IPC s.379 (theft, for misappropriated funds), s.420</w:t>
            </w:r>
          </w:p>
        </w:tc>
        <w:tc>
          <w:tcPr>
            <w:tcW w:type="dxa" w:w="2600"/>
          </w:tcPr>
          <w:p>
            <w:r>
              <w:rPr>
                <w:b w:val="false"/>
                <w:bCs w:val="false"/>
                <w:color w:val="000000"/>
                <w:sz w:val="20"/>
                <w:szCs w:val="20"/>
              </w:rPr>
              <w:t xml:space="preserve">CFAA §1030(a)(2)/(a)(4); PSD2 (EU payment services regulation, breach of authentication)</w:t>
            </w:r>
          </w:p>
        </w:tc>
      </w:tr>
      <w:tr>
        <w:tc>
          <w:tcPr>
            <w:tcW w:type="dxa" w:w="1500"/>
          </w:tcPr>
          <w:p>
            <w:r>
              <w:rPr>
                <w:b w:val="false"/>
                <w:bCs w:val="false"/>
                <w:color w:val="000000"/>
                <w:sz w:val="20"/>
                <w:szCs w:val="20"/>
              </w:rPr>
              <w:t xml:space="preserve">Financial fraud / money mule layering</w:t>
            </w:r>
          </w:p>
        </w:tc>
        <w:tc>
          <w:tcPr>
            <w:tcW w:type="dxa" w:w="2600"/>
          </w:tcPr>
          <w:p>
            <w:r>
              <w:rPr>
                <w:b w:val="false"/>
                <w:bCs w:val="false"/>
                <w:color w:val="000000"/>
                <w:sz w:val="20"/>
                <w:szCs w:val="20"/>
              </w:rPr>
              <w:t xml:space="preserve">IT Act s.66D; Prevention of Money Laundering Act (PMLA) 2002 s.3 &amp; s.4</w:t>
            </w:r>
          </w:p>
        </w:tc>
        <w:tc>
          <w:tcPr>
            <w:tcW w:type="dxa" w:w="2600"/>
          </w:tcPr>
          <w:p>
            <w:r>
              <w:rPr>
                <w:b w:val="false"/>
                <w:bCs w:val="false"/>
                <w:color w:val="000000"/>
                <w:sz w:val="20"/>
                <w:szCs w:val="20"/>
              </w:rPr>
              <w:t xml:space="preserve">IPC s.420, s.409 (criminal breach of trust, if a mule is an agent)</w:t>
            </w:r>
          </w:p>
        </w:tc>
        <w:tc>
          <w:tcPr>
            <w:tcW w:type="dxa" w:w="2600"/>
          </w:tcPr>
          <w:p>
            <w:r>
              <w:rPr>
                <w:b w:val="false"/>
                <w:bCs w:val="false"/>
                <w:color w:val="000000"/>
                <w:sz w:val="20"/>
                <w:szCs w:val="20"/>
              </w:rPr>
              <w:t xml:space="preserve">FATF Recommendations on money laundering; Bank Secrecy Act (US)</w:t>
            </w:r>
          </w:p>
        </w:tc>
      </w:tr>
      <w:tr>
        <w:tc>
          <w:tcPr>
            <w:tcW w:type="dxa" w:w="1500"/>
          </w:tcPr>
          <w:p>
            <w:r>
              <w:rPr>
                <w:b w:val="false"/>
                <w:bCs w:val="false"/>
                <w:color w:val="000000"/>
                <w:sz w:val="20"/>
                <w:szCs w:val="20"/>
              </w:rPr>
              <w:t xml:space="preserve">Cryptocurrency-based laundering of proceeds</w:t>
            </w:r>
          </w:p>
        </w:tc>
        <w:tc>
          <w:tcPr>
            <w:tcW w:type="dxa" w:w="2600"/>
          </w:tcPr>
          <w:p>
            <w:r>
              <w:rPr>
                <w:b w:val="false"/>
                <w:bCs w:val="false"/>
                <w:color w:val="000000"/>
                <w:sz w:val="20"/>
                <w:szCs w:val="20"/>
              </w:rPr>
              <w:t xml:space="preserve">PMLA 2002 (proceeds of crime); IT Act s.66 read with PMLA; FIU-IND reporting obligations</w:t>
            </w:r>
          </w:p>
        </w:tc>
        <w:tc>
          <w:tcPr>
            <w:tcW w:type="dxa" w:w="2600"/>
          </w:tcPr>
          <w:p>
            <w:r>
              <w:rPr>
                <w:b w:val="false"/>
                <w:bCs w:val="false"/>
                <w:color w:val="000000"/>
                <w:sz w:val="20"/>
                <w:szCs w:val="20"/>
              </w:rPr>
              <w:t xml:space="preserve">IPC s.420 read with s.120B (criminal conspiracy)</w:t>
            </w:r>
          </w:p>
        </w:tc>
        <w:tc>
          <w:tcPr>
            <w:tcW w:type="dxa" w:w="2600"/>
          </w:tcPr>
          <w:p>
            <w:r>
              <w:rPr>
                <w:b w:val="false"/>
                <w:bCs w:val="false"/>
                <w:color w:val="000000"/>
                <w:sz w:val="20"/>
                <w:szCs w:val="20"/>
              </w:rPr>
              <w:t xml:space="preserve">FATF Virtual Asset Service Provider (VASP) guidance; EU AMLD5/6 (virtual currency provisions)</w:t>
            </w:r>
          </w:p>
        </w:tc>
      </w:tr>
    </w:tbl>
    <w:p>
      <w:pPr>
        <w:spacing w:after="120"/>
      </w:pPr>
      <w:r>
        <w:t xml:space="preserve"/>
      </w:r>
    </w:p>
    <w:p>
      <w:pPr>
        <w:spacing w:after="120"/>
      </w:pPr>
      <w:r>
        <w:t xml:space="preserve">Note on jurisdiction: because the spoofed domain, victims, and mule accounts can span multiple states or countries in a real case, the offence would typically attract IT Act s.75 (extra-territorial jurisdiction) and require coordination via mutual legal assistance treaties (MLATs) or INTERPOL channels — a point developed further in Section 8 (Ethical Dilemmas).</w:t>
      </w:r>
    </w:p>
    <w:p>
      <w:pPr>
        <w:pStyle w:val="Heading1"/>
        <w:spacing w:after="150" w:before="300"/>
      </w:pPr>
      <w:r>
        <w:t xml:space="preserve">4. Phishing &amp; Spoofing Technical Analysis</w:t>
      </w:r>
    </w:p>
    <w:p>
      <w:pPr>
        <w:pStyle w:val="Heading2"/>
        <w:spacing w:after="120" w:before="250"/>
      </w:pPr>
      <w:r>
        <w:t xml:space="preserve">4.1 Simulated Phishing Email Header</w:t>
      </w:r>
    </w:p>
    <w:p>
      <w:pPr>
        <w:spacing w:after="120"/>
      </w:pPr>
      <w:r>
        <w:t xml:space="preserve">A representative simulated header is reproduced below in the standard RFC 5322 format an investigator would examine:</w:t>
      </w:r>
    </w:p>
    <w:p>
      <w:pPr>
        <w:shd w:fill="F2F2F2" w:val="clear"/>
        <w:spacing w:after="40"/>
      </w:pPr>
      <w:r>
        <w:rPr>
          <w:rFonts w:ascii="Consolas" w:cs="Consolas" w:eastAsia="Consolas" w:hAnsi="Consolas"/>
          <w:sz w:val="18"/>
          <w:szCs w:val="18"/>
        </w:rPr>
        <w:t xml:space="preserve">From: Nimbus FinServ Support &lt;[email protected]&gt;</w:t>
      </w:r>
    </w:p>
    <w:p>
      <w:pPr>
        <w:shd w:fill="F2F2F2" w:val="clear"/>
        <w:spacing w:after="40"/>
      </w:pPr>
      <w:r>
        <w:rPr>
          <w:rFonts w:ascii="Consolas" w:cs="Consolas" w:eastAsia="Consolas" w:hAnsi="Consolas"/>
          <w:sz w:val="18"/>
          <w:szCs w:val="18"/>
        </w:rPr>
        <w:t xml:space="preserve">Reply-To: [email protected]</w:t>
      </w:r>
    </w:p>
    <w:p>
      <w:pPr>
        <w:shd w:fill="F2F2F2" w:val="clear"/>
        <w:spacing w:after="40"/>
      </w:pPr>
      <w:r>
        <w:rPr>
          <w:rFonts w:ascii="Consolas" w:cs="Consolas" w:eastAsia="Consolas" w:hAnsi="Consolas"/>
          <w:sz w:val="18"/>
          <w:szCs w:val="18"/>
        </w:rPr>
        <w:t xml:space="preserve">Return-Path: &lt;[email protected]&gt;</w:t>
      </w:r>
    </w:p>
    <w:p>
      <w:pPr>
        <w:shd w:fill="F2F2F2" w:val="clear"/>
        <w:spacing w:after="40"/>
      </w:pPr>
      <w:r>
        <w:rPr>
          <w:rFonts w:ascii="Consolas" w:cs="Consolas" w:eastAsia="Consolas" w:hAnsi="Consolas"/>
          <w:sz w:val="18"/>
          <w:szCs w:val="18"/>
        </w:rPr>
        <w:t xml:space="preserve">Received: from mail.nimbus-secure-verify.com (203.0.113.44)</w:t>
      </w:r>
    </w:p>
    <w:p>
      <w:pPr>
        <w:shd w:fill="F2F2F2" w:val="clear"/>
        <w:spacing w:after="40"/>
      </w:pPr>
      <w:r>
        <w:rPr>
          <w:rFonts w:ascii="Consolas" w:cs="Consolas" w:eastAsia="Consolas" w:hAnsi="Consolas"/>
          <w:sz w:val="18"/>
          <w:szCs w:val="18"/>
        </w:rPr>
        <w:t xml:space="preserve">Subject: URGENT: Re-verify your KYC to avoid account suspension</w:t>
      </w:r>
    </w:p>
    <w:p>
      <w:pPr>
        <w:shd w:fill="F2F2F2" w:val="clear"/>
        <w:spacing w:after="40"/>
      </w:pPr>
      <w:r>
        <w:rPr>
          <w:rFonts w:ascii="Consolas" w:cs="Consolas" w:eastAsia="Consolas" w:hAnsi="Consolas"/>
          <w:sz w:val="18"/>
          <w:szCs w:val="18"/>
        </w:rPr>
        <w:t xml:space="preserve">Authentication-Results: mx.example.net; spf=fail smtp.mailfrom=nimbus-secure-verify.com;</w:t>
      </w:r>
    </w:p>
    <w:p>
      <w:pPr>
        <w:shd w:fill="F2F2F2" w:val="clear"/>
        <w:spacing w:after="40"/>
      </w:pPr>
      <w:r>
        <w:rPr>
          <w:rFonts w:ascii="Consolas" w:cs="Consolas" w:eastAsia="Consolas" w:hAnsi="Consolas"/>
          <w:sz w:val="18"/>
          <w:szCs w:val="18"/>
        </w:rPr>
        <w:t xml:space="preserve">  dkim=none; dmarc=fail (p=REJECT) header.from=nimbusfinserv.in</w:t>
      </w:r>
    </w:p>
    <w:p>
      <w:pPr>
        <w:spacing w:after="120"/>
      </w:pPr>
      <w:r>
        <w:t xml:space="preserve">Indicators observed: (a) the visible display name mimics the brand but the actual sending domain (nimbus-secure-verify.com) does not match the organization's real domain (nimbusfinserv.in); (b) SPF fails because 203.0.113.44 is not listed in the real domain's SPF record; (c) DKIM is absent, meaning the message carries no cryptographic signature tying it to the legitimate domain; (d) DMARC evaluates to fail with a reject policy, meaning a properly configured receiving server should have quarantined or rejected the message outright — its delivery suggests either a misconfigured recipient mail gateway or a targeted bypass.</w:t>
      </w:r>
    </w:p>
    <w:p>
      <w:pPr>
        <w:pStyle w:val="Heading2"/>
        <w:spacing w:after="120" w:before="250"/>
      </w:pPr>
      <w:r>
        <w:t xml:space="preserve">4.2 SPF / DKIM / DMARC Review Method</w:t>
      </w:r>
    </w:p>
    <w:p>
      <w:pPr>
        <w:pStyle w:val="ListParagraph"/>
        <w:numPr>
          <w:ilvl w:val="0"/>
          <w:numId w:val="1"/>
        </w:numPr>
        <w:spacing w:after="60"/>
      </w:pPr>
      <w:r>
        <w:t xml:space="preserve">Pull the real organization's published SPF record via DNS TXT lookup and compare the sending IP against it.</w:t>
      </w:r>
    </w:p>
    <w:p>
      <w:pPr>
        <w:pStyle w:val="ListParagraph"/>
        <w:numPr>
          <w:ilvl w:val="0"/>
          <w:numId w:val="1"/>
        </w:numPr>
        <w:spacing w:after="60"/>
      </w:pPr>
      <w:r>
        <w:t xml:space="preserve">Check for a DKIM-Signature header; if present, validate the signing domain (d=) against the claimed From domain.</w:t>
      </w:r>
    </w:p>
    <w:p>
      <w:pPr>
        <w:pStyle w:val="ListParagraph"/>
        <w:numPr>
          <w:ilvl w:val="0"/>
          <w:numId w:val="1"/>
        </w:numPr>
        <w:spacing w:after="60"/>
      </w:pPr>
      <w:r>
        <w:t xml:space="preserve">Retrieve the DMARC policy (_dmarc TXT record) to determine whether the domain owner requests reject/quarantine/none, and note whether that policy was honored.</w:t>
      </w:r>
    </w:p>
    <w:p>
      <w:pPr>
        <w:pStyle w:val="ListParagraph"/>
        <w:numPr>
          <w:ilvl w:val="0"/>
          <w:numId w:val="1"/>
        </w:numPr>
        <w:spacing w:after="60"/>
      </w:pPr>
      <w:r>
        <w:t xml:space="preserve">Tools: MXToolbox (SPF/DKIM/DMARC lookup and header analyzer), Google Admin Toolbox Messageheader, dig/nslookup for raw DNS TXT records.</w:t>
      </w:r>
    </w:p>
    <w:p>
      <w:pPr>
        <w:pStyle w:val="Heading2"/>
        <w:spacing w:after="120" w:before="250"/>
      </w:pPr>
      <w:r>
        <w:t xml:space="preserve">4.3 Simulated WHOIS Findings for the Spoofed Domain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864" w:val="clear"/>
          </w:tcPr>
          <w:p>
            <w:r>
              <w:rPr>
                <w:b/>
                <w:bCs/>
                <w:color w:val="FFFFFF"/>
                <w:sz w:val="20"/>
                <w:szCs w:val="20"/>
              </w:rPr>
              <w:t xml:space="preserve">Field</w:t>
            </w:r>
          </w:p>
        </w:tc>
        <w:tc>
          <w:tcPr>
            <w:tcW w:type="dxa" w:w="6600"/>
            <w:shd w:fill="1F3864" w:val="clear"/>
          </w:tcPr>
          <w:p>
            <w:r>
              <w:rPr>
                <w:b/>
                <w:bCs/>
                <w:color w:val="FFFFFF"/>
                <w:sz w:val="20"/>
                <w:szCs w:val="20"/>
              </w:rPr>
              <w:t xml:space="preserve">Value</w:t>
            </w:r>
          </w:p>
        </w:tc>
      </w:tr>
      <w:tr>
        <w:tc>
          <w:tcPr>
            <w:tcW w:type="dxa" w:w="2600"/>
          </w:tcPr>
          <w:p>
            <w:r>
              <w:rPr>
                <w:b w:val="false"/>
                <w:bCs w:val="false"/>
                <w:color w:val="000000"/>
                <w:sz w:val="20"/>
                <w:szCs w:val="20"/>
              </w:rPr>
              <w:t xml:space="preserve">Domain</w:t>
            </w:r>
          </w:p>
        </w:tc>
        <w:tc>
          <w:tcPr>
            <w:tcW w:type="dxa" w:w="6600"/>
          </w:tcPr>
          <w:p>
            <w:r>
              <w:rPr>
                <w:b w:val="false"/>
                <w:bCs w:val="false"/>
                <w:color w:val="000000"/>
                <w:sz w:val="20"/>
                <w:szCs w:val="20"/>
              </w:rPr>
              <w:t xml:space="preserve">nimbus-secure-verify.com (simulated)</w:t>
            </w:r>
          </w:p>
        </w:tc>
      </w:tr>
      <w:tr>
        <w:tc>
          <w:tcPr>
            <w:tcW w:type="dxa" w:w="2600"/>
          </w:tcPr>
          <w:p>
            <w:r>
              <w:rPr>
                <w:b w:val="false"/>
                <w:bCs w:val="false"/>
                <w:color w:val="000000"/>
                <w:sz w:val="20"/>
                <w:szCs w:val="20"/>
              </w:rPr>
              <w:t xml:space="preserve">Registrar</w:t>
            </w:r>
          </w:p>
        </w:tc>
        <w:tc>
          <w:tcPr>
            <w:tcW w:type="dxa" w:w="6600"/>
          </w:tcPr>
          <w:p>
            <w:r>
              <w:rPr>
                <w:b w:val="false"/>
                <w:bCs w:val="false"/>
                <w:color w:val="000000"/>
                <w:sz w:val="20"/>
                <w:szCs w:val="20"/>
              </w:rPr>
              <w:t xml:space="preserve">Fictional Registrar LLC (privacy-proxy registration)</w:t>
            </w:r>
          </w:p>
        </w:tc>
      </w:tr>
      <w:tr>
        <w:tc>
          <w:tcPr>
            <w:tcW w:type="dxa" w:w="2600"/>
          </w:tcPr>
          <w:p>
            <w:r>
              <w:rPr>
                <w:b w:val="false"/>
                <w:bCs w:val="false"/>
                <w:color w:val="000000"/>
                <w:sz w:val="20"/>
                <w:szCs w:val="20"/>
              </w:rPr>
              <w:t xml:space="preserve">Creation Date</w:t>
            </w:r>
          </w:p>
        </w:tc>
        <w:tc>
          <w:tcPr>
            <w:tcW w:type="dxa" w:w="6600"/>
          </w:tcPr>
          <w:p>
            <w:r>
              <w:rPr>
                <w:b w:val="false"/>
                <w:bCs w:val="false"/>
                <w:color w:val="000000"/>
                <w:sz w:val="20"/>
                <w:szCs w:val="20"/>
              </w:rPr>
              <w:t xml:space="preserve">4 days before first phishing email observed</w:t>
            </w:r>
          </w:p>
        </w:tc>
      </w:tr>
      <w:tr>
        <w:tc>
          <w:tcPr>
            <w:tcW w:type="dxa" w:w="2600"/>
          </w:tcPr>
          <w:p>
            <w:r>
              <w:rPr>
                <w:b w:val="false"/>
                <w:bCs w:val="false"/>
                <w:color w:val="000000"/>
                <w:sz w:val="20"/>
                <w:szCs w:val="20"/>
              </w:rPr>
              <w:t xml:space="preserve">Name Servers</w:t>
            </w:r>
          </w:p>
        </w:tc>
        <w:tc>
          <w:tcPr>
            <w:tcW w:type="dxa" w:w="6600"/>
          </w:tcPr>
          <w:p>
            <w:r>
              <w:rPr>
                <w:b w:val="false"/>
                <w:bCs w:val="false"/>
                <w:color w:val="000000"/>
                <w:sz w:val="20"/>
                <w:szCs w:val="20"/>
              </w:rPr>
              <w:t xml:space="preserve">ns1.bulletproof-hosting-example.net, ns2.bulletproof-hosting-example.net</w:t>
            </w:r>
          </w:p>
        </w:tc>
      </w:tr>
      <w:tr>
        <w:tc>
          <w:tcPr>
            <w:tcW w:type="dxa" w:w="2600"/>
          </w:tcPr>
          <w:p>
            <w:r>
              <w:rPr>
                <w:b w:val="false"/>
                <w:bCs w:val="false"/>
                <w:color w:val="000000"/>
                <w:sz w:val="20"/>
                <w:szCs w:val="20"/>
              </w:rPr>
              <w:t xml:space="preserve">Hosting ASN / IP block</w:t>
            </w:r>
          </w:p>
        </w:tc>
        <w:tc>
          <w:tcPr>
            <w:tcW w:type="dxa" w:w="6600"/>
          </w:tcPr>
          <w:p>
            <w:r>
              <w:rPr>
                <w:b w:val="false"/>
                <w:bCs w:val="false"/>
                <w:color w:val="000000"/>
                <w:sz w:val="20"/>
                <w:szCs w:val="20"/>
              </w:rPr>
              <w:t xml:space="preserve">203.0.113.0/24 (RFC 5737 documentation range, used here as a stand-in)</w:t>
            </w:r>
          </w:p>
        </w:tc>
      </w:tr>
      <w:tr>
        <w:tc>
          <w:tcPr>
            <w:tcW w:type="dxa" w:w="2600"/>
          </w:tcPr>
          <w:p>
            <w:r>
              <w:rPr>
                <w:b w:val="false"/>
                <w:bCs w:val="false"/>
                <w:color w:val="000000"/>
                <w:sz w:val="20"/>
                <w:szCs w:val="20"/>
              </w:rPr>
              <w:t xml:space="preserve">Registrant Country</w:t>
            </w:r>
          </w:p>
        </w:tc>
        <w:tc>
          <w:tcPr>
            <w:tcW w:type="dxa" w:w="6600"/>
          </w:tcPr>
          <w:p>
            <w:r>
              <w:rPr>
                <w:b w:val="false"/>
                <w:bCs w:val="false"/>
                <w:color w:val="000000"/>
                <w:sz w:val="20"/>
                <w:szCs w:val="20"/>
              </w:rPr>
              <w:t xml:space="preserve">Redacted via privacy proxy (a common evasion pattern)</w:t>
            </w:r>
          </w:p>
        </w:tc>
      </w:tr>
    </w:tbl>
    <w:p>
      <w:pPr>
        <w:spacing w:after="120"/>
      </w:pPr>
      <w:r>
        <w:t xml:space="preserve"/>
      </w:r>
    </w:p>
    <w:p>
      <w:pPr>
        <w:spacing w:after="120"/>
      </w:pPr>
      <w:r>
        <w:t xml:space="preserve">A short registration age, privacy-shielded WHOIS, and hosting on infrastructure with no prior reputation history are classic domain-spoofing indicators. In a live investigation these would be corroborated with VirusTotal (domain/IP reputation and passive DNS), AbuseIPDB (abuse reports against the hosting IP), and urlscan.io (rendered screenshot and DOM comparison against the legitimate login page).</w:t>
      </w:r>
    </w:p>
    <w:p>
      <w:pPr>
        <w:pStyle w:val="Heading1"/>
        <w:spacing w:after="150" w:before="300"/>
      </w:pPr>
      <w:r>
        <w:t xml:space="preserve">5. Malware Payload Analysis</w:t>
      </w:r>
    </w:p>
    <w:p>
      <w:pPr>
        <w:spacing w:after="120"/>
      </w:pPr>
      <w:r>
        <w:t xml:space="preserve">The simulated attachment "KYC Update Form.pdf.exe" uses a double-extension trick to disguise an executable as a PDF. Based on its simulated behavior profile — establishing outbound command-and-control (C2) beaconing, logging keystrokes around banking application windows, and exfiltrating captured OTP SMS notifications — it is classified as a Remote Access Trojan (RAT) with an embedded keylogger module, rather than a simple Trojan downloader or a logic bomb (which triggers on a condition rather than persisting for remote control).</w:t>
      </w:r>
    </w:p>
    <w:p>
      <w:pPr>
        <w:pStyle w:val="Heading2"/>
        <w:spacing w:after="120" w:before="250"/>
      </w:pPr>
      <w:r>
        <w:t xml:space="preserve">5.1 Simulated Indicators of Compromise (IOCs)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W w:type="dxa" w:w="2200"/>
            <w:shd w:fill="1F3864" w:val="clear"/>
          </w:tcPr>
          <w:p>
            <w:r>
              <w:rPr>
                <w:b/>
                <w:bCs/>
                <w:color w:val="FFFFFF"/>
                <w:sz w:val="20"/>
                <w:szCs w:val="20"/>
              </w:rPr>
              <w:t xml:space="preserve">IOC Type</w:t>
            </w:r>
          </w:p>
        </w:tc>
        <w:tc>
          <w:tcPr>
            <w:tcW w:type="dxa" w:w="2400"/>
            <w:shd w:fill="1F3864" w:val="clear"/>
          </w:tcPr>
          <w:p>
            <w:r>
              <w:rPr>
                <w:b/>
                <w:bCs/>
                <w:color w:val="FFFFFF"/>
                <w:sz w:val="20"/>
                <w:szCs w:val="20"/>
              </w:rPr>
              <w:t xml:space="preserve">Value</w:t>
            </w:r>
          </w:p>
        </w:tc>
        <w:tc>
          <w:tcPr>
            <w:tcW w:type="dxa" w:w="4600"/>
            <w:shd w:fill="1F3864" w:val="clear"/>
          </w:tcPr>
          <w:p>
            <w:r>
              <w:rPr>
                <w:b/>
                <w:bCs/>
                <w:color w:val="FFFFFF"/>
                <w:sz w:val="20"/>
                <w:szCs w:val="20"/>
              </w:rPr>
              <w:t xml:space="preserve">Notes</w:t>
            </w:r>
          </w:p>
        </w:tc>
      </w:tr>
      <w:tr>
        <w:tc>
          <w:tcPr>
            <w:tcW w:type="dxa" w:w="2200"/>
          </w:tcPr>
          <w:p>
            <w:r>
              <w:rPr>
                <w:b w:val="false"/>
                <w:bCs w:val="false"/>
                <w:color w:val="000000"/>
                <w:sz w:val="20"/>
                <w:szCs w:val="20"/>
              </w:rPr>
              <w:t xml:space="preserve">File hash (SHA-256)</w:t>
            </w:r>
          </w:p>
        </w:tc>
        <w:tc>
          <w:tcPr>
            <w:tcW w:type="dxa" w:w="2400"/>
          </w:tcPr>
          <w:p>
            <w:r>
              <w:rPr>
                <w:b w:val="false"/>
                <w:bCs w:val="false"/>
                <w:color w:val="000000"/>
                <w:sz w:val="20"/>
                <w:szCs w:val="20"/>
              </w:rPr>
              <w:t xml:space="preserve">e3b0c4...SIMULATED...9b7852b855 (placeholder)</w:t>
            </w:r>
          </w:p>
        </w:tc>
        <w:tc>
          <w:tcPr>
            <w:tcW w:type="dxa" w:w="4600"/>
          </w:tcPr>
          <w:p>
            <w:r>
              <w:rPr>
                <w:b w:val="false"/>
                <w:bCs w:val="false"/>
                <w:color w:val="000000"/>
                <w:sz w:val="20"/>
                <w:szCs w:val="20"/>
              </w:rPr>
              <w:t xml:space="preserve">Attachment delivered via phishing email; would be submitted to VirusTotal/a sandbox for real analysis</w:t>
            </w:r>
          </w:p>
        </w:tc>
      </w:tr>
      <w:tr>
        <w:tc>
          <w:tcPr>
            <w:tcW w:type="dxa" w:w="2200"/>
          </w:tcPr>
          <w:p>
            <w:r>
              <w:rPr>
                <w:b w:val="false"/>
                <w:bCs w:val="false"/>
                <w:color w:val="000000"/>
                <w:sz w:val="20"/>
                <w:szCs w:val="20"/>
              </w:rPr>
              <w:t xml:space="preserve">C2 domain</w:t>
            </w:r>
          </w:p>
        </w:tc>
        <w:tc>
          <w:tcPr>
            <w:tcW w:type="dxa" w:w="2400"/>
          </w:tcPr>
          <w:p>
            <w:r>
              <w:rPr>
                <w:b w:val="false"/>
                <w:bCs w:val="false"/>
                <w:color w:val="000000"/>
                <w:sz w:val="20"/>
                <w:szCs w:val="20"/>
              </w:rPr>
              <w:t xml:space="preserve">hydra-c2-panel.example (simulated)</w:t>
            </w:r>
          </w:p>
        </w:tc>
        <w:tc>
          <w:tcPr>
            <w:tcW w:type="dxa" w:w="4600"/>
          </w:tcPr>
          <w:p>
            <w:r>
              <w:rPr>
                <w:b w:val="false"/>
                <w:bCs w:val="false"/>
                <w:color w:val="000000"/>
                <w:sz w:val="20"/>
                <w:szCs w:val="20"/>
              </w:rPr>
              <w:t xml:space="preserve">Contacted every 60s for beaconing; matches RAT check-in pattern</w:t>
            </w:r>
          </w:p>
        </w:tc>
      </w:tr>
      <w:tr>
        <w:tc>
          <w:tcPr>
            <w:tcW w:type="dxa" w:w="2200"/>
          </w:tcPr>
          <w:p>
            <w:r>
              <w:rPr>
                <w:b w:val="false"/>
                <w:bCs w:val="false"/>
                <w:color w:val="000000"/>
                <w:sz w:val="20"/>
                <w:szCs w:val="20"/>
              </w:rPr>
              <w:t xml:space="preserve">C2 IP</w:t>
            </w:r>
          </w:p>
        </w:tc>
        <w:tc>
          <w:tcPr>
            <w:tcW w:type="dxa" w:w="2400"/>
          </w:tcPr>
          <w:p>
            <w:r>
              <w:rPr>
                <w:b w:val="false"/>
                <w:bCs w:val="false"/>
                <w:color w:val="000000"/>
                <w:sz w:val="20"/>
                <w:szCs w:val="20"/>
              </w:rPr>
              <w:t xml:space="preserve">198.51.100.23 (RFC 5737 range)</w:t>
            </w:r>
          </w:p>
        </w:tc>
        <w:tc>
          <w:tcPr>
            <w:tcW w:type="dxa" w:w="4600"/>
          </w:tcPr>
          <w:p>
            <w:r>
              <w:rPr>
                <w:b w:val="false"/>
                <w:bCs w:val="false"/>
                <w:color w:val="000000"/>
                <w:sz w:val="20"/>
                <w:szCs w:val="20"/>
              </w:rPr>
              <w:t xml:space="preserve">Destination of beacon traffic and exfiltrated keylog data</w:t>
            </w:r>
          </w:p>
        </w:tc>
      </w:tr>
      <w:tr>
        <w:tc>
          <w:tcPr>
            <w:tcW w:type="dxa" w:w="2200"/>
          </w:tcPr>
          <w:p>
            <w:r>
              <w:rPr>
                <w:b w:val="false"/>
                <w:bCs w:val="false"/>
                <w:color w:val="000000"/>
                <w:sz w:val="20"/>
                <w:szCs w:val="20"/>
              </w:rPr>
              <w:t xml:space="preserve">Persistence mechanism</w:t>
            </w:r>
          </w:p>
        </w:tc>
        <w:tc>
          <w:tcPr>
            <w:tcW w:type="dxa" w:w="2400"/>
          </w:tcPr>
          <w:p>
            <w:r>
              <w:rPr>
                <w:b w:val="false"/>
                <w:bCs w:val="false"/>
                <w:color w:val="000000"/>
                <w:sz w:val="20"/>
                <w:szCs w:val="20"/>
              </w:rPr>
              <w:t xml:space="preserve">Registry Run key (simulated) / scheduled task</w:t>
            </w:r>
          </w:p>
        </w:tc>
        <w:tc>
          <w:tcPr>
            <w:tcW w:type="dxa" w:w="4600"/>
          </w:tcPr>
          <w:p>
            <w:r>
              <w:rPr>
                <w:b w:val="false"/>
                <w:bCs w:val="false"/>
                <w:color w:val="000000"/>
                <w:sz w:val="20"/>
                <w:szCs w:val="20"/>
              </w:rPr>
              <w:t xml:space="preserve">Ensures payload survives reboot</w:t>
            </w:r>
          </w:p>
        </w:tc>
      </w:tr>
      <w:tr>
        <w:tc>
          <w:tcPr>
            <w:tcW w:type="dxa" w:w="2200"/>
          </w:tcPr>
          <w:p>
            <w:r>
              <w:rPr>
                <w:b w:val="false"/>
                <w:bCs w:val="false"/>
                <w:color w:val="000000"/>
                <w:sz w:val="20"/>
                <w:szCs w:val="20"/>
              </w:rPr>
              <w:t xml:space="preserve">Behavioral flag</w:t>
            </w:r>
          </w:p>
        </w:tc>
        <w:tc>
          <w:tcPr>
            <w:tcW w:type="dxa" w:w="2400"/>
          </w:tcPr>
          <w:p>
            <w:r>
              <w:rPr>
                <w:b w:val="false"/>
                <w:bCs w:val="false"/>
                <w:color w:val="000000"/>
                <w:sz w:val="20"/>
                <w:szCs w:val="20"/>
              </w:rPr>
              <w:t xml:space="preserve">Keystroke capture scoped to banking-app window titles</w:t>
            </w:r>
          </w:p>
        </w:tc>
        <w:tc>
          <w:tcPr>
            <w:tcW w:type="dxa" w:w="4600"/>
          </w:tcPr>
          <w:p>
            <w:r>
              <w:rPr>
                <w:b w:val="false"/>
                <w:bCs w:val="false"/>
                <w:color w:val="000000"/>
                <w:sz w:val="20"/>
                <w:szCs w:val="20"/>
              </w:rPr>
              <w:t xml:space="preserve">Consistent with credential/OTP harvesting, not generic spyware</w:t>
            </w:r>
          </w:p>
        </w:tc>
      </w:tr>
    </w:tbl>
    <w:p>
      <w:pPr>
        <w:spacing w:after="120"/>
      </w:pPr>
      <w:r>
        <w:t xml:space="preserve"/>
      </w:r>
    </w:p>
    <w:p>
      <w:pPr>
        <w:spacing w:after="120"/>
      </w:pPr>
      <w:r>
        <w:t xml:space="preserve">Mapping behavior to attack vector: the RAT's OTP-harvesting module is the direct technical enabler of the unauthorized UPI transactions analyzed in Section 6 — the malware supplies the one-time passwords that the attacker's fraud kit needs to authorize transfers, linking Sub-Problems 3 and 4 into a single kill chain.</w:t>
      </w:r>
    </w:p>
    <w:p>
      <w:pPr>
        <w:pStyle w:val="Heading1"/>
        <w:spacing w:after="150" w:before="300"/>
      </w:pPr>
      <w:r>
        <w:t xml:space="preserve">6. Financial Fraud Tracing</w:t>
      </w:r>
    </w:p>
    <w:p>
      <w:pPr>
        <w:pStyle w:val="Heading2"/>
        <w:spacing w:after="120" w:before="250"/>
      </w:pPr>
      <w:r>
        <w:t xml:space="preserve">6.1 Simulated Transaction Log Excerpt</w:t>
      </w:r>
    </w:p>
    <w:p>
      <w:pPr>
        <w:shd w:fill="F2F2F2" w:val="clear"/>
        <w:spacing w:after="40"/>
      </w:pPr>
      <w:r>
        <w:rPr>
          <w:rFonts w:ascii="Consolas" w:cs="Consolas" w:eastAsia="Consolas" w:hAnsi="Consolas"/>
          <w:sz w:val="18"/>
          <w:szCs w:val="18"/>
        </w:rPr>
        <w:t xml:space="preserve">TXN_ID: SIM-000217 | UPI_REF: 998877665544 | AMT: INR 48,500.00</w:t>
      </w:r>
    </w:p>
    <w:p>
      <w:pPr>
        <w:shd w:fill="F2F2F2" w:val="clear"/>
        <w:spacing w:after="40"/>
      </w:pPr>
      <w:r>
        <w:rPr>
          <w:rFonts w:ascii="Consolas" w:cs="Consolas" w:eastAsia="Consolas" w:hAnsi="Consolas"/>
          <w:sz w:val="18"/>
          <w:szCs w:val="18"/>
        </w:rPr>
        <w:t xml:space="preserve">SRC_VPA: [email protected] | DST_VPA: [email protected]</w:t>
      </w:r>
    </w:p>
    <w:p>
      <w:pPr>
        <w:shd w:fill="F2F2F2" w:val="clear"/>
        <w:spacing w:after="40"/>
      </w:pPr>
      <w:r>
        <w:rPr>
          <w:rFonts w:ascii="Consolas" w:cs="Consolas" w:eastAsia="Consolas" w:hAnsi="Consolas"/>
          <w:sz w:val="18"/>
          <w:szCs w:val="18"/>
        </w:rPr>
        <w:t xml:space="preserve">TIMESTAMP: Day+9 03:47:12 IST | DEVICE_ID: unrecognized (new device)</w:t>
      </w:r>
    </w:p>
    <w:p>
      <w:pPr>
        <w:shd w:fill="F2F2F2" w:val="clear"/>
        <w:spacing w:after="40"/>
      </w:pPr>
      <w:r>
        <w:rPr>
          <w:rFonts w:ascii="Consolas" w:cs="Consolas" w:eastAsia="Consolas" w:hAnsi="Consolas"/>
          <w:sz w:val="18"/>
          <w:szCs w:val="18"/>
        </w:rPr>
        <w:t xml:space="preserve">AUTH: OTP verified (harvested per Sec.5) | GEO_IP: 198.51.100.77</w:t>
      </w:r>
    </w:p>
    <w:p>
      <w:pPr>
        <w:spacing w:after="120"/>
      </w:pPr>
      <w:r>
        <w:t xml:space="preserve">The unrecognized device ID and off-hours timestamp (03:47 IST) are classic fraud-scoring triggers that a real bank's transaction-monitoring system would flag for step-up authentication.</w:t>
      </w:r>
    </w:p>
    <w:p>
      <w:pPr>
        <w:pStyle w:val="Heading2"/>
        <w:spacing w:after="120" w:before="250"/>
      </w:pPr>
      <w:r>
        <w:t xml:space="preserve">6.2 Mule Account Layering (Simulated)</w:t>
      </w:r>
    </w:p>
    <w:p>
      <w:pPr>
        <w:spacing w:after="120"/>
      </w:pPr>
      <w:r>
        <w:t xml:space="preserve">Funds were traced moving through a simulated three-hop mule chain before partial conversion to cryptocurrency:</w:t>
      </w:r>
    </w:p>
    <w:p>
      <w:pPr>
        <w:pStyle w:val="ListParagraph"/>
        <w:numPr>
          <w:ilvl w:val="0"/>
          <w:numId w:val="1"/>
        </w:numPr>
        <w:spacing w:after="60"/>
      </w:pPr>
      <w:r>
        <w:t xml:space="preserve">Hop 1: Victim account → Mule Account A (newly opened, low prior activity) — 100% of stolen funds.</w:t>
      </w:r>
    </w:p>
    <w:p>
      <w:pPr>
        <w:pStyle w:val="ListParagraph"/>
        <w:numPr>
          <w:ilvl w:val="0"/>
          <w:numId w:val="1"/>
        </w:numPr>
        <w:spacing w:after="60"/>
      </w:pPr>
      <w:r>
        <w:t xml:space="preserve">Hop 2: Mule Account A → Mule Accounts B and C (split ~60/40) within 2 hours — a "smurfing" pattern used to stay under automated reporting thresholds.</w:t>
      </w:r>
    </w:p>
    <w:p>
      <w:pPr>
        <w:pStyle w:val="ListParagraph"/>
        <w:numPr>
          <w:ilvl w:val="0"/>
          <w:numId w:val="1"/>
        </w:numPr>
        <w:spacing w:after="60"/>
      </w:pPr>
      <w:r>
        <w:t xml:space="preserve">Hop 3: Mule Account C → simulated peer-to-peer crypto exchange order, converting INR to a stablecoin, then to a simulated wallet address (bc1q-SIMULATED-0001-EXAMPLE).</w:t>
      </w:r>
    </w:p>
    <w:p>
      <w:pPr>
        <w:spacing w:after="120"/>
      </w:pPr>
      <w:r>
        <w:t xml:space="preserve">Rapid multi-hop transfers immediately after receipt, accounts with no prior transaction history, and conversion to crypto at the final hop are the three signals investigators use to distinguish organized mule layering from ordinary peer transfers.</w:t>
      </w:r>
    </w:p>
    <w:p>
      <w:pPr>
        <w:pStyle w:val="Heading2"/>
        <w:spacing w:after="120" w:before="250"/>
      </w:pPr>
      <w:r>
        <w:t xml:space="preserve">6.3 Tracing Method</w:t>
      </w:r>
    </w:p>
    <w:p>
      <w:pPr>
        <w:pStyle w:val="ListParagraph"/>
        <w:numPr>
          <w:ilvl w:val="0"/>
          <w:numId w:val="1"/>
        </w:numPr>
        <w:spacing w:after="60"/>
      </w:pPr>
      <w:r>
        <w:t xml:space="preserve">Bank-side: request Suspicious Transaction Report (STR) trail and KYC documents for each mule account from FIU-IND / the bank's compliance team.</w:t>
      </w:r>
    </w:p>
    <w:p>
      <w:pPr>
        <w:pStyle w:val="ListParagraph"/>
        <w:numPr>
          <w:ilvl w:val="0"/>
          <w:numId w:val="1"/>
        </w:numPr>
        <w:spacing w:after="60"/>
      </w:pPr>
      <w:r>
        <w:t xml:space="preserve">Blockchain-side (for the crypto hop): use a block explorer to follow the wallet's transaction graph; cross-reference exchange deposit addresses, which are often identifiable via published exchange hot-wallet clusters.</w:t>
      </w:r>
    </w:p>
    <w:p>
      <w:pPr>
        <w:pStyle w:val="ListParagraph"/>
        <w:numPr>
          <w:ilvl w:val="0"/>
          <w:numId w:val="1"/>
        </w:numPr>
        <w:spacing w:after="60"/>
      </w:pPr>
      <w:r>
        <w:t xml:space="preserve">Correlate timestamps across the banking logs, the malware C2 beacon logs, and the blockchain ledger to build a single unified timeline.</w:t>
      </w:r>
    </w:p>
    <w:p>
      <w:pPr>
        <w:pStyle w:val="Heading1"/>
        <w:spacing w:after="150" w:before="300"/>
      </w:pPr>
      <w:r>
        <w:t xml:space="preserve">7. Impact on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864" w:val="clear"/>
          </w:tcPr>
          <w:p>
            <w:r>
              <w:rPr>
                <w:b/>
                <w:bCs/>
                <w:color w:val="FFFFFF"/>
                <w:sz w:val="20"/>
                <w:szCs w:val="20"/>
              </w:rPr>
              <w:t xml:space="preserve">Stakeholder Impact</w:t>
            </w:r>
          </w:p>
        </w:tc>
        <w:tc>
          <w:tcPr>
            <w:tcW w:type="dxa" w:w="6800"/>
            <w:shd w:fill="1F3864" w:val="clear"/>
          </w:tcPr>
          <w:p>
            <w:r>
              <w:rPr>
                <w:b/>
                <w:bCs/>
                <w:color w:val="FFFFFF"/>
                <w:sz w:val="20"/>
                <w:szCs w:val="20"/>
              </w:rPr>
              <w:t xml:space="preserve">Description</w:t>
            </w:r>
          </w:p>
        </w:tc>
      </w:tr>
      <w:tr>
        <w:tc>
          <w:tcPr>
            <w:tcW w:type="dxa" w:w="2200"/>
          </w:tcPr>
          <w:p>
            <w:r>
              <w:rPr>
                <w:b w:val="false"/>
                <w:bCs w:val="false"/>
                <w:color w:val="000000"/>
                <w:sz w:val="20"/>
                <w:szCs w:val="20"/>
              </w:rPr>
              <w:t xml:space="preserve">Financial</w:t>
            </w:r>
          </w:p>
        </w:tc>
        <w:tc>
          <w:tcPr>
            <w:tcW w:type="dxa" w:w="6800"/>
          </w:tcPr>
          <w:p>
            <w:r>
              <w:rPr>
                <w:b w:val="false"/>
                <w:bCs w:val="false"/>
                <w:color w:val="000000"/>
                <w:sz w:val="20"/>
                <w:szCs w:val="20"/>
              </w:rPr>
              <w:t xml:space="preserve">Direct loss to customers (~INR 48,500 per victim in the simulated case, scaled across ~4,000 targeted recipients); potential regulatory fines for the NBFC under RBI cyber-security directions and IT Act s.43A for failing to secure sensitive data.</w:t>
            </w:r>
          </w:p>
        </w:tc>
      </w:tr>
      <w:tr>
        <w:tc>
          <w:tcPr>
            <w:tcW w:type="dxa" w:w="2200"/>
          </w:tcPr>
          <w:p>
            <w:r>
              <w:rPr>
                <w:b w:val="false"/>
                <w:bCs w:val="false"/>
                <w:color w:val="000000"/>
                <w:sz w:val="20"/>
                <w:szCs w:val="20"/>
              </w:rPr>
              <w:t xml:space="preserve">Emotional / Psychological</w:t>
            </w:r>
          </w:p>
        </w:tc>
        <w:tc>
          <w:tcPr>
            <w:tcW w:type="dxa" w:w="6800"/>
          </w:tcPr>
          <w:p>
            <w:r>
              <w:rPr>
                <w:b w:val="false"/>
                <w:bCs w:val="false"/>
                <w:color w:val="000000"/>
                <w:sz w:val="20"/>
                <w:szCs w:val="20"/>
              </w:rPr>
              <w:t xml:space="preserve">Victims commonly report anxiety, loss of trust in digital banking, and a lasting reluctance to use online financial services — effects well documented in fraud-victim support literature.</w:t>
            </w:r>
          </w:p>
        </w:tc>
      </w:tr>
      <w:tr>
        <w:tc>
          <w:tcPr>
            <w:tcW w:type="dxa" w:w="2200"/>
          </w:tcPr>
          <w:p>
            <w:r>
              <w:rPr>
                <w:b w:val="false"/>
                <w:bCs w:val="false"/>
                <w:color w:val="000000"/>
                <w:sz w:val="20"/>
                <w:szCs w:val="20"/>
              </w:rPr>
              <w:t xml:space="preserve">Reputational</w:t>
            </w:r>
          </w:p>
        </w:tc>
        <w:tc>
          <w:tcPr>
            <w:tcW w:type="dxa" w:w="6800"/>
          </w:tcPr>
          <w:p>
            <w:r>
              <w:rPr>
                <w:b w:val="false"/>
                <w:bCs w:val="false"/>
                <w:color w:val="000000"/>
                <w:sz w:val="20"/>
                <w:szCs w:val="20"/>
              </w:rPr>
              <w:t xml:space="preserve">Erosion of customer trust in the Nimbus FinServ brand; media coverage of the breach; possible customer attrition and difficulty acquiring new accounts.</w:t>
            </w:r>
          </w:p>
        </w:tc>
      </w:tr>
      <w:tr>
        <w:tc>
          <w:tcPr>
            <w:tcW w:type="dxa" w:w="2200"/>
          </w:tcPr>
          <w:p>
            <w:r>
              <w:rPr>
                <w:b w:val="false"/>
                <w:bCs w:val="false"/>
                <w:color w:val="000000"/>
                <w:sz w:val="20"/>
                <w:szCs w:val="20"/>
              </w:rPr>
              <w:t xml:space="preserve">Operational / Regulatory</w:t>
            </w:r>
          </w:p>
        </w:tc>
        <w:tc>
          <w:tcPr>
            <w:tcW w:type="dxa" w:w="6800"/>
          </w:tcPr>
          <w:p>
            <w:r>
              <w:rPr>
                <w:b w:val="false"/>
                <w:bCs w:val="false"/>
                <w:color w:val="000000"/>
                <w:sz w:val="20"/>
                <w:szCs w:val="20"/>
              </w:rPr>
              <w:t xml:space="preserve">Mandatory breach reporting to CERT-In within the prescribed window; potential RBI/regulator audit; cost of forensic investigation, customer remediation, and improved controls.</w:t>
            </w:r>
          </w:p>
        </w:tc>
      </w:tr>
    </w:tbl>
    <w:p>
      <w:pPr>
        <w:pStyle w:val="Heading1"/>
        <w:spacing w:after="150" w:before="300"/>
      </w:pPr>
      <w:r>
        <w:t xml:space="preserve">8. Ethical Dilemmas in the Investigation</w:t>
      </w:r>
    </w:p>
    <w:p>
      <w:pPr>
        <w:pStyle w:val="ListParagraph"/>
        <w:numPr>
          <w:ilvl w:val="0"/>
          <w:numId w:val="1"/>
        </w:numPr>
        <w:spacing w:after="60"/>
      </w:pPr>
      <w:r>
        <w:t xml:space="preserve">Tracing cryptocurrency wallets can incidentally expose transaction histories of unrelated third parties who interacted with the same wallet cluster, raising proportionality and privacy questions even when the tracing itself is lawful.</w:t>
      </w:r>
    </w:p>
    <w:p>
      <w:pPr>
        <w:pStyle w:val="ListParagraph"/>
        <w:numPr>
          <w:ilvl w:val="0"/>
          <w:numId w:val="1"/>
        </w:numPr>
        <w:spacing w:after="60"/>
      </w:pPr>
      <w:r>
        <w:t xml:space="preserve">Deceptive honeypots or takedown counter-infrastructure (e.g., mirroring the attacker's phishing panel to log their access) blur the line between defensive research and unauthorized access to the attacker's own systems, which may itself be technically illegal depending on jurisdiction.</w:t>
      </w:r>
    </w:p>
    <w:p>
      <w:pPr>
        <w:pStyle w:val="ListParagraph"/>
        <w:numPr>
          <w:ilvl w:val="0"/>
          <w:numId w:val="1"/>
        </w:numPr>
        <w:spacing w:after="60"/>
      </w:pPr>
      <w:r>
        <w:t xml:space="preserve">Naming or "doxing" suspected mule-account holders before due process is complete risks punishing individuals who may themselves be unwitting victims of a mule-recruitment scam, rather than knowing participants.</w:t>
      </w:r>
    </w:p>
    <w:p>
      <w:pPr>
        <w:pStyle w:val="ListParagraph"/>
        <w:numPr>
          <w:ilvl w:val="0"/>
          <w:numId w:val="1"/>
        </w:numPr>
        <w:spacing w:after="60"/>
      </w:pPr>
      <w:r>
        <w:t xml:space="preserve">Cross-border evidence requests (MLAT) can take months, creating pressure to use informal or extralegal channels (e.g., private threat-intel sharing) that may not hold up as admissible evidence.</w:t>
      </w:r>
    </w:p>
    <w:p>
      <w:pPr>
        <w:pStyle w:val="Heading1"/>
        <w:spacing w:after="150" w:before="300"/>
      </w:pPr>
      <w:r>
        <w:t xml:space="preserve">9. Recommendations: Awareness &amp; Policy</w:t>
      </w:r>
    </w:p>
    <w:p>
      <w:pPr>
        <w:pStyle w:val="ListParagraph"/>
        <w:numPr>
          <w:ilvl w:val="0"/>
          <w:numId w:val="1"/>
        </w:numPr>
        <w:spacing w:after="60"/>
      </w:pPr>
      <w:r>
        <w:t xml:space="preserve">Mandatory DMARC enforcement (p=reject) for all regulated financial entities, verified as part of RBI/CERT-In compliance audits, so spoofed mail is rejected before reaching inboxes.</w:t>
      </w:r>
    </w:p>
    <w:p>
      <w:pPr>
        <w:pStyle w:val="ListParagraph"/>
        <w:numPr>
          <w:ilvl w:val="0"/>
          <w:numId w:val="1"/>
        </w:numPr>
        <w:spacing w:after="60"/>
      </w:pPr>
      <w:r>
        <w:t xml:space="preserve">Customer-facing OTP messages should explicitly state the transaction amount and merchant/recipient VPA in plain language, reducing the effectiveness of OTP-relay malware that relies on victims not reading the SMS carefully.</w:t>
      </w:r>
    </w:p>
    <w:p>
      <w:pPr>
        <w:pStyle w:val="ListParagraph"/>
        <w:numPr>
          <w:ilvl w:val="0"/>
          <w:numId w:val="1"/>
        </w:numPr>
        <w:spacing w:after="60"/>
      </w:pPr>
      <w:r>
        <w:t xml:space="preserve">Banks should apply device-binding and velocity checks (new-device + high-value + off-hours = automatic step-up authentication) as a default, not opt-in, control.</w:t>
      </w:r>
    </w:p>
    <w:p>
      <w:pPr>
        <w:pStyle w:val="ListParagraph"/>
        <w:numPr>
          <w:ilvl w:val="0"/>
          <w:numId w:val="1"/>
        </w:numPr>
        <w:spacing w:after="60"/>
      </w:pPr>
      <w:r>
        <w:t xml:space="preserve">Public awareness campaigns should specifically target the "urgent KYC update" and double-extension attachment (.pdf.exe) patterns, since these remain among the most common lures.</w:t>
      </w:r>
    </w:p>
    <w:p>
      <w:pPr>
        <w:pStyle w:val="ListParagraph"/>
        <w:numPr>
          <w:ilvl w:val="0"/>
          <w:numId w:val="1"/>
        </w:numPr>
        <w:spacing w:after="60"/>
      </w:pPr>
      <w:r>
        <w:t xml:space="preserve">Strengthen mule-account detection by requiring enhanced due diligence on newly opened accounts that receive a single large inbound transfer followed by rapid multi-way outbound splits.</w:t>
      </w:r>
    </w:p>
    <w:p>
      <w:pPr>
        <w:pStyle w:val="Heading1"/>
        <w:spacing w:after="150" w:before="300"/>
      </w:pPr>
      <w:r>
        <w:t xml:space="preserve">10. Tools Referenced &amp;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1F3864" w:val="clear"/>
          </w:tcPr>
          <w:p>
            <w:r>
              <w:rPr>
                <w:b/>
                <w:bCs/>
                <w:color w:val="FFFFFF"/>
                <w:sz w:val="20"/>
                <w:szCs w:val="20"/>
              </w:rPr>
              <w:t xml:space="preserve">Tool</w:t>
            </w:r>
          </w:p>
        </w:tc>
        <w:tc>
          <w:tcPr>
            <w:tcW w:type="dxa" w:w="3000"/>
            <w:shd w:fill="1F3864" w:val="clear"/>
          </w:tcPr>
          <w:p>
            <w:r>
              <w:rPr>
                <w:b/>
                <w:bCs/>
                <w:color w:val="FFFFFF"/>
                <w:sz w:val="20"/>
                <w:szCs w:val="20"/>
              </w:rPr>
              <w:t xml:space="preserve">Purpose</w:t>
            </w:r>
          </w:p>
        </w:tc>
        <w:tc>
          <w:tcPr>
            <w:tcW w:type="dxa" w:w="4000"/>
            <w:shd w:fill="1F3864" w:val="clear"/>
          </w:tcPr>
          <w:p>
            <w:r>
              <w:rPr>
                <w:b/>
                <w:bCs/>
                <w:color w:val="FFFFFF"/>
                <w:sz w:val="20"/>
                <w:szCs w:val="20"/>
              </w:rPr>
              <w:t xml:space="preserve">Justification</w:t>
            </w:r>
          </w:p>
        </w:tc>
      </w:tr>
      <w:tr>
        <w:tc>
          <w:tcPr>
            <w:tcW w:type="dxa" w:w="2000"/>
          </w:tcPr>
          <w:p>
            <w:r>
              <w:rPr>
                <w:b w:val="false"/>
                <w:bCs w:val="false"/>
                <w:color w:val="000000"/>
                <w:sz w:val="20"/>
                <w:szCs w:val="20"/>
              </w:rPr>
              <w:t xml:space="preserve">MXToolbox</w:t>
            </w:r>
          </w:p>
        </w:tc>
        <w:tc>
          <w:tcPr>
            <w:tcW w:type="dxa" w:w="3000"/>
          </w:tcPr>
          <w:p>
            <w:r>
              <w:rPr>
                <w:b w:val="false"/>
                <w:bCs w:val="false"/>
                <w:color w:val="000000"/>
                <w:sz w:val="20"/>
                <w:szCs w:val="20"/>
              </w:rPr>
              <w:t xml:space="preserve">SPF/DKIM/DMARC and blacklist lookups</w:t>
            </w:r>
          </w:p>
        </w:tc>
        <w:tc>
          <w:tcPr>
            <w:tcW w:type="dxa" w:w="4000"/>
          </w:tcPr>
          <w:p>
            <w:r>
              <w:rPr>
                <w:b w:val="false"/>
                <w:bCs w:val="false"/>
                <w:color w:val="000000"/>
                <w:sz w:val="20"/>
                <w:szCs w:val="20"/>
              </w:rPr>
              <w:t xml:space="preserve">Fast, free, widely used baseline for email-authentication triage</w:t>
            </w:r>
          </w:p>
        </w:tc>
      </w:tr>
      <w:tr>
        <w:tc>
          <w:tcPr>
            <w:tcW w:type="dxa" w:w="2000"/>
          </w:tcPr>
          <w:p>
            <w:r>
              <w:rPr>
                <w:b w:val="false"/>
                <w:bCs w:val="false"/>
                <w:color w:val="000000"/>
                <w:sz w:val="20"/>
                <w:szCs w:val="20"/>
              </w:rPr>
              <w:t xml:space="preserve">VirusTotal</w:t>
            </w:r>
          </w:p>
        </w:tc>
        <w:tc>
          <w:tcPr>
            <w:tcW w:type="dxa" w:w="3000"/>
          </w:tcPr>
          <w:p>
            <w:r>
              <w:rPr>
                <w:b w:val="false"/>
                <w:bCs w:val="false"/>
                <w:color w:val="000000"/>
                <w:sz w:val="20"/>
                <w:szCs w:val="20"/>
              </w:rPr>
              <w:t xml:space="preserve">File hash, URL, and domain reputation</w:t>
            </w:r>
          </w:p>
        </w:tc>
        <w:tc>
          <w:tcPr>
            <w:tcW w:type="dxa" w:w="4000"/>
          </w:tcPr>
          <w:p>
            <w:r>
              <w:rPr>
                <w:b w:val="false"/>
                <w:bCs w:val="false"/>
                <w:color w:val="000000"/>
                <w:sz w:val="20"/>
                <w:szCs w:val="20"/>
              </w:rPr>
              <w:t xml:space="preserve">Aggregates 70+ AV/URL engines; standard first pass for IOC triage</w:t>
            </w:r>
          </w:p>
        </w:tc>
      </w:tr>
      <w:tr>
        <w:tc>
          <w:tcPr>
            <w:tcW w:type="dxa" w:w="2000"/>
          </w:tcPr>
          <w:p>
            <w:r>
              <w:rPr>
                <w:b w:val="false"/>
                <w:bCs w:val="false"/>
                <w:color w:val="000000"/>
                <w:sz w:val="20"/>
                <w:szCs w:val="20"/>
              </w:rPr>
              <w:t xml:space="preserve">AbuseIPDB</w:t>
            </w:r>
          </w:p>
        </w:tc>
        <w:tc>
          <w:tcPr>
            <w:tcW w:type="dxa" w:w="3000"/>
          </w:tcPr>
          <w:p>
            <w:r>
              <w:rPr>
                <w:b w:val="false"/>
                <w:bCs w:val="false"/>
                <w:color w:val="000000"/>
                <w:sz w:val="20"/>
                <w:szCs w:val="20"/>
              </w:rPr>
              <w:t xml:space="preserve">IP abuse-report history</w:t>
            </w:r>
          </w:p>
        </w:tc>
        <w:tc>
          <w:tcPr>
            <w:tcW w:type="dxa" w:w="4000"/>
          </w:tcPr>
          <w:p>
            <w:r>
              <w:rPr>
                <w:b w:val="false"/>
                <w:bCs w:val="false"/>
                <w:color w:val="000000"/>
                <w:sz w:val="20"/>
                <w:szCs w:val="20"/>
              </w:rPr>
              <w:t xml:space="preserve">Crowdsourced abuse reports help corroborate malicious hosting</w:t>
            </w:r>
          </w:p>
        </w:tc>
      </w:tr>
      <w:tr>
        <w:tc>
          <w:tcPr>
            <w:tcW w:type="dxa" w:w="2000"/>
          </w:tcPr>
          <w:p>
            <w:r>
              <w:rPr>
                <w:b w:val="false"/>
                <w:bCs w:val="false"/>
                <w:color w:val="000000"/>
                <w:sz w:val="20"/>
                <w:szCs w:val="20"/>
              </w:rPr>
              <w:t xml:space="preserve">WHOIS (e.g., whois.domaintools.com)</w:t>
            </w:r>
          </w:p>
        </w:tc>
        <w:tc>
          <w:tcPr>
            <w:tcW w:type="dxa" w:w="3000"/>
          </w:tcPr>
          <w:p>
            <w:r>
              <w:rPr>
                <w:b w:val="false"/>
                <w:bCs w:val="false"/>
                <w:color w:val="000000"/>
                <w:sz w:val="20"/>
                <w:szCs w:val="20"/>
              </w:rPr>
              <w:t xml:space="preserve">Domain registration metadata</w:t>
            </w:r>
          </w:p>
        </w:tc>
        <w:tc>
          <w:tcPr>
            <w:tcW w:type="dxa" w:w="4000"/>
          </w:tcPr>
          <w:p>
            <w:r>
              <w:rPr>
                <w:b w:val="false"/>
                <w:bCs w:val="false"/>
                <w:color w:val="000000"/>
                <w:sz w:val="20"/>
                <w:szCs w:val="20"/>
              </w:rPr>
              <w:t xml:space="preserve">Reveals registration age and privacy-proxy use, both spoofing indicators</w:t>
            </w:r>
          </w:p>
        </w:tc>
      </w:tr>
      <w:tr>
        <w:tc>
          <w:tcPr>
            <w:tcW w:type="dxa" w:w="2000"/>
          </w:tcPr>
          <w:p>
            <w:r>
              <w:rPr>
                <w:b w:val="false"/>
                <w:bCs w:val="false"/>
                <w:color w:val="000000"/>
                <w:sz w:val="20"/>
                <w:szCs w:val="20"/>
              </w:rPr>
              <w:t xml:space="preserve">Block explorer (e.g., a public BTC/ETH explorer)</w:t>
            </w:r>
          </w:p>
        </w:tc>
        <w:tc>
          <w:tcPr>
            <w:tcW w:type="dxa" w:w="3000"/>
          </w:tcPr>
          <w:p>
            <w:r>
              <w:rPr>
                <w:b w:val="false"/>
                <w:bCs w:val="false"/>
                <w:color w:val="000000"/>
                <w:sz w:val="20"/>
                <w:szCs w:val="20"/>
              </w:rPr>
              <w:t xml:space="preserve">Wallet transaction graph tracing</w:t>
            </w:r>
          </w:p>
        </w:tc>
        <w:tc>
          <w:tcPr>
            <w:tcW w:type="dxa" w:w="4000"/>
          </w:tcPr>
          <w:p>
            <w:r>
              <w:rPr>
                <w:b w:val="false"/>
                <w:bCs w:val="false"/>
                <w:color w:val="000000"/>
                <w:sz w:val="20"/>
                <w:szCs w:val="20"/>
              </w:rPr>
              <w:t xml:space="preserve">Necessary to follow laundering hops on-chain</w:t>
            </w:r>
          </w:p>
        </w:tc>
      </w:tr>
      <w:tr>
        <w:tc>
          <w:tcPr>
            <w:tcW w:type="dxa" w:w="2000"/>
          </w:tcPr>
          <w:p>
            <w:r>
              <w:rPr>
                <w:b w:val="false"/>
                <w:bCs w:val="false"/>
                <w:color w:val="000000"/>
                <w:sz w:val="20"/>
                <w:szCs w:val="20"/>
              </w:rPr>
              <w:t xml:space="preserve">Google Admin Toolbox Messageheader</w:t>
            </w:r>
          </w:p>
        </w:tc>
        <w:tc>
          <w:tcPr>
            <w:tcW w:type="dxa" w:w="3000"/>
          </w:tcPr>
          <w:p>
            <w:r>
              <w:rPr>
                <w:b w:val="false"/>
                <w:bCs w:val="false"/>
                <w:color w:val="000000"/>
                <w:sz w:val="20"/>
                <w:szCs w:val="20"/>
              </w:rPr>
              <w:t xml:space="preserve">Parses raw email headers</w:t>
            </w:r>
          </w:p>
        </w:tc>
        <w:tc>
          <w:tcPr>
            <w:tcW w:type="dxa" w:w="4000"/>
          </w:tcPr>
          <w:p>
            <w:r>
              <w:rPr>
                <w:b w:val="false"/>
                <w:bCs w:val="false"/>
                <w:color w:val="000000"/>
                <w:sz w:val="20"/>
                <w:szCs w:val="20"/>
              </w:rPr>
              <w:t xml:space="preserve">Simplifies reading Received/Authentication-Results chains</w:t>
            </w:r>
          </w:p>
        </w:tc>
      </w:tr>
    </w:tbl>
    <w:p>
      <w:pPr>
        <w:pStyle w:val="Heading1"/>
        <w:spacing w:after="150" w:before="300"/>
      </w:pPr>
      <w:r>
        <w:t xml:space="preserve">11. Conclusion</w:t>
      </w:r>
    </w:p>
    <w:p>
      <w:pPr>
        <w:spacing w:after="120"/>
      </w:pPr>
      <w:r>
        <w:t xml:space="preserve">Operation Hydra illustrates how a single social-engineering entry point — a spoofed KYC-update email — can cascade through credential theft, RAT-based OTP interception, and layered financial fraud into significant monetary and reputational harm. No individual control fully stops this chain; the case argues for defense-in-depth: authenticated email at the perimeter, endpoint detection against RAT persistence, transaction-level anomaly scoring at the bank, and cross-border cooperation frameworks for the money trail. Legally, the same conduct triggers overlapping liability under the IT Act, IPC/BNS, and PMLA in India, and maps cleanly onto the CFAA and Budapest Convention frameworks abroad — reinforcing that this is a well-understood, prosecutable pattern rather than a novel gap in the law.</w:t>
      </w:r>
    </w:p>
    <w:p>
      <w:pPr>
        <w:pStyle w:val="Heading1"/>
        <w:spacing w:after="150" w:before="300"/>
      </w:pPr>
      <w:r>
        <w:t xml:space="preserve">12. Evaluation Criteria (Total: 10 Marks)</w:t>
      </w:r>
    </w:p>
    <w:p>
      <w:pPr>
        <w:pStyle w:val="ListParagraph"/>
        <w:numPr>
          <w:ilvl w:val="0"/>
          <w:numId w:val="1"/>
        </w:numPr>
        <w:spacing w:after="60"/>
      </w:pPr>
      <w:r>
        <w:t xml:space="preserve">Cybercrime classification + legal framework (2.0)</w:t>
      </w:r>
    </w:p>
    <w:p>
      <w:pPr>
        <w:pStyle w:val="ListParagraph"/>
        <w:numPr>
          <w:ilvl w:val="0"/>
          <w:numId w:val="1"/>
        </w:numPr>
        <w:spacing w:after="60"/>
      </w:pPr>
      <w:r>
        <w:t xml:space="preserve">Phishing/Spoofing technical analysis (2.0)</w:t>
      </w:r>
    </w:p>
    <w:p>
      <w:pPr>
        <w:pStyle w:val="ListParagraph"/>
        <w:numPr>
          <w:ilvl w:val="0"/>
          <w:numId w:val="1"/>
        </w:numPr>
        <w:spacing w:after="60"/>
      </w:pPr>
      <w:r>
        <w:t xml:space="preserve">Malware or Trojan payload behavior analysis (2.0)</w:t>
      </w:r>
    </w:p>
    <w:p>
      <w:pPr>
        <w:pStyle w:val="ListParagraph"/>
        <w:numPr>
          <w:ilvl w:val="0"/>
          <w:numId w:val="1"/>
        </w:numPr>
        <w:spacing w:after="60"/>
      </w:pPr>
      <w:r>
        <w:t xml:space="preserve">Financial fraud simulation/tracing (2.0)</w:t>
      </w:r>
    </w:p>
    <w:p>
      <w:pPr>
        <w:pStyle w:val="ListParagraph"/>
        <w:numPr>
          <w:ilvl w:val="0"/>
          <w:numId w:val="1"/>
        </w:numPr>
        <w:spacing w:after="60"/>
      </w:pPr>
      <w:r>
        <w:t xml:space="preserve">Financial fraud simulation/tracing (1.0)</w:t>
      </w:r>
    </w:p>
    <w:p>
      <w:pPr>
        <w:pStyle w:val="ListParagraph"/>
        <w:numPr>
          <w:ilvl w:val="0"/>
          <w:numId w:val="1"/>
        </w:numPr>
        <w:spacing w:after="60"/>
      </w:pPr>
      <w:r>
        <w:t xml:space="preserve">GitHub documentation, structure, and CI compliance (1.0)</w:t>
      </w:r>
    </w:p>
    <w:p>
      <w:pPr>
        <w:pStyle w:val="Heading1"/>
        <w:spacing w:after="150" w:before="300"/>
      </w:pPr>
      <w:r>
        <w:t xml:space="preserve">13. References (indicative — replace with your citations)</w:t>
      </w:r>
    </w:p>
    <w:p>
      <w:pPr>
        <w:spacing w:after="120"/>
      </w:pPr>
      <w:r>
        <w:rPr>
          <w:sz w:val="20"/>
          <w:szCs w:val="20"/>
        </w:rPr>
        <w:t xml:space="preserve">[1] Information Technology Act, 2000 (as amended 2008), Government of India.</w:t>
      </w:r>
    </w:p>
    <w:p>
      <w:pPr>
        <w:spacing w:after="120"/>
      </w:pPr>
      <w:r>
        <w:rPr>
          <w:sz w:val="20"/>
          <w:szCs w:val="20"/>
        </w:rPr>
        <w:t xml:space="preserve">[2] Indian Penal Code, 1860 / Bharatiya Nyaya Sanhita, 2023.</w:t>
      </w:r>
    </w:p>
    <w:p>
      <w:pPr>
        <w:spacing w:after="120"/>
      </w:pPr>
      <w:r>
        <w:rPr>
          <w:sz w:val="20"/>
          <w:szCs w:val="20"/>
        </w:rPr>
        <w:t xml:space="preserve">[3] Prevention of Money Laundering Act, 2002, Government of India.</w:t>
      </w:r>
    </w:p>
    <w:p>
      <w:pPr>
        <w:spacing w:after="120"/>
      </w:pPr>
      <w:r>
        <w:rPr>
          <w:sz w:val="20"/>
          <w:szCs w:val="20"/>
        </w:rPr>
        <w:t xml:space="preserve">[4] Council of Europe, Convention on Cybercrime (Budapest Convention), 2001.</w:t>
      </w:r>
    </w:p>
    <w:p>
      <w:pPr>
        <w:spacing w:after="120"/>
      </w:pPr>
      <w:r>
        <w:rPr>
          <w:sz w:val="20"/>
          <w:szCs w:val="20"/>
        </w:rPr>
        <w:t xml:space="preserve">[5] Computer Fraud and Abuse Act, 18 U.S.C. §1030 (United States).</w:t>
      </w:r>
    </w:p>
    <w:p>
      <w:pPr>
        <w:spacing w:after="120"/>
      </w:pPr>
      <w:r>
        <w:rPr>
          <w:sz w:val="20"/>
          <w:szCs w:val="20"/>
        </w:rPr>
        <w:t xml:space="preserve">[6] FATF Guidance for a Risk-Based Approach to Virtual Assets and VASPs.</w:t>
      </w:r>
    </w:p>
    <w:p>
      <w:pPr>
        <w:spacing w:after="120"/>
      </w:pPr>
      <w:r>
        <w:rPr>
          <w:sz w:val="20"/>
          <w:szCs w:val="20"/>
        </w:rPr>
        <w:t xml:space="preserve">[7] CERT-In Cyber Security Directions, 2022.</w:t>
      </w:r>
    </w:p>
    <w:p>
      <w:pPr>
        <w:spacing w:after="120"/>
      </w:pPr>
      <w:r>
        <w:rPr>
          <w:sz w:val="20"/>
          <w:szCs w:val="20"/>
        </w:rPr>
        <w:t xml:space="preserve">[8] RBI Master Direction on Digital Payment Security Controls.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2026-09-01T08:42:04.369Z</dcterms:created>
  <dcterms:modified xsi:type="dcterms:W3CDTF">2026-09-01T08:42:04.370Z</dcterms:modified>
</cp:coreProperties>
</file>

<file path=docProps/custom.xml><?xml version="1.0" encoding="utf-8"?>
<Properties xmlns="http://schemas.openxmlformats.org/officeDocument/2006/custom-properties" xmlns:vt="http://schemas.openxmlformats.org/officeDocument/2006/docPropsVTypes"/>
</file>