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7087" w:type="dxa"/>
        <w:tblLayout w:type="fixed"/>
        <w:tblCellMar>
          <w:left w:w="0" w:type="dxa"/>
          <w:right w:w="0" w:type="dxa"/>
        </w:tblCellMar>
        <w:tblLook w:val="04A0" w:firstRow="1" w:lastRow="0" w:firstColumn="1" w:lastColumn="0" w:noHBand="0" w:noVBand="1"/>
      </w:tblPr>
      <w:tblGrid>
        <w:gridCol w:w="284"/>
        <w:gridCol w:w="6803"/>
      </w:tblGrid>
      <w:tr w:rsidR="002F4726" w14:paraId="0B966639" w14:textId="77777777" w:rsidTr="00D47DB8">
        <w:trPr>
          <w:cantSplit/>
          <w:trHeight w:val="2268"/>
        </w:trPr>
        <w:tc>
          <w:tcPr>
            <w:tcW w:w="7087" w:type="dxa"/>
            <w:gridSpan w:val="2"/>
          </w:tcPr>
          <w:p w14:paraId="7740CA1B" w14:textId="45C581E7" w:rsidR="002F4726" w:rsidRDefault="00030618" w:rsidP="00C302CA">
            <w:pPr>
              <w:pStyle w:val="CoverDepartment"/>
            </w:pPr>
            <w:r>
              <w:t>People &amp; Systems – Data Engineering</w:t>
            </w:r>
          </w:p>
        </w:tc>
      </w:tr>
      <w:tr w:rsidR="00FA5B65" w14:paraId="54CDFF78" w14:textId="77777777" w:rsidTr="005D79D2">
        <w:trPr>
          <w:cantSplit/>
          <w:trHeight w:hRule="exact" w:val="3628"/>
        </w:trPr>
        <w:tc>
          <w:tcPr>
            <w:tcW w:w="7087" w:type="dxa"/>
            <w:gridSpan w:val="2"/>
          </w:tcPr>
          <w:p w14:paraId="23DC484A" w14:textId="771F45C0" w:rsidR="00FA5B65" w:rsidRDefault="001475B3" w:rsidP="00FA5B65">
            <w:pPr>
              <w:pStyle w:val="CoverTitle"/>
            </w:pPr>
            <w:r>
              <w:t>iTrent to Nest Data Platform (NDP)</w:t>
            </w:r>
          </w:p>
        </w:tc>
      </w:tr>
      <w:tr w:rsidR="00D60544" w14:paraId="30FFEFD1" w14:textId="77777777" w:rsidTr="00D60544">
        <w:trPr>
          <w:cantSplit/>
          <w:trHeight w:hRule="exact" w:val="57"/>
        </w:trPr>
        <w:tc>
          <w:tcPr>
            <w:tcW w:w="284" w:type="dxa"/>
            <w:shd w:val="clear" w:color="auto" w:fill="FF8200" w:themeFill="text2"/>
          </w:tcPr>
          <w:p w14:paraId="0062B033" w14:textId="77777777" w:rsidR="00D60544" w:rsidRDefault="00D60544" w:rsidP="005D79D2">
            <w:pPr>
              <w:pStyle w:val="Spacer"/>
            </w:pPr>
          </w:p>
        </w:tc>
        <w:tc>
          <w:tcPr>
            <w:tcW w:w="6803" w:type="dxa"/>
          </w:tcPr>
          <w:p w14:paraId="7449098A" w14:textId="38787664" w:rsidR="00D60544" w:rsidRDefault="00D60544" w:rsidP="005D79D2">
            <w:pPr>
              <w:pStyle w:val="Spacer"/>
            </w:pPr>
          </w:p>
        </w:tc>
      </w:tr>
      <w:tr w:rsidR="00FA5B65" w14:paraId="783C25F9" w14:textId="77777777" w:rsidTr="00F2624A">
        <w:trPr>
          <w:cantSplit/>
        </w:trPr>
        <w:tc>
          <w:tcPr>
            <w:tcW w:w="7087" w:type="dxa"/>
            <w:gridSpan w:val="2"/>
          </w:tcPr>
          <w:p w14:paraId="7DCE8E75" w14:textId="77777777" w:rsidR="00FA5B65" w:rsidRDefault="001475B3" w:rsidP="00FF2A3B">
            <w:pPr>
              <w:pStyle w:val="CoverSubTitle"/>
              <w:tabs>
                <w:tab w:val="left" w:pos="6044"/>
              </w:tabs>
            </w:pPr>
            <w:r>
              <w:t>HR Data Integration – Phase 1 Scoping Document</w:t>
            </w:r>
          </w:p>
        </w:tc>
      </w:tr>
      <w:tr w:rsidR="00FA5B65" w14:paraId="5A6D6974" w14:textId="77777777" w:rsidTr="00F2624A">
        <w:trPr>
          <w:cantSplit/>
        </w:trPr>
        <w:tc>
          <w:tcPr>
            <w:tcW w:w="7087" w:type="dxa"/>
            <w:gridSpan w:val="2"/>
          </w:tcPr>
          <w:p w14:paraId="3689AAE2" w14:textId="77777777" w:rsidR="00FA5B65" w:rsidRDefault="001475B3" w:rsidP="007E34AE">
            <w:pPr>
              <w:pStyle w:val="CoverDate"/>
            </w:pPr>
            <w:r>
              <w:t>15 September 2026 – DRAFT for stakeholder review</w:t>
            </w:r>
          </w:p>
        </w:tc>
      </w:tr>
    </w:tbl>
    <w:tbl>
      <w:tblPr>
        <w:tblpPr w:vertAnchor="page" w:horzAnchor="page" w:tblpX="681" w:tblpY="15877"/>
        <w:tblW w:w="0" w:type="auto"/>
        <w:tblLayout w:type="fixed"/>
        <w:tblCellMar>
          <w:left w:w="0" w:type="dxa"/>
          <w:right w:w="0" w:type="dxa"/>
        </w:tblCellMar>
        <w:tblLook w:val="04A0" w:firstRow="1" w:lastRow="0" w:firstColumn="1" w:lastColumn="0" w:noHBand="0" w:noVBand="1"/>
      </w:tblPr>
      <w:tblGrid>
        <w:gridCol w:w="10536"/>
      </w:tblGrid>
      <w:tr w:rsidR="000B7BEB" w:rsidRPr="00175979" w14:paraId="47C26CEC" w14:textId="77777777" w:rsidTr="000B7BEB">
        <w:tc>
          <w:tcPr>
            <w:tcW w:w="10536" w:type="dxa"/>
          </w:tcPr>
          <w:p w14:paraId="15B47A3F" w14:textId="77777777" w:rsidR="000B7BEB" w:rsidRPr="0069514B" w:rsidRDefault="002E165D" w:rsidP="000B7BEB">
            <w:pPr>
              <w:pStyle w:val="Footer"/>
              <w:rPr>
                <w:b/>
                <w:color w:val="FFFFFF" w:themeColor="background1"/>
                <w:sz w:val="28"/>
              </w:rPr>
            </w:pPr>
            <w:hyperlink r:id="rId11" w:history="1">
              <w:r w:rsidR="000B7BEB" w:rsidRPr="0069514B">
                <w:rPr>
                  <w:rStyle w:val="Hyperlink"/>
                  <w:color w:val="FFFFFF" w:themeColor="background1"/>
                  <w:sz w:val="28"/>
                </w:rPr>
                <w:t>nestpensions.org.uk</w:t>
              </w:r>
            </w:hyperlink>
          </w:p>
        </w:tc>
      </w:tr>
    </w:tbl>
    <w:sdt>
      <w:sdtPr>
        <w:rPr>
          <w:rFonts w:cstheme="minorBidi"/>
          <w:szCs w:val="21"/>
        </w:rPr>
        <w:alias w:val="Section Break"/>
        <w:tag w:val="Section Break"/>
        <w:id w:val="-1243173701"/>
        <w:placeholder>
          <w:docPart w:val="79C93399E4594D49A1F56270034FE865"/>
        </w:placeholder>
      </w:sdtPr>
      <w:sdtEndPr/>
      <w:sdtContent>
        <w:p w14:paraId="327380AD" w14:textId="77777777" w:rsidR="00FA5B65" w:rsidRDefault="00FA5B65" w:rsidP="007E34AE">
          <w:pPr>
            <w:pStyle w:val="NoSpacing"/>
          </w:pPr>
        </w:p>
        <w:p w14:paraId="141C3827" w14:textId="77777777" w:rsidR="00FA5B65" w:rsidRDefault="002E165D" w:rsidP="00871823">
          <w:pPr>
            <w:sectPr w:rsidR="00FA5B65" w:rsidSect="000B7BEB">
              <w:headerReference w:type="even" r:id="rId12"/>
              <w:headerReference w:type="default" r:id="rId13"/>
              <w:footerReference w:type="even" r:id="rId14"/>
              <w:footerReference w:type="default" r:id="rId15"/>
              <w:headerReference w:type="first" r:id="rId16"/>
              <w:footerReference w:type="first" r:id="rId17"/>
              <w:pgSz w:w="11906" w:h="16838" w:code="9"/>
              <w:pgMar w:top="680" w:right="680" w:bottom="454" w:left="680" w:header="680" w:footer="284" w:gutter="0"/>
              <w:cols w:space="708"/>
              <w:docGrid w:linePitch="360"/>
            </w:sectPr>
          </w:pPr>
        </w:p>
      </w:sdtContent>
    </w:sdt>
    <w:tbl>
      <w:tblPr>
        <w:tblpPr w:topFromText="284" w:horzAnchor="page" w:tblpX="681" w:tblpYSpec="bottom"/>
        <w:tblOverlap w:val="never"/>
        <w:tblW w:w="0" w:type="auto"/>
        <w:tblLayout w:type="fixed"/>
        <w:tblCellMar>
          <w:left w:w="0" w:type="dxa"/>
          <w:right w:w="0" w:type="dxa"/>
        </w:tblCellMar>
        <w:tblLook w:val="04A0" w:firstRow="1" w:lastRow="0" w:firstColumn="1" w:lastColumn="0" w:noHBand="0" w:noVBand="1"/>
      </w:tblPr>
      <w:tblGrid>
        <w:gridCol w:w="10536"/>
      </w:tblGrid>
      <w:tr w:rsidR="00FA5B65" w14:paraId="1C2BBE46" w14:textId="77777777" w:rsidTr="009B34D9">
        <w:trPr>
          <w:cantSplit/>
        </w:trPr>
        <w:tc>
          <w:tcPr>
            <w:tcW w:w="10536" w:type="dxa"/>
          </w:tcPr>
          <w:p w14:paraId="19A2F8B4" w14:textId="77777777" w:rsidR="00FA5B65" w:rsidRDefault="006D7107" w:rsidP="009B34D9">
            <w:pPr>
              <w:pStyle w:val="NoSpacing"/>
            </w:pPr>
            <w:r>
              <w:t>Company Confidential – Internal Use Only. This draft is circulated for stakeholder review and sign-off of Phase 1 scope. Not for external distribution.</w:t>
            </w:r>
          </w:p>
        </w:tc>
      </w:tr>
    </w:tbl>
    <w:p w14:paraId="552F55B3" w14:textId="0F76E9EB" w:rsidR="0097713D" w:rsidRDefault="006B7429" w:rsidP="00871823">
      <w:pPr>
        <w:pStyle w:val="Head1NonToc"/>
        <w:pageBreakBefore w:val="0"/>
      </w:pPr>
      <w:r w:rsidRPr="006B7429">
        <w:t>Key document details</w:t>
      </w:r>
    </w:p>
    <w:tbl>
      <w:tblPr>
        <w:tblStyle w:val="NestTable1"/>
        <w:tblW w:w="10540" w:type="dxa"/>
        <w:tblLayout w:type="fixed"/>
        <w:tblLook w:val="0680" w:firstRow="0" w:lastRow="0" w:firstColumn="1" w:lastColumn="0" w:noHBand="1" w:noVBand="1"/>
      </w:tblPr>
      <w:tblGrid>
        <w:gridCol w:w="1700"/>
        <w:gridCol w:w="3400"/>
        <w:gridCol w:w="340"/>
        <w:gridCol w:w="1700"/>
        <w:gridCol w:w="3400"/>
      </w:tblGrid>
      <w:tr w:rsidR="00FF1DCA" w:rsidRPr="006B7429" w14:paraId="5AE46462"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13F79ECE" w14:textId="77777777" w:rsidR="006B7429" w:rsidRPr="00F65E70" w:rsidRDefault="006B7429" w:rsidP="00F65E70">
            <w:pPr>
              <w:pStyle w:val="TableTextLeft"/>
            </w:pPr>
            <w:r w:rsidRPr="00F65E70">
              <w:t xml:space="preserve">Author: </w:t>
            </w:r>
          </w:p>
        </w:tc>
        <w:tc>
          <w:tcPr>
            <w:tcW w:w="3400" w:type="dxa"/>
            <w:hideMark/>
          </w:tcPr>
          <w:p w14:paraId="1D93F218"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rPr>
                <w:b w:val="0"/>
              </w:rPr>
              <w:t>[Insert Name]</w:t>
            </w:r>
          </w:p>
        </w:tc>
        <w:tc>
          <w:tcPr>
            <w:tcW w:w="340" w:type="dxa"/>
            <w:tcBorders>
              <w:top w:val="nil"/>
              <w:bottom w:val="nil"/>
            </w:tcBorders>
            <w:shd w:val="clear" w:color="auto" w:fill="auto"/>
            <w:hideMark/>
          </w:tcPr>
          <w:p w14:paraId="4FBB5178"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shd w:val="clear" w:color="auto" w:fill="E9F1FD"/>
            <w:hideMark/>
          </w:tcPr>
          <w:p w14:paraId="60313EC2"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r w:rsidRPr="00F65E70">
              <w:rPr>
                <w:b/>
                <w:bCs/>
              </w:rPr>
              <w:t xml:space="preserve">Work stream: </w:t>
            </w:r>
          </w:p>
        </w:tc>
        <w:tc>
          <w:tcPr>
            <w:tcW w:w="3400" w:type="dxa"/>
            <w:hideMark/>
          </w:tcPr>
          <w:p w14:paraId="5C419455"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rPr>
                <w:b w:val="0"/>
              </w:rPr>
              <w:t>HR Data Integration – iTrent to NDP</w:t>
            </w:r>
          </w:p>
        </w:tc>
      </w:tr>
      <w:tr w:rsidR="006B7429" w:rsidRPr="006B7429" w14:paraId="5CE23836"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06EBE5D6" w14:textId="77777777" w:rsidR="006B7429" w:rsidRPr="00F65E70" w:rsidRDefault="006B7429" w:rsidP="00F65E70">
            <w:pPr>
              <w:pStyle w:val="TableTextLeft"/>
            </w:pPr>
            <w:r w:rsidRPr="00F65E70">
              <w:t xml:space="preserve">Work stream sponsor: </w:t>
            </w:r>
          </w:p>
        </w:tc>
        <w:tc>
          <w:tcPr>
            <w:tcW w:w="3400" w:type="dxa"/>
            <w:hideMark/>
          </w:tcPr>
          <w:p w14:paraId="22DCFB3D"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rPr>
                <w:b w:val="0"/>
              </w:rPr>
              <w:t>[Insert Name]</w:t>
            </w:r>
          </w:p>
        </w:tc>
        <w:tc>
          <w:tcPr>
            <w:tcW w:w="340" w:type="dxa"/>
            <w:tcBorders>
              <w:top w:val="nil"/>
              <w:bottom w:val="nil"/>
            </w:tcBorders>
            <w:shd w:val="clear" w:color="auto" w:fill="auto"/>
            <w:hideMark/>
          </w:tcPr>
          <w:p w14:paraId="129F2B5B"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shd w:val="clear" w:color="auto" w:fill="E9F1FD"/>
            <w:hideMark/>
          </w:tcPr>
          <w:p w14:paraId="7F4EED83"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r w:rsidRPr="00F65E70">
              <w:rPr>
                <w:b/>
                <w:bCs/>
              </w:rPr>
              <w:t xml:space="preserve">Version no.: </w:t>
            </w:r>
          </w:p>
        </w:tc>
        <w:tc>
          <w:tcPr>
            <w:tcW w:w="3400" w:type="dxa"/>
            <w:hideMark/>
          </w:tcPr>
          <w:p w14:paraId="11FAC848" w14:textId="77777777" w:rsidR="006B7429" w:rsidRPr="006B7429" w:rsidRDefault="006D7107" w:rsidP="008B148E">
            <w:pPr>
              <w:pStyle w:val="TableTextLeft"/>
              <w:cnfStyle w:val="000000000000" w:firstRow="0" w:lastRow="0" w:firstColumn="0" w:lastColumn="0" w:oddVBand="0" w:evenVBand="0" w:oddHBand="0" w:evenHBand="0" w:firstRowFirstColumn="0" w:firstRowLastColumn="0" w:lastRowFirstColumn="0" w:lastRowLastColumn="0"/>
            </w:pPr>
            <w:r>
              <w:rPr>
                <w:b w:val="0"/>
              </w:rPr>
              <w:t>0.1 (Draft)</w:t>
            </w:r>
          </w:p>
        </w:tc>
      </w:tr>
      <w:tr w:rsidR="00FF1DCA" w:rsidRPr="006B7429" w14:paraId="610CCB93"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6D936973" w14:textId="77777777" w:rsidR="006B7429" w:rsidRPr="00F65E70" w:rsidRDefault="006B7429" w:rsidP="00F65E70">
            <w:pPr>
              <w:pStyle w:val="TableTextLeft"/>
            </w:pPr>
            <w:r w:rsidRPr="00F65E70">
              <w:t xml:space="preserve">Accountable executive: </w:t>
            </w:r>
          </w:p>
        </w:tc>
        <w:tc>
          <w:tcPr>
            <w:tcW w:w="3400" w:type="dxa"/>
            <w:hideMark/>
          </w:tcPr>
          <w:p w14:paraId="4B4147F4"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rPr>
                <w:b w:val="0"/>
              </w:rPr>
              <w:t>[Insert Name]</w:t>
            </w:r>
          </w:p>
        </w:tc>
        <w:tc>
          <w:tcPr>
            <w:tcW w:w="340" w:type="dxa"/>
            <w:tcBorders>
              <w:top w:val="nil"/>
              <w:bottom w:val="nil"/>
            </w:tcBorders>
            <w:shd w:val="clear" w:color="auto" w:fill="auto"/>
            <w:hideMark/>
          </w:tcPr>
          <w:p w14:paraId="22723A21"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shd w:val="clear" w:color="auto" w:fill="E9F1FD"/>
            <w:hideMark/>
          </w:tcPr>
          <w:p w14:paraId="132CB957"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r w:rsidRPr="00F65E70">
              <w:rPr>
                <w:b/>
                <w:bCs/>
              </w:rPr>
              <w:t xml:space="preserve">Classification: </w:t>
            </w:r>
          </w:p>
        </w:tc>
        <w:tc>
          <w:tcPr>
            <w:tcW w:w="3400" w:type="dxa"/>
            <w:hideMark/>
          </w:tcPr>
          <w:p w14:paraId="35CEFEAC" w14:textId="2195788E" w:rsidR="006B7429" w:rsidRPr="00FA5B65" w:rsidRDefault="009B3626" w:rsidP="008B148E">
            <w:pPr>
              <w:pStyle w:val="TableTextLeft"/>
              <w:cnfStyle w:val="000000000000" w:firstRow="0" w:lastRow="0" w:firstColumn="0" w:lastColumn="0" w:oddVBand="0" w:evenVBand="0" w:oddHBand="0" w:evenHBand="0" w:firstRowFirstColumn="0" w:firstRowLastColumn="0" w:lastRowFirstColumn="0" w:lastRowLastColumn="0"/>
            </w:pPr>
            <w:r>
              <w:rPr>
                <w:b w:val="0"/>
              </w:rPr>
              <w:t>Company Confidential</w:t>
            </w:r>
          </w:p>
        </w:tc>
      </w:tr>
      <w:tr w:rsidR="006B7429" w:rsidRPr="00FA5B65" w14:paraId="4A6DBEF3"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42EA9DFE" w14:textId="77777777" w:rsidR="006B7429" w:rsidRPr="00F65E70" w:rsidRDefault="006B7429" w:rsidP="00F65E70">
            <w:pPr>
              <w:pStyle w:val="TableTextLeft"/>
            </w:pPr>
            <w:r w:rsidRPr="00F65E70">
              <w:t xml:space="preserve">Approver: </w:t>
            </w:r>
          </w:p>
        </w:tc>
        <w:tc>
          <w:tcPr>
            <w:tcW w:w="3400" w:type="dxa"/>
            <w:hideMark/>
          </w:tcPr>
          <w:p w14:paraId="3DBC0013"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rPr>
                <w:b w:val="0"/>
              </w:rPr>
              <w:t>[Insert Name]</w:t>
            </w:r>
          </w:p>
        </w:tc>
        <w:tc>
          <w:tcPr>
            <w:tcW w:w="340" w:type="dxa"/>
            <w:tcBorders>
              <w:top w:val="nil"/>
              <w:bottom w:val="nil"/>
            </w:tcBorders>
            <w:shd w:val="clear" w:color="auto" w:fill="auto"/>
            <w:hideMark/>
          </w:tcPr>
          <w:p w14:paraId="705BBAD5"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tcBorders>
              <w:bottom w:val="single" w:sz="2" w:space="0" w:color="FF8200" w:themeColor="text2"/>
            </w:tcBorders>
            <w:shd w:val="clear" w:color="auto" w:fill="E9F1FD"/>
            <w:hideMark/>
          </w:tcPr>
          <w:p w14:paraId="0A1B66BB"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r w:rsidRPr="00F65E70">
              <w:rPr>
                <w:b/>
                <w:bCs/>
              </w:rPr>
              <w:t xml:space="preserve">Date: </w:t>
            </w:r>
          </w:p>
        </w:tc>
        <w:tc>
          <w:tcPr>
            <w:tcW w:w="3400" w:type="dxa"/>
            <w:tcBorders>
              <w:bottom w:val="single" w:sz="2" w:space="0" w:color="FF8200" w:themeColor="text2"/>
            </w:tcBorders>
            <w:hideMark/>
          </w:tcPr>
          <w:p w14:paraId="5840D665" w14:textId="77777777" w:rsidR="006B7429" w:rsidRPr="00FA5B65" w:rsidRDefault="006D7107" w:rsidP="008B148E">
            <w:pPr>
              <w:pStyle w:val="TableTextLeft"/>
              <w:cnfStyle w:val="000000000000" w:firstRow="0" w:lastRow="0" w:firstColumn="0" w:lastColumn="0" w:oddVBand="0" w:evenVBand="0" w:oddHBand="0" w:evenHBand="0" w:firstRowFirstColumn="0" w:firstRowLastColumn="0" w:lastRowFirstColumn="0" w:lastRowLastColumn="0"/>
            </w:pPr>
            <w:r>
              <w:rPr>
                <w:b w:val="0"/>
              </w:rPr>
              <w:t>15 September 2026</w:t>
            </w:r>
          </w:p>
        </w:tc>
      </w:tr>
      <w:tr w:rsidR="00FF1DCA" w:rsidRPr="006B7429" w14:paraId="3E8908A4"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6F435D72" w14:textId="77777777" w:rsidR="006B7429" w:rsidRPr="00F65E70" w:rsidRDefault="006B7429" w:rsidP="00F65E70">
            <w:pPr>
              <w:pStyle w:val="TableTextLeft"/>
            </w:pPr>
            <w:r w:rsidRPr="00F65E70">
              <w:t xml:space="preserve">Project manager: </w:t>
            </w:r>
          </w:p>
        </w:tc>
        <w:tc>
          <w:tcPr>
            <w:tcW w:w="3400" w:type="dxa"/>
            <w:hideMark/>
          </w:tcPr>
          <w:p w14:paraId="0664D135"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rPr>
                <w:b w:val="0"/>
              </w:rPr>
              <w:t>[Insert Name]</w:t>
            </w:r>
          </w:p>
        </w:tc>
        <w:tc>
          <w:tcPr>
            <w:tcW w:w="340" w:type="dxa"/>
            <w:tcBorders>
              <w:top w:val="nil"/>
              <w:bottom w:val="nil"/>
            </w:tcBorders>
            <w:shd w:val="clear" w:color="auto" w:fill="auto"/>
            <w:hideMark/>
          </w:tcPr>
          <w:p w14:paraId="64BA9C38"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tcBorders>
              <w:bottom w:val="nil"/>
            </w:tcBorders>
            <w:hideMark/>
          </w:tcPr>
          <w:p w14:paraId="6607F27F"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p>
        </w:tc>
        <w:tc>
          <w:tcPr>
            <w:tcW w:w="3400" w:type="dxa"/>
            <w:tcBorders>
              <w:bottom w:val="nil"/>
            </w:tcBorders>
            <w:hideMark/>
          </w:tcPr>
          <w:p w14:paraId="59EEF064" w14:textId="77777777" w:rsidR="006B7429" w:rsidRPr="006B7429" w:rsidRDefault="006B7429" w:rsidP="008B148E">
            <w:pPr>
              <w:pStyle w:val="TableTextLeft"/>
              <w:cnfStyle w:val="000000000000" w:firstRow="0" w:lastRow="0" w:firstColumn="0" w:lastColumn="0" w:oddVBand="0" w:evenVBand="0" w:oddHBand="0" w:evenHBand="0" w:firstRowFirstColumn="0" w:firstRowLastColumn="0" w:lastRowFirstColumn="0" w:lastRowLastColumn="0"/>
            </w:pPr>
          </w:p>
        </w:tc>
      </w:tr>
    </w:tbl>
    <w:p w14:paraId="2A1D4D07" w14:textId="77777777" w:rsidR="003B2EB7" w:rsidRDefault="003B2EB7" w:rsidP="00885DBD"/>
    <w:p w14:paraId="4120CA07" w14:textId="77777777" w:rsidR="00885DBD" w:rsidRDefault="00C56D53" w:rsidP="00FF2A3B">
      <w:pPr>
        <w:pStyle w:val="Head1NonToc"/>
      </w:pPr>
      <w:r w:rsidRPr="00C56D53">
        <w:lastRenderedPageBreak/>
        <w:t>Document history</w:t>
      </w:r>
    </w:p>
    <w:tbl>
      <w:tblPr>
        <w:tblStyle w:val="NestTable1"/>
        <w:tblW w:w="10540" w:type="dxa"/>
        <w:tblLayout w:type="fixed"/>
        <w:tblLook w:val="06A0" w:firstRow="1" w:lastRow="0" w:firstColumn="1" w:lastColumn="0" w:noHBand="1" w:noVBand="1"/>
      </w:tblPr>
      <w:tblGrid>
        <w:gridCol w:w="1160"/>
        <w:gridCol w:w="1780"/>
        <w:gridCol w:w="2380"/>
        <w:gridCol w:w="1340"/>
        <w:gridCol w:w="3880"/>
      </w:tblGrid>
      <w:tr w:rsidR="00FF1DCA" w:rsidRPr="00C56D53" w14:paraId="5D588CDE" w14:textId="77777777" w:rsidTr="001850B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60" w:type="dxa"/>
            <w:hideMark/>
          </w:tcPr>
          <w:p w14:paraId="21F34922" w14:textId="77777777" w:rsidR="00C56D53" w:rsidRPr="00C56D53" w:rsidRDefault="00C56D53" w:rsidP="00871823">
            <w:pPr>
              <w:pStyle w:val="TableTextLeft"/>
            </w:pPr>
            <w:r w:rsidRPr="00C56D53">
              <w:t>Version</w:t>
            </w:r>
          </w:p>
        </w:tc>
        <w:tc>
          <w:tcPr>
            <w:tcW w:w="1780" w:type="dxa"/>
            <w:hideMark/>
          </w:tcPr>
          <w:p w14:paraId="0D4967FC" w14:textId="77777777" w:rsidR="00C56D53" w:rsidRPr="00C56D53" w:rsidRDefault="00C56D53" w:rsidP="00871823">
            <w:pPr>
              <w:pStyle w:val="TableTextLeft"/>
              <w:cnfStyle w:val="100000000000" w:firstRow="1" w:lastRow="0" w:firstColumn="0" w:lastColumn="0" w:oddVBand="0" w:evenVBand="0" w:oddHBand="0" w:evenHBand="0" w:firstRowFirstColumn="0" w:firstRowLastColumn="0" w:lastRowFirstColumn="0" w:lastRowLastColumn="0"/>
            </w:pPr>
            <w:r w:rsidRPr="00C56D53">
              <w:t>Date</w:t>
            </w:r>
          </w:p>
        </w:tc>
        <w:tc>
          <w:tcPr>
            <w:tcW w:w="2380" w:type="dxa"/>
            <w:hideMark/>
          </w:tcPr>
          <w:p w14:paraId="5426DEBA" w14:textId="77777777" w:rsidR="00C56D53" w:rsidRPr="00C56D53" w:rsidRDefault="00C56D53" w:rsidP="00871823">
            <w:pPr>
              <w:pStyle w:val="TableTextLeft"/>
              <w:cnfStyle w:val="100000000000" w:firstRow="1" w:lastRow="0" w:firstColumn="0" w:lastColumn="0" w:oddVBand="0" w:evenVBand="0" w:oddHBand="0" w:evenHBand="0" w:firstRowFirstColumn="0" w:firstRowLastColumn="0" w:lastRowFirstColumn="0" w:lastRowLastColumn="0"/>
            </w:pPr>
            <w:r w:rsidRPr="00C56D53">
              <w:t>Author</w:t>
            </w:r>
          </w:p>
        </w:tc>
        <w:tc>
          <w:tcPr>
            <w:tcW w:w="1340" w:type="dxa"/>
            <w:hideMark/>
          </w:tcPr>
          <w:p w14:paraId="723B578A" w14:textId="77777777" w:rsidR="00C56D53" w:rsidRPr="00C56D53" w:rsidRDefault="00C56D53" w:rsidP="00871823">
            <w:pPr>
              <w:pStyle w:val="TableTextLeft"/>
              <w:cnfStyle w:val="100000000000" w:firstRow="1" w:lastRow="0" w:firstColumn="0" w:lastColumn="0" w:oddVBand="0" w:evenVBand="0" w:oddHBand="0" w:evenHBand="0" w:firstRowFirstColumn="0" w:firstRowLastColumn="0" w:lastRowFirstColumn="0" w:lastRowLastColumn="0"/>
            </w:pPr>
            <w:r w:rsidRPr="00C56D53">
              <w:t>Status</w:t>
            </w:r>
          </w:p>
        </w:tc>
        <w:tc>
          <w:tcPr>
            <w:tcW w:w="3880" w:type="dxa"/>
            <w:hideMark/>
          </w:tcPr>
          <w:p w14:paraId="699A3E65" w14:textId="77777777" w:rsidR="00C56D53" w:rsidRPr="00C56D53" w:rsidRDefault="00C56D53" w:rsidP="00871823">
            <w:pPr>
              <w:pStyle w:val="TableTextLeft"/>
              <w:cnfStyle w:val="100000000000" w:firstRow="1" w:lastRow="0" w:firstColumn="0" w:lastColumn="0" w:oddVBand="0" w:evenVBand="0" w:oddHBand="0" w:evenHBand="0" w:firstRowFirstColumn="0" w:firstRowLastColumn="0" w:lastRowFirstColumn="0" w:lastRowLastColumn="0"/>
            </w:pPr>
            <w:r w:rsidRPr="00C56D53">
              <w:t>Summary of changes</w:t>
            </w:r>
          </w:p>
        </w:tc>
      </w:tr>
      <w:tr w:rsidR="006D7107" w:rsidRPr="00C56D53" w14:paraId="19EAB0A0" w14:textId="77777777" w:rsidTr="001850BD">
        <w:trPr>
          <w:trHeight w:val="20"/>
        </w:trPr>
        <w:tc>
          <w:tcPr>
            <w:cnfStyle w:val="001000000000" w:firstRow="0" w:lastRow="0" w:firstColumn="1" w:lastColumn="0" w:oddVBand="0" w:evenVBand="0" w:oddHBand="0" w:evenHBand="0" w:firstRowFirstColumn="0" w:firstRowLastColumn="0" w:lastRowFirstColumn="0" w:lastRowLastColumn="0"/>
            <w:tcW w:w="1160" w:type="dxa"/>
            <w:hideMark/>
          </w:tcPr>
          <w:p w14:paraId="29211B3C" w14:textId="77777777" w:rsidR="006D7107" w:rsidRDefault="006D7107" w:rsidP="009C69BD">
            <w:pPr>
              <w:pStyle w:val="TableTextLeft"/>
            </w:pPr>
            <w:r>
              <w:rPr>
                <w:b w:val="0"/>
              </w:rPr>
              <w:t>0.1</w:t>
            </w:r>
          </w:p>
        </w:tc>
        <w:tc>
          <w:tcPr>
            <w:tcW w:w="1780" w:type="dxa"/>
          </w:tcPr>
          <w:p w14:paraId="761E8690" w14:textId="77777777" w:rsidR="006D7107" w:rsidRPr="00C56D53"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rPr>
                <w:b w:val="0"/>
              </w:rPr>
              <w:t>15 Sep 2026</w:t>
            </w:r>
          </w:p>
        </w:tc>
        <w:tc>
          <w:tcPr>
            <w:tcW w:w="2380" w:type="dxa"/>
          </w:tcPr>
          <w:p w14:paraId="0C1D443E"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rPr>
                <w:b w:val="0"/>
              </w:rPr>
              <w:t>[Insert Name]</w:t>
            </w:r>
          </w:p>
        </w:tc>
        <w:tc>
          <w:tcPr>
            <w:tcW w:w="1340" w:type="dxa"/>
          </w:tcPr>
          <w:p w14:paraId="59CFB0CD"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rPr>
                <w:b w:val="0"/>
              </w:rPr>
              <w:t>Draft</w:t>
            </w:r>
          </w:p>
        </w:tc>
        <w:tc>
          <w:tcPr>
            <w:tcW w:w="3880" w:type="dxa"/>
          </w:tcPr>
          <w:p w14:paraId="0FBE7DBF"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rPr>
                <w:b w:val="0"/>
              </w:rPr>
              <w:t>Initial draft compiled for stakeholder review and Phase 1 scope sign-off.</w:t>
            </w:r>
          </w:p>
        </w:tc>
      </w:tr>
      <w:tr w:rsidR="006D7107" w:rsidRPr="00C56D53" w14:paraId="040E399C" w14:textId="77777777" w:rsidTr="001850BD">
        <w:trPr>
          <w:trHeight w:val="20"/>
        </w:trPr>
        <w:tc>
          <w:tcPr>
            <w:cnfStyle w:val="001000000000" w:firstRow="0" w:lastRow="0" w:firstColumn="1" w:lastColumn="0" w:oddVBand="0" w:evenVBand="0" w:oddHBand="0" w:evenHBand="0" w:firstRowFirstColumn="0" w:firstRowLastColumn="0" w:lastRowFirstColumn="0" w:lastRowLastColumn="0"/>
            <w:tcW w:w="1160" w:type="dxa"/>
            <w:hideMark/>
          </w:tcPr>
          <w:p w14:paraId="5B86B25B" w14:textId="77777777" w:rsidR="006D7107" w:rsidRDefault="006D7107" w:rsidP="009C69BD">
            <w:pPr>
              <w:pStyle w:val="TableTextLeft"/>
            </w:pPr>
            <w:r>
              <w:rPr>
                <w:b w:val="0"/>
              </w:rPr>
            </w:r>
          </w:p>
        </w:tc>
        <w:tc>
          <w:tcPr>
            <w:tcW w:w="1780" w:type="dxa"/>
          </w:tcPr>
          <w:p w14:paraId="59752ACB"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rPr>
                <w:b w:val="0"/>
              </w:rPr>
            </w:r>
          </w:p>
        </w:tc>
        <w:tc>
          <w:tcPr>
            <w:tcW w:w="2380" w:type="dxa"/>
          </w:tcPr>
          <w:p w14:paraId="7EF79080"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rPr>
                <w:b w:val="0"/>
              </w:rPr>
            </w:r>
          </w:p>
        </w:tc>
        <w:tc>
          <w:tcPr>
            <w:tcW w:w="1340" w:type="dxa"/>
          </w:tcPr>
          <w:p w14:paraId="7A6F67C5"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rPr>
                <w:b w:val="0"/>
              </w:rPr>
            </w:r>
          </w:p>
        </w:tc>
        <w:tc>
          <w:tcPr>
            <w:tcW w:w="3880" w:type="dxa"/>
          </w:tcPr>
          <w:p w14:paraId="1EECF8B7"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rPr>
                <w:b w:val="0"/>
              </w:rPr>
            </w:r>
          </w:p>
        </w:tc>
      </w:tr>
      <w:tr w:rsidR="006D7107" w:rsidRPr="00C56D53" w14:paraId="00BF1293" w14:textId="77777777" w:rsidTr="001850BD">
        <w:trPr>
          <w:trHeight w:val="20"/>
        </w:trPr>
        <w:tc>
          <w:tcPr>
            <w:cnfStyle w:val="001000000000" w:firstRow="0" w:lastRow="0" w:firstColumn="1" w:lastColumn="0" w:oddVBand="0" w:evenVBand="0" w:oddHBand="0" w:evenHBand="0" w:firstRowFirstColumn="0" w:firstRowLastColumn="0" w:lastRowFirstColumn="0" w:lastRowLastColumn="0"/>
            <w:tcW w:w="1160" w:type="dxa"/>
            <w:hideMark/>
          </w:tcPr>
          <w:p w14:paraId="30C4C0D5" w14:textId="77777777" w:rsidR="006D7107" w:rsidRDefault="006D7107" w:rsidP="009C69BD">
            <w:pPr>
              <w:pStyle w:val="TableTextLeft"/>
            </w:pPr>
            <w:r>
              <w:rPr>
                <w:b w:val="0"/>
              </w:rPr>
            </w:r>
          </w:p>
        </w:tc>
        <w:tc>
          <w:tcPr>
            <w:tcW w:w="1780" w:type="dxa"/>
          </w:tcPr>
          <w:p w14:paraId="072676D6"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rPr>
                <w:b w:val="0"/>
              </w:rPr>
            </w:r>
          </w:p>
        </w:tc>
        <w:tc>
          <w:tcPr>
            <w:tcW w:w="2380" w:type="dxa"/>
          </w:tcPr>
          <w:p w14:paraId="69A99FD8"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rPr>
                <w:b w:val="0"/>
              </w:rPr>
            </w:r>
          </w:p>
        </w:tc>
        <w:tc>
          <w:tcPr>
            <w:tcW w:w="1340" w:type="dxa"/>
          </w:tcPr>
          <w:p w14:paraId="2B6612D6"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rPr>
                <w:b w:val="0"/>
              </w:rPr>
            </w:r>
          </w:p>
        </w:tc>
        <w:tc>
          <w:tcPr>
            <w:tcW w:w="3880" w:type="dxa"/>
          </w:tcPr>
          <w:p w14:paraId="05ED6EC4"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rPr>
                <w:b w:val="0"/>
              </w:rPr>
            </w:r>
          </w:p>
        </w:tc>
      </w:tr>
    </w:tbl>
    <w:p w14:paraId="3D383BD0" w14:textId="77777777" w:rsidR="00C56D53" w:rsidRDefault="00C56D53" w:rsidP="0086029D">
      <w:pPr>
        <w:pStyle w:val="Head2NonToc"/>
      </w:pPr>
      <w:r w:rsidRPr="00C56D53">
        <w:t>Reviewers</w:t>
      </w:r>
    </w:p>
    <w:tbl>
      <w:tblPr>
        <w:tblStyle w:val="NestTable1"/>
        <w:tblW w:w="10540" w:type="dxa"/>
        <w:tblLayout w:type="fixed"/>
        <w:tblLook w:val="0620" w:firstRow="1" w:lastRow="0" w:firstColumn="0" w:lastColumn="0" w:noHBand="1" w:noVBand="1"/>
      </w:tblPr>
      <w:tblGrid>
        <w:gridCol w:w="2056"/>
        <w:gridCol w:w="2675"/>
        <w:gridCol w:w="2673"/>
        <w:gridCol w:w="1638"/>
        <w:gridCol w:w="1498"/>
      </w:tblGrid>
      <w:tr w:rsidR="00801DF6" w:rsidRPr="00C56D53" w14:paraId="3C7F76FC" w14:textId="77777777" w:rsidTr="00896E76">
        <w:trPr>
          <w:cnfStyle w:val="100000000000" w:firstRow="1" w:lastRow="0" w:firstColumn="0" w:lastColumn="0" w:oddVBand="0" w:evenVBand="0" w:oddHBand="0" w:evenHBand="0" w:firstRowFirstColumn="0" w:firstRowLastColumn="0" w:lastRowFirstColumn="0" w:lastRowLastColumn="0"/>
        </w:trPr>
        <w:tc>
          <w:tcPr>
            <w:tcW w:w="2056" w:type="dxa"/>
            <w:hideMark/>
          </w:tcPr>
          <w:p w14:paraId="315B6D10" w14:textId="77777777" w:rsidR="00C56D53" w:rsidRPr="00C56D53" w:rsidRDefault="00C56D53" w:rsidP="00871823">
            <w:pPr>
              <w:pStyle w:val="TableTextLeft"/>
            </w:pPr>
            <w:r w:rsidRPr="00C56D53">
              <w:t>Name</w:t>
            </w:r>
          </w:p>
        </w:tc>
        <w:tc>
          <w:tcPr>
            <w:tcW w:w="2675" w:type="dxa"/>
            <w:hideMark/>
          </w:tcPr>
          <w:p w14:paraId="1B73BD3B" w14:textId="77777777" w:rsidR="00C56D53" w:rsidRPr="00C56D53" w:rsidRDefault="00C56D53" w:rsidP="00871823">
            <w:pPr>
              <w:pStyle w:val="TableTextLeft"/>
            </w:pPr>
            <w:r w:rsidRPr="00C56D53">
              <w:t>Department</w:t>
            </w:r>
          </w:p>
        </w:tc>
        <w:tc>
          <w:tcPr>
            <w:tcW w:w="2673" w:type="dxa"/>
            <w:hideMark/>
          </w:tcPr>
          <w:p w14:paraId="422F3FAC" w14:textId="77777777" w:rsidR="00C56D53" w:rsidRPr="00C56D53" w:rsidRDefault="00C56D53" w:rsidP="00871823">
            <w:pPr>
              <w:pStyle w:val="TableTextLeft"/>
            </w:pPr>
            <w:r w:rsidRPr="00C56D53">
              <w:t>Role</w:t>
            </w:r>
          </w:p>
        </w:tc>
        <w:tc>
          <w:tcPr>
            <w:tcW w:w="1638" w:type="dxa"/>
            <w:hideMark/>
          </w:tcPr>
          <w:p w14:paraId="29AA8F04" w14:textId="77777777" w:rsidR="00C56D53" w:rsidRPr="00C56D53" w:rsidRDefault="00C56D53" w:rsidP="00871823">
            <w:pPr>
              <w:pStyle w:val="TableTextLeft"/>
            </w:pPr>
            <w:r w:rsidRPr="00C56D53">
              <w:t>Date reviewed</w:t>
            </w:r>
          </w:p>
        </w:tc>
        <w:tc>
          <w:tcPr>
            <w:tcW w:w="1498" w:type="dxa"/>
            <w:hideMark/>
          </w:tcPr>
          <w:p w14:paraId="0F3D44A7" w14:textId="77777777" w:rsidR="00C56D53" w:rsidRPr="00C56D53" w:rsidRDefault="00C56D53" w:rsidP="00871823">
            <w:pPr>
              <w:pStyle w:val="TableTextLeft"/>
            </w:pPr>
            <w:r w:rsidRPr="00C56D53">
              <w:t>Version reviewed</w:t>
            </w:r>
          </w:p>
        </w:tc>
      </w:tr>
      <w:tr w:rsidR="00C56D53" w:rsidRPr="00C56D53" w14:paraId="2DC4EA4E" w14:textId="77777777" w:rsidTr="00896E76">
        <w:tc>
          <w:tcPr>
            <w:tcW w:w="2056" w:type="dxa"/>
          </w:tcPr>
          <w:p w14:paraId="010483DB" w14:textId="77777777" w:rsidR="00C56D53" w:rsidRPr="00C56D53" w:rsidRDefault="006D7107" w:rsidP="00871823">
            <w:pPr>
              <w:pStyle w:val="TableTextLeft"/>
            </w:pPr>
            <w:r>
              <w:rPr>
                <w:b w:val="0"/>
              </w:rPr>
              <w:t>Aksa Haq-Chaudhery</w:t>
            </w:r>
          </w:p>
        </w:tc>
        <w:tc>
          <w:tcPr>
            <w:tcW w:w="2675" w:type="dxa"/>
          </w:tcPr>
          <w:p w14:paraId="25432806" w14:textId="77777777" w:rsidR="00C56D53" w:rsidRPr="00C56D53" w:rsidRDefault="006D7107" w:rsidP="00871823">
            <w:pPr>
              <w:pStyle w:val="TableTextLeft"/>
            </w:pPr>
            <w:r>
              <w:rPr>
                <w:b w:val="0"/>
              </w:rPr>
              <w:t>People &amp; Systems</w:t>
            </w:r>
          </w:p>
        </w:tc>
        <w:tc>
          <w:tcPr>
            <w:tcW w:w="2673" w:type="dxa"/>
          </w:tcPr>
          <w:p w14:paraId="1C634241" w14:textId="77777777" w:rsidR="00C56D53" w:rsidRPr="00C56D53" w:rsidRDefault="006D7107" w:rsidP="00871823">
            <w:pPr>
              <w:pStyle w:val="TableTextLeft"/>
            </w:pPr>
            <w:r>
              <w:rPr>
                <w:b w:val="0"/>
              </w:rPr>
              <w:t>People &amp; Systems Operations Manager</w:t>
            </w:r>
          </w:p>
        </w:tc>
        <w:tc>
          <w:tcPr>
            <w:tcW w:w="1638" w:type="dxa"/>
          </w:tcPr>
          <w:p w14:paraId="26F16EF3" w14:textId="77777777" w:rsidR="00C56D53" w:rsidRPr="00C56D53" w:rsidRDefault="006D7107" w:rsidP="00871823">
            <w:pPr>
              <w:pStyle w:val="TableTextLeft"/>
            </w:pPr>
            <w:r>
              <w:rPr>
                <w:b w:val="0"/>
              </w:rPr>
            </w:r>
          </w:p>
        </w:tc>
        <w:tc>
          <w:tcPr>
            <w:tcW w:w="1498" w:type="dxa"/>
          </w:tcPr>
          <w:p w14:paraId="173A2C5F" w14:textId="77777777" w:rsidR="00C56D53" w:rsidRPr="00C56D53" w:rsidRDefault="006D7107" w:rsidP="00871823">
            <w:pPr>
              <w:pStyle w:val="TableTextLeft"/>
            </w:pPr>
            <w:r>
              <w:rPr>
                <w:b w:val="0"/>
              </w:rPr>
            </w:r>
          </w:p>
        </w:tc>
      </w:tr>
      <w:tr w:rsidR="006D7107" w:rsidRPr="00C56D53" w14:paraId="3C22A2AC" w14:textId="77777777" w:rsidTr="00896E76">
        <w:tc>
          <w:tcPr>
            <w:tcW w:w="2056" w:type="dxa"/>
          </w:tcPr>
          <w:p w14:paraId="765D6D7D" w14:textId="77777777" w:rsidR="006D7107" w:rsidRPr="00C56D53" w:rsidRDefault="006D7107" w:rsidP="006D7107">
            <w:pPr>
              <w:pStyle w:val="TableTextLeft"/>
            </w:pPr>
            <w:r>
              <w:rPr>
                <w:b w:val="0"/>
              </w:rPr>
              <w:t>Elizabeth Whittaker</w:t>
            </w:r>
          </w:p>
        </w:tc>
        <w:tc>
          <w:tcPr>
            <w:tcW w:w="2675" w:type="dxa"/>
          </w:tcPr>
          <w:p w14:paraId="793E50FA" w14:textId="77777777" w:rsidR="006D7107" w:rsidRPr="00C56D53" w:rsidRDefault="006D7107" w:rsidP="006D7107">
            <w:pPr>
              <w:pStyle w:val="TableTextLeft"/>
            </w:pPr>
            <w:r>
              <w:rPr>
                <w:b w:val="0"/>
              </w:rPr>
              <w:t>People &amp; Systems</w:t>
            </w:r>
          </w:p>
        </w:tc>
        <w:tc>
          <w:tcPr>
            <w:tcW w:w="2673" w:type="dxa"/>
          </w:tcPr>
          <w:p w14:paraId="66B57317" w14:textId="77777777" w:rsidR="006D7107" w:rsidRPr="00C56D53" w:rsidRDefault="006D7107" w:rsidP="006D7107">
            <w:pPr>
              <w:pStyle w:val="TableTextLeft"/>
            </w:pPr>
            <w:r>
              <w:rPr>
                <w:b w:val="0"/>
              </w:rPr>
              <w:t>Stakeholder – iTrent data decisions</w:t>
            </w:r>
          </w:p>
        </w:tc>
        <w:tc>
          <w:tcPr>
            <w:tcW w:w="1638" w:type="dxa"/>
          </w:tcPr>
          <w:p w14:paraId="5A0D2553" w14:textId="77777777" w:rsidR="006D7107" w:rsidRPr="00C56D53" w:rsidRDefault="006D7107" w:rsidP="006D7107">
            <w:pPr>
              <w:pStyle w:val="TableTextLeft"/>
            </w:pPr>
            <w:r>
              <w:rPr>
                <w:b w:val="0"/>
              </w:rPr>
            </w:r>
          </w:p>
        </w:tc>
        <w:tc>
          <w:tcPr>
            <w:tcW w:w="1498" w:type="dxa"/>
          </w:tcPr>
          <w:p w14:paraId="455DD78A" w14:textId="77777777" w:rsidR="006D7107" w:rsidRPr="00C56D53" w:rsidRDefault="006D7107" w:rsidP="006D7107">
            <w:pPr>
              <w:pStyle w:val="TableTextLeft"/>
            </w:pPr>
            <w:r>
              <w:rPr>
                <w:b w:val="0"/>
              </w:rPr>
            </w:r>
          </w:p>
        </w:tc>
      </w:tr>
      <w:tr w:rsidR="006D7107" w:rsidRPr="00C56D53" w14:paraId="5AA941F1" w14:textId="77777777" w:rsidTr="00896E76">
        <w:tc>
          <w:tcPr>
            <w:tcW w:w="2056" w:type="dxa"/>
          </w:tcPr>
          <w:p w14:paraId="17C77CA6" w14:textId="77777777" w:rsidR="006D7107" w:rsidRPr="00C56D53" w:rsidRDefault="006D7107" w:rsidP="006D7107">
            <w:pPr>
              <w:pStyle w:val="TableTextLeft"/>
            </w:pPr>
            <w:r>
              <w:rPr>
                <w:b w:val="0"/>
              </w:rPr>
              <w:t>Thaneya Jeyarajah</w:t>
            </w:r>
          </w:p>
        </w:tc>
        <w:tc>
          <w:tcPr>
            <w:tcW w:w="2675" w:type="dxa"/>
          </w:tcPr>
          <w:p w14:paraId="5B05AFD0" w14:textId="77777777" w:rsidR="006D7107" w:rsidRPr="00C56D53" w:rsidRDefault="006D7107" w:rsidP="006D7107">
            <w:pPr>
              <w:pStyle w:val="TableTextLeft"/>
            </w:pPr>
            <w:r>
              <w:rPr>
                <w:b w:val="0"/>
              </w:rPr>
              <w:t>People &amp; Systems</w:t>
            </w:r>
          </w:p>
        </w:tc>
        <w:tc>
          <w:tcPr>
            <w:tcW w:w="2673" w:type="dxa"/>
          </w:tcPr>
          <w:p w14:paraId="0436B1A8" w14:textId="77777777" w:rsidR="006D7107" w:rsidRPr="00C56D53" w:rsidRDefault="006D7107" w:rsidP="006D7107">
            <w:pPr>
              <w:pStyle w:val="TableTextLeft"/>
            </w:pPr>
            <w:r>
              <w:rPr>
                <w:b w:val="0"/>
              </w:rPr>
              <w:t>Stakeholder</w:t>
            </w:r>
          </w:p>
        </w:tc>
        <w:tc>
          <w:tcPr>
            <w:tcW w:w="1638" w:type="dxa"/>
          </w:tcPr>
          <w:p w14:paraId="414A2D82" w14:textId="77777777" w:rsidR="006D7107" w:rsidRPr="00C56D53" w:rsidRDefault="006D7107" w:rsidP="006D7107">
            <w:pPr>
              <w:pStyle w:val="TableTextLeft"/>
            </w:pPr>
            <w:r>
              <w:rPr>
                <w:b w:val="0"/>
              </w:rPr>
            </w:r>
          </w:p>
        </w:tc>
        <w:tc>
          <w:tcPr>
            <w:tcW w:w="1498" w:type="dxa"/>
          </w:tcPr>
          <w:p w14:paraId="55C0A5E6" w14:textId="77777777" w:rsidR="006D7107" w:rsidRPr="00C56D53" w:rsidRDefault="006D7107" w:rsidP="006D7107">
            <w:pPr>
              <w:pStyle w:val="TableTextLeft"/>
            </w:pPr>
            <w:r>
              <w:rPr>
                <w:b w:val="0"/>
              </w:rPr>
            </w:r>
          </w:p>
        </w:tc>
      </w:tr>
    </w:tbl>
    <w:p w14:paraId="2A53AF24" w14:textId="77777777" w:rsidR="00C56D53" w:rsidRDefault="00C56D53" w:rsidP="00885DBD"/>
    <w:p w14:paraId="6772C3D4" w14:textId="77777777" w:rsidR="00885DBD" w:rsidRDefault="00C56D53" w:rsidP="00C56D53">
      <w:pPr>
        <w:pStyle w:val="Head1NonToc"/>
      </w:pPr>
      <w:r w:rsidRPr="00C56D53">
        <w:lastRenderedPageBreak/>
        <w:t>Contents</w:t>
      </w:r>
    </w:p>
    <w:tbl>
      <w:tblPr>
        <w:tblW w:w="0" w:type="auto"/>
        <w:tblLayout w:type="fixed"/>
        <w:tblCellMar>
          <w:left w:w="0" w:type="dxa"/>
          <w:right w:w="0" w:type="dxa"/>
        </w:tblCellMar>
        <w:tblLook w:val="04A0" w:firstRow="1" w:lastRow="0" w:firstColumn="1" w:lastColumn="0" w:noHBand="0" w:noVBand="1"/>
      </w:tblPr>
      <w:tblGrid>
        <w:gridCol w:w="10536"/>
      </w:tblGrid>
      <w:tr w:rsidR="00C56D53" w14:paraId="0994A234" w14:textId="77777777" w:rsidTr="00C56D53">
        <w:tc>
          <w:tcPr>
            <w:tcW w:w="10536" w:type="dxa"/>
          </w:tcPr>
          <w:p w14:paraId="42567D77" w14:textId="1C37AF34" w:rsidR="009E635E" w:rsidRDefault="00C56D53">
            <w:pPr>
              <w:pStyle w:val="TOC1"/>
              <w:rPr>
                <w:rFonts w:asciiTheme="minorHAnsi" w:hAnsiTheme="minorHAnsi" w:cstheme="minorBidi"/>
                <w:b w:val="0"/>
                <w:color w:val="auto"/>
                <w:sz w:val="22"/>
                <w:szCs w:val="22"/>
              </w:rPr>
            </w:pPr>
            <w:r w:rsidRPr="004B1DB1">
              <w:rPr>
                <w:color w:val="auto"/>
                <w:sz w:val="24"/>
              </w:rPr>
              <w:fldChar w:fldCharType="begin"/>
            </w:r>
            <w:r w:rsidRPr="004B1DB1">
              <w:instrText xml:space="preserve"> TOC </w:instrText>
            </w:r>
            <w:r w:rsidR="003D6ABE">
              <w:instrText xml:space="preserve">\n 6-6 </w:instrText>
            </w:r>
            <w:r w:rsidRPr="004B1DB1">
              <w:instrText>\h \t</w:instrText>
            </w:r>
            <w:r w:rsidR="007063F7">
              <w:instrText xml:space="preserve"> </w:instrText>
            </w:r>
            <w:r w:rsidRPr="004B1DB1">
              <w:instrText xml:space="preserve">  "</w:instrText>
            </w:r>
            <w:r w:rsidRPr="00C56D53">
              <w:instrText>±Head1</w:instrText>
            </w:r>
            <w:r w:rsidRPr="004B1DB1">
              <w:instrText>,1,</w:instrText>
            </w:r>
            <w:r>
              <w:instrText xml:space="preserve"> ±Head2</w:instrText>
            </w:r>
            <w:r w:rsidRPr="004B1DB1">
              <w:instrText>,2,</w:instrText>
            </w:r>
            <w:r>
              <w:instrText xml:space="preserve"> ±Head3</w:instrText>
            </w:r>
            <w:r w:rsidRPr="004B1DB1">
              <w:instrText>,3,</w:instrText>
            </w:r>
            <w:r w:rsidR="00BB05CB" w:rsidRPr="00C56D53">
              <w:instrText>±</w:instrText>
            </w:r>
            <w:r w:rsidR="002436D2">
              <w:instrText>Divider</w:instrText>
            </w:r>
            <w:r w:rsidR="00BB05CB">
              <w:instrText>,</w:instrText>
            </w:r>
            <w:r w:rsidR="00F71B17">
              <w:instrText>6</w:instrText>
            </w:r>
            <w:r w:rsidR="00BB05CB" w:rsidRPr="004B1DB1">
              <w:instrText>,</w:instrText>
            </w:r>
            <w:r w:rsidR="00BB05CB">
              <w:instrText xml:space="preserve"> </w:instrText>
            </w:r>
            <w:r w:rsidR="00EC004A" w:rsidRPr="00EC004A">
              <w:instrText>±AppHead1</w:instrText>
            </w:r>
            <w:r w:rsidR="00EC004A">
              <w:instrText>,</w:instrText>
            </w:r>
            <w:r w:rsidR="00F71B17">
              <w:instrText>7</w:instrText>
            </w:r>
            <w:r w:rsidR="001A15EE">
              <w:instrText>,</w:instrText>
            </w:r>
            <w:r w:rsidRPr="004B1DB1">
              <w:instrText xml:space="preserve">"  </w:instrText>
            </w:r>
            <w:r w:rsidRPr="004B1DB1">
              <w:rPr>
                <w:color w:val="auto"/>
                <w:sz w:val="24"/>
              </w:rPr>
              <w:fldChar w:fldCharType="separate"/>
            </w:r>
            <w:hyperlink w:anchor="_Toc42184589" w:history="1">
              <w:r w:rsidR="009E635E" w:rsidRPr="00A746F0">
                <w:rPr>
                  <w:rStyle w:val="Hyperlink"/>
                </w:rPr>
                <w:t>Executive Summary</w:t>
              </w:r>
              <w:r w:rsidR="009E635E">
                <w:tab/>
              </w:r>
              <w:r w:rsidR="009E635E">
                <w:fldChar w:fldCharType="begin"/>
              </w:r>
              <w:r w:rsidR="009E635E">
                <w:instrText xml:space="preserve"> PAGEREF _Toc42184589 \h </w:instrText>
              </w:r>
              <w:r w:rsidR="009E635E">
                <w:fldChar w:fldCharType="separate"/>
              </w:r>
              <w:r w:rsidR="00D47DB8">
                <w:t>5</w:t>
              </w:r>
              <w:r w:rsidR="009E635E">
                <w:fldChar w:fldCharType="end"/>
              </w:r>
            </w:hyperlink>
          </w:p>
          <w:p w14:paraId="0B181467" w14:textId="41600882" w:rsidR="009E635E" w:rsidRDefault="002E165D">
            <w:pPr>
              <w:pStyle w:val="TOC1"/>
              <w:rPr>
                <w:rFonts w:asciiTheme="minorHAnsi" w:hAnsiTheme="minorHAnsi" w:cstheme="minorBidi"/>
                <w:b w:val="0"/>
                <w:color w:val="auto"/>
                <w:sz w:val="22"/>
                <w:szCs w:val="22"/>
              </w:rPr>
            </w:pPr>
            <w:hyperlink w:anchor="_Toc42184590" w:history="1">
              <w:r w:rsidR="009E635E" w:rsidRPr="00A746F0">
                <w:rPr>
                  <w:rStyle w:val="Hyperlink"/>
                </w:rPr>
                <w:t>1</w:t>
              </w:r>
              <w:r w:rsidR="009E635E">
                <w:rPr>
                  <w:rFonts w:asciiTheme="minorHAnsi" w:hAnsiTheme="minorHAnsi" w:cstheme="minorBidi"/>
                  <w:b w:val="0"/>
                  <w:color w:val="auto"/>
                  <w:sz w:val="22"/>
                  <w:szCs w:val="22"/>
                </w:rPr>
                <w:tab/>
              </w:r>
              <w:r w:rsidR="009E635E" w:rsidRPr="00A746F0">
                <w:rPr>
                  <w:rStyle w:val="Hyperlink"/>
                </w:rPr>
                <w:t>&lt;Click here and insert first Section Heading&gt;</w:t>
              </w:r>
              <w:r w:rsidR="009E635E">
                <w:tab/>
              </w:r>
              <w:r w:rsidR="009E635E">
                <w:fldChar w:fldCharType="begin"/>
              </w:r>
              <w:r w:rsidR="009E635E">
                <w:instrText xml:space="preserve"> PAGEREF _Toc42184590 \h </w:instrText>
              </w:r>
              <w:r w:rsidR="009E635E">
                <w:fldChar w:fldCharType="separate"/>
              </w:r>
              <w:r w:rsidR="00D47DB8">
                <w:t>6</w:t>
              </w:r>
              <w:r w:rsidR="009E635E">
                <w:fldChar w:fldCharType="end"/>
              </w:r>
            </w:hyperlink>
          </w:p>
          <w:p w14:paraId="5A6C58B9" w14:textId="192F3023" w:rsidR="00C56D53" w:rsidRDefault="00C56D53" w:rsidP="00C56D53">
            <w:pPr>
              <w:pStyle w:val="Spacer"/>
            </w:pPr>
            <w:r w:rsidRPr="004B1DB1">
              <w:fldChar w:fldCharType="end"/>
            </w:r>
          </w:p>
        </w:tc>
      </w:tr>
    </w:tbl>
    <w:sdt>
      <w:sdtPr>
        <w:rPr>
          <w:rFonts w:cstheme="minorBidi"/>
          <w:szCs w:val="21"/>
        </w:rPr>
        <w:alias w:val="Section Break"/>
        <w:tag w:val="Section Break"/>
        <w:id w:val="-847257131"/>
        <w:placeholder>
          <w:docPart w:val="79C93399E4594D49A1F56270034FE865"/>
        </w:placeholder>
      </w:sdtPr>
      <w:sdtEndPr/>
      <w:sdtContent>
        <w:p w14:paraId="261F5512" w14:textId="77777777" w:rsidR="00885DBD" w:rsidRDefault="00885DBD" w:rsidP="007E34AE">
          <w:pPr>
            <w:pStyle w:val="NoSpacing"/>
          </w:pPr>
        </w:p>
        <w:p w14:paraId="1B0F6583" w14:textId="77777777" w:rsidR="00885DBD" w:rsidRDefault="002E165D" w:rsidP="00885DBD">
          <w:pPr>
            <w:sectPr w:rsidR="00885DBD" w:rsidSect="00837696">
              <w:headerReference w:type="default" r:id="rId18"/>
              <w:footerReference w:type="default" r:id="rId19"/>
              <w:pgSz w:w="11906" w:h="16838" w:code="9"/>
              <w:pgMar w:top="1588" w:right="680" w:bottom="1361" w:left="680" w:header="680" w:footer="624" w:gutter="0"/>
              <w:cols w:space="708"/>
              <w:docGrid w:linePitch="360"/>
            </w:sectPr>
          </w:pPr>
        </w:p>
      </w:sdtContent>
    </w:sdt>
    <w:p w14:paraId="100D6944" w14:textId="77777777" w:rsidR="00D73E65" w:rsidRDefault="00D73E65" w:rsidP="00600F08">
      <w:pPr>
        <w:pStyle w:val="Heading1"/>
        <w:numPr>
          <w:ilvl w:val="0"/>
          <w:numId w:val="0"/>
        </w:numPr>
      </w:pPr>
      <w:bookmarkStart w:id="0" w:name="_Toc522275978"/>
      <w:bookmarkStart w:id="1" w:name="_Toc1117845"/>
      <w:bookmarkStart w:id="2" w:name="_Toc2333728"/>
      <w:bookmarkStart w:id="3" w:name="_Toc42184589"/>
      <w:r>
        <w:lastRenderedPageBreak/>
        <w:t xml:space="preserve">Executive </w:t>
      </w:r>
      <w:r w:rsidRPr="00600F08">
        <w:t>Summary</w:t>
      </w:r>
      <w:bookmarkEnd w:id="0"/>
      <w:bookmarkEnd w:id="1"/>
      <w:bookmarkEnd w:id="2"/>
      <w:bookmarkEnd w:id="3"/>
    </w:p>
    <w:p w14:paraId="6D8C117E" w14:textId="77777777" w:rsidR="00D73E65" w:rsidRPr="00600F08" w:rsidRDefault="00D73E65" w:rsidP="00600F08">
      <w:pPr>
        <w:pStyle w:val="SummaryText"/>
      </w:pPr>
      <w:r>
        <w:t>This document sets the Phase 1 scope for extracting HR data from iTrent and ingesting it into the Nest Data Platform (NDP), and records the stakeholder and vendor engagement behind those scope decisions, ready for sign-off.</w:t>
      </w:r>
    </w:p>
    <w:p w14:paraId="31880D07" w14:textId="77777777" w:rsidR="00D73E65" w:rsidRDefault="00D73E65" w:rsidP="00600F08">
      <w:r>
        <w:t>Nest holds its core HR and payroll data in iTrent, supplied by MHR. iTrent exposes this data through 20 request-driven REST API services. As part of scoping Phase 1 of the HR data integration project, the Data Engineering team has systematically tested all 20 services against Nest’s live iTrent environment to establish which are returning usable data today. Of the 20 services, 8 are confirmed to return data and are recommended as in scope for Phase 1. A further 9 services returned no data (a generic “Page Not Found” response) and are recommended as out of scope for Phase 1, either because they are confirmed not in use or because their status has not yet been resolved with the vendor. Two services (7.4 Absence Data Service and 7.20 Grade &amp; Payscale Details) are the subject of an open, unresolved query with MHR — the vendor has confirmed Nest’s configuration looks correct, but no data is yet being returned, and a vendor call has been requested to get to the bottom of it. One service (7.19 User Defined Fields) is partially working and returning data, but in a structure that differs from the vendor’s documentation; MHR has since supplied a worked example and the correct configuration values, and this is close to resolution. This document sets out that scope determination in full, the technical approach for extracting the in-scope data, the questions raised with internal and vendor stakeholders and the answers received, and the open items that remain before Phase 1 scope can be formally locked down.</w:t>
      </w:r>
    </w:p>
    <w:p w14:paraId="78D129BE" w14:textId="77777777" w:rsidR="00BC1803" w:rsidRDefault="00BC1803" w:rsidP="00D73E65"/>
    <w:p w14:paraId="421D1B1A" w14:textId="77777777" w:rsidR="00D73E65" w:rsidRPr="00600F08" w:rsidRDefault="00D73E65" w:rsidP="00600F08">
      <w:pPr>
        <w:pStyle w:val="Heading1"/>
      </w:pPr>
      <w:bookmarkStart w:id="4" w:name="_Toc509917282"/>
      <w:bookmarkStart w:id="5" w:name="_Toc330207944"/>
      <w:bookmarkStart w:id="6" w:name="_Toc328996312"/>
      <w:bookmarkStart w:id="7" w:name="_Toc325747239"/>
      <w:bookmarkStart w:id="8" w:name="_Toc325747353"/>
      <w:bookmarkStart w:id="9" w:name="_Toc325747445"/>
      <w:bookmarkStart w:id="10" w:name="_Toc328128780"/>
      <w:bookmarkStart w:id="11" w:name="_Toc328128906"/>
      <w:bookmarkStart w:id="12" w:name="_Toc328129290"/>
      <w:bookmarkStart w:id="13" w:name="_Toc329081757"/>
      <w:bookmarkStart w:id="14" w:name="_Toc329081785"/>
      <w:bookmarkStart w:id="15" w:name="_Toc329081813"/>
      <w:bookmarkStart w:id="16" w:name="_Toc329081843"/>
      <w:bookmarkStart w:id="17" w:name="_Toc329081952"/>
      <w:bookmarkStart w:id="18" w:name="_Toc329086190"/>
      <w:bookmarkStart w:id="19" w:name="_Toc329091903"/>
      <w:bookmarkStart w:id="20" w:name="_Toc330210255"/>
      <w:bookmarkStart w:id="21" w:name="_Toc390944922"/>
      <w:bookmarkStart w:id="22" w:name="_Toc486942491"/>
      <w:bookmarkStart w:id="23" w:name="_Toc486942977"/>
      <w:bookmarkStart w:id="24" w:name="_Toc488053669"/>
      <w:bookmarkStart w:id="25" w:name="_Toc489261713"/>
      <w:bookmarkStart w:id="26" w:name="_Toc522275979"/>
      <w:bookmarkStart w:id="27" w:name="_Toc1117846"/>
      <w:bookmarkStart w:id="28" w:name="_Toc2333729"/>
      <w:bookmarkStart w:id="29" w:name="_Toc42184590"/>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t>Background &amp; Purpose</w:t>
      </w:r>
    </w:p>
    <w:p w14:paraId="71A58F68" w14:textId="77777777" w:rsidR="00D73E65" w:rsidRPr="00600F08" w:rsidRDefault="00D73E65" w:rsidP="00600F08">
      <w:pPr>
        <w:pStyle w:val="SummaryText"/>
      </w:pPr>
      <w:r>
        <w:t>Why this project exists, and a short introduction to the two systems involved: iTrent and the Nest Data Platform.</w:t>
      </w:r>
    </w:p>
    <w:p w14:paraId="777B7640" w14:textId="77777777" w:rsidR="00D73E65" w:rsidRDefault="00D73E65" w:rsidP="00600F08">
      <w:r>
        <w:t>Nest is building a pipeline to bring HR data from iTrent into the Nest Data Platform (NDP), so that HR information can be reported on, combined with other business data, and governed centrally in the same way as data from Finance, Procurement, Facilities and InfoSec. Phase 1 of this project is about proving out and scoping that pipeline: confirming which of iTrent’s available data services actually return usable data for Nest today, and agreeing with stakeholders what will and will not be built in this first phase.</w:t>
      </w:r>
    </w:p>
    <w:p w14:paraId="51CA7EE6" w14:textId="3AE4E223" w:rsidR="00264DEB" w:rsidRDefault="00264DEB" w:rsidP="00264DEB"/>
    <w:p w14:paraId="79C43EB0" w14:textId="04B5BE5B" w:rsidR="00EB11F7" w:rsidRDefault="00EB11F7" w:rsidP="00264DEB"/>
    <w:p w14:paraId="4B5468D2" w14:textId="51B41A68" w:rsidR="00EB11F7" w:rsidRDefault="00EB11F7" w:rsidP="00264DEB"/>
    <w:p w14:paraId="061DAEEA" w14:textId="5B0DB712" w:rsidR="00B62D46" w:rsidRDefault="00B62D46" w:rsidP="001F03E2">
      <w:bookmarkStart w:id="30" w:name="_Toc528158096"/>
    </w:p>
    <w:p>
      <w:pPr>
        <w:pStyle w:val="Heading2"/>
      </w:pPr>
      <w:r>
        <w:t>What is iTrent?</w:t>
      </w:r>
    </w:p>
    <w:p>
      <w:pPr/>
      <w:r>
        <w:rPr>
          <w:b w:val="0"/>
          <w:i w:val="0"/>
        </w:rPr>
        <w:t>iTrent is Nest’s HR and payroll system, provided by MHR. For automated data exchange, iTrent offers RESTful web services in three forms: real-time driven events pushed out through a Workflow (webhook), request-driven services that return data on demand in response to a GET request, and a separate incoming service used to load data into iTrent. Phase 1 of this project uses the request-driven, GET-based services — 20 predefined data services (documented by MHR as “pre-publisher processes”) covering areas such as core HR records, position data, absence, attendance, skills, requisitions and payscale information.</w:t>
      </w:r>
    </w:p>
    <w:p>
      <w:pPr/>
      <w:r>
        <w:rPr>
          <w:b w:val="0"/>
          <w:i w:val="0"/>
        </w:rPr>
        <w:t>Authentication for these services uses HTTP Basic Authentication: a dedicated ‘Web Services’ user is configured within iTrent, and that user’s username and password are passed in the Authorization header on every request. Access to the RESTful web services functionality as a whole is licence-gated by MHR, which is a relevant factor in explaining why some of the 20 services may not be returning data (see Section 2).</w:t>
      </w:r>
    </w:p>
    <w:p>
      <w:pPr>
        <w:pStyle w:val="Heading2"/>
      </w:pPr>
      <w:r>
        <w:t>What is the Nest Data Platform (NDP)?</w:t>
      </w:r>
    </w:p>
    <w:p>
      <w:pPr/>
      <w:r>
        <w:rPr>
          <w:b w:val="0"/>
          <w:i w:val="0"/>
        </w:rPr>
        <w:t>NDP is Nest’s central data platform — a single, governed location to store, clean, process, combine and act on data from across the business, feeding standard reporting tools such as Power BI. Rather than each team holding its own copy of data, NDP centralises storage and governance and automates data ingestion, transformation and loading, reducing manual effort and data latency.</w:t>
      </w:r>
    </w:p>
    <w:p>
      <w:pPr/>
      <w:r>
        <w:rPr>
          <w:b w:val="0"/>
          <w:i w:val="0"/>
        </w:rPr>
        <w:t>Governance in NDP is built on Unity Catalog, which provides centralised management of data assets, integrates with Microsoft Entra for authentication, and supports fine-grained role-based and attribute-based access control, together with automated data lineage and audit visibility. Security is layered through the data lifecycle: protections applied before data is ingested are restricted to the data owner and steward, protections applied after ingestion are available to the data engineering team, and role-based access control governs who can see which reports and dashboards downstream. For this project, iTrent will be one of the source systems feeding into NDP, alongside systems such as Finance, Procurement, Facilities and InfoSec.</w:t>
      </w:r>
    </w:p>
    <w:p>
      <w:pPr>
        <w:pStyle w:val="Heading2"/>
      </w:pPr>
      <w:r>
        <w:t>Project Objective</w:t>
      </w:r>
    </w:p>
    <w:p>
      <w:pPr/>
      <w:r>
        <w:rPr>
          <w:b w:val="0"/>
          <w:i w:val="0"/>
        </w:rPr>
        <w:t>The objective of Phase 1 is to extract in-scope HR data from iTrent via its REST API and ingest it into NDP, establishing the initial source-of-truth pipeline for HR data across Nest’s reporting and analytics. This document exists to record, and get formally signed off, exactly which of the 20 available iTrent data services will be included in that first phase, the technical approach behind extracting them, and the stakeholder and vendor engagement that has informed those scope decisions.</w:t>
      </w:r>
    </w:p>
    <w:p>
      <w:pPr>
        <w:pStyle w:val="Heading1"/>
      </w:pPr>
      <w:r>
        <w:t>Phase 1 Scope</w:t>
      </w:r>
    </w:p>
    <w:p>
      <w:pPr>
        <w:pStyle w:val="Heading2"/>
      </w:pPr>
      <w:r>
        <w:t>The 20 iTrent Data Services – Testing Overview</w:t>
      </w:r>
    </w:p>
    <w:p>
      <w:pPr/>
      <w:r>
        <w:rPr>
          <w:b w:val="0"/>
          <w:i w:val="0"/>
        </w:rPr>
        <w:t>The Data Engineering team tested all 20 request-driven iTrent data services against Nest’s live iTrent environment. The table below records, for each service, how it returns data (see Section 3.2 for an explanation of the three behaviour types), whether it returned data during testing, and the resulting Phase 1 scope status.</w:t>
      </w:r>
    </w:p>
    <w:tbl>
      <w:tblPr>
        <w:tblStyle w:val="NestTable1"/>
        <w:tblW w:type="auto" w:w="0"/>
        <w:tblLayout w:type="fixed"/>
        <w:tblLook w:val="06A0" w:firstRow="1" w:lastRow="0" w:firstColumn="1" w:lastColumn="0" w:noHBand="1" w:noVBand="1"/>
      </w:tblPr>
      <w:tblGrid>
        <w:gridCol w:w="820"/>
        <w:gridCol w:w="2450"/>
        <w:gridCol w:w="1500"/>
        <w:gridCol w:w="1900"/>
        <w:gridCol w:w="1130"/>
        <w:gridCol w:w="2740"/>
      </w:tblGrid>
      <w:tr>
        <w:trPr>
          <w:tblHeader/>
        </w:trPr>
        <w:tc>
          <w:tcPr>
            <w:tcW w:type="dxa" w:w="820"/>
          </w:tcPr>
          <w:p>
            <w:pPr>
              <w:pStyle w:val="TableTextLeft"/>
            </w:pPr>
            <w:r>
              <w:rPr>
                <w:b/>
              </w:rPr>
              <w:t>Section</w:t>
            </w:r>
          </w:p>
        </w:tc>
        <w:tc>
          <w:tcPr>
            <w:tcW w:type="dxa" w:w="2450"/>
          </w:tcPr>
          <w:p>
            <w:pPr>
              <w:pStyle w:val="TableTextLeft"/>
            </w:pPr>
            <w:r>
              <w:rPr>
                <w:b/>
              </w:rPr>
              <w:t>Service Name</w:t>
            </w:r>
          </w:p>
        </w:tc>
        <w:tc>
          <w:tcPr>
            <w:tcW w:type="dxa" w:w="1500"/>
          </w:tcPr>
          <w:p>
            <w:pPr>
              <w:pStyle w:val="TableTextLeft"/>
            </w:pPr>
            <w:r>
              <w:rPr>
                <w:b/>
              </w:rPr>
              <w:t>iTrent-Operation</w:t>
            </w:r>
          </w:p>
        </w:tc>
        <w:tc>
          <w:tcPr>
            <w:tcW w:type="dxa" w:w="1900"/>
          </w:tcPr>
          <w:p>
            <w:pPr>
              <w:pStyle w:val="TableTextLeft"/>
            </w:pPr>
            <w:r>
              <w:rPr>
                <w:b/>
              </w:rPr>
              <w:t>Behaviour Type</w:t>
            </w:r>
          </w:p>
        </w:tc>
        <w:tc>
          <w:tcPr>
            <w:tcW w:type="dxa" w:w="1130"/>
          </w:tcPr>
          <w:p>
            <w:pPr>
              <w:pStyle w:val="TableTextLeft"/>
            </w:pPr>
            <w:r>
              <w:rPr>
                <w:b/>
              </w:rPr>
              <w:t>Data Returned?</w:t>
            </w:r>
          </w:p>
        </w:tc>
        <w:tc>
          <w:tcPr>
            <w:tcW w:type="dxa" w:w="2740"/>
          </w:tcPr>
          <w:p>
            <w:pPr>
              <w:pStyle w:val="TableTextLeft"/>
            </w:pPr>
            <w:r>
              <w:rPr>
                <w:b/>
              </w:rPr>
              <w:t>Phase 1 Scope Status</w:t>
            </w:r>
          </w:p>
        </w:tc>
      </w:tr>
      <w:tr>
        <w:tc>
          <w:tcPr>
            <w:tcW w:type="dxa" w:w="820"/>
          </w:tcPr>
          <w:p>
            <w:pPr>
              <w:pStyle w:val="TableTextLeft"/>
            </w:pPr>
            <w:r>
              <w:rPr>
                <w:b w:val="0"/>
              </w:rPr>
              <w:t>7.1</w:t>
            </w:r>
          </w:p>
        </w:tc>
        <w:tc>
          <w:tcPr>
            <w:tcW w:type="dxa" w:w="2450"/>
          </w:tcPr>
          <w:p>
            <w:pPr>
              <w:pStyle w:val="TableTextLeft"/>
            </w:pPr>
            <w:r>
              <w:rPr>
                <w:b w:val="0"/>
              </w:rPr>
              <w:t>HR Core Data</w:t>
            </w:r>
          </w:p>
        </w:tc>
        <w:tc>
          <w:tcPr>
            <w:tcW w:type="dxa" w:w="1500"/>
          </w:tcPr>
          <w:p>
            <w:pPr>
              <w:pStyle w:val="TableTextLeft"/>
            </w:pPr>
            <w:r>
              <w:rPr>
                <w:b w:val="0"/>
              </w:rPr>
              <w:t>hrcore</w:t>
            </w:r>
          </w:p>
        </w:tc>
        <w:tc>
          <w:tcPr>
            <w:tcW w:type="dxa" w:w="1900"/>
          </w:tcPr>
          <w:p>
            <w:pPr>
              <w:pStyle w:val="TableTextLeft"/>
            </w:pPr>
            <w:r>
              <w:rPr>
                <w:b w:val="0"/>
              </w:rPr>
              <w:t>Type 1 – Paginated</w:t>
            </w:r>
          </w:p>
        </w:tc>
        <w:tc>
          <w:tcPr>
            <w:tcW w:type="dxa" w:w="1130"/>
          </w:tcPr>
          <w:p>
            <w:pPr>
              <w:pStyle w:val="TableTextLeft"/>
            </w:pPr>
            <w:r>
              <w:rPr>
                <w:b w:val="0"/>
              </w:rPr>
              <w:t>Yes</w:t>
            </w:r>
          </w:p>
        </w:tc>
        <w:tc>
          <w:tcPr>
            <w:tcW w:type="dxa" w:w="2740"/>
          </w:tcPr>
          <w:p>
            <w:pPr>
              <w:pStyle w:val="TableTextLeft"/>
            </w:pPr>
            <w:r>
              <w:rPr>
                <w:b w:val="0"/>
              </w:rPr>
              <w:t>In scope</w:t>
            </w:r>
          </w:p>
        </w:tc>
      </w:tr>
      <w:tr>
        <w:tc>
          <w:tcPr>
            <w:tcW w:type="dxa" w:w="820"/>
          </w:tcPr>
          <w:p>
            <w:pPr>
              <w:pStyle w:val="TableTextLeft"/>
            </w:pPr>
            <w:r>
              <w:rPr>
                <w:b w:val="0"/>
              </w:rPr>
              <w:t>7.2</w:t>
            </w:r>
          </w:p>
        </w:tc>
        <w:tc>
          <w:tcPr>
            <w:tcW w:type="dxa" w:w="2450"/>
          </w:tcPr>
          <w:p>
            <w:pPr>
              <w:pStyle w:val="TableTextLeft"/>
            </w:pPr>
            <w:r>
              <w:rPr>
                <w:b w:val="0"/>
              </w:rPr>
              <w:t>Skills &amp; Qualifications</w:t>
            </w:r>
          </w:p>
        </w:tc>
        <w:tc>
          <w:tcPr>
            <w:tcW w:type="dxa" w:w="1500"/>
          </w:tcPr>
          <w:p>
            <w:pPr>
              <w:pStyle w:val="TableTextLeft"/>
            </w:pPr>
            <w:r>
              <w:rPr>
                <w:b w:val="0"/>
              </w:rPr>
              <w:t>skillqual</w:t>
            </w:r>
          </w:p>
        </w:tc>
        <w:tc>
          <w:tcPr>
            <w:tcW w:type="dxa" w:w="1900"/>
          </w:tcPr>
          <w:p>
            <w:pPr>
              <w:pStyle w:val="TableTextLeft"/>
            </w:pPr>
            <w:r>
              <w:rPr>
                <w:b w:val="0"/>
              </w:rPr>
              <w:t>Type 2 – RefNo required</w:t>
            </w:r>
          </w:p>
        </w:tc>
        <w:tc>
          <w:tcPr>
            <w:tcW w:type="dxa" w:w="1130"/>
          </w:tcPr>
          <w:p>
            <w:pPr>
              <w:pStyle w:val="TableTextLeft"/>
            </w:pPr>
            <w:r>
              <w:rPr>
                <w:b w:val="0"/>
              </w:rPr>
              <w:t>No (404)</w:t>
            </w:r>
          </w:p>
        </w:tc>
        <w:tc>
          <w:tcPr>
            <w:tcW w:type="dxa" w:w="2740"/>
          </w:tcPr>
          <w:p>
            <w:pPr>
              <w:pStyle w:val="TableTextLeft"/>
            </w:pPr>
            <w:r>
              <w:rPr>
                <w:b w:val="0"/>
              </w:rPr>
              <w:t>Out of scope – confirmed not in use</w:t>
            </w:r>
          </w:p>
        </w:tc>
      </w:tr>
      <w:tr>
        <w:tc>
          <w:tcPr>
            <w:tcW w:type="dxa" w:w="820"/>
          </w:tcPr>
          <w:p>
            <w:pPr>
              <w:pStyle w:val="TableTextLeft"/>
            </w:pPr>
            <w:r>
              <w:rPr>
                <w:b w:val="0"/>
              </w:rPr>
              <w:t>7.3</w:t>
            </w:r>
          </w:p>
        </w:tc>
        <w:tc>
          <w:tcPr>
            <w:tcW w:type="dxa" w:w="2450"/>
          </w:tcPr>
          <w:p>
            <w:pPr>
              <w:pStyle w:val="TableTextLeft"/>
            </w:pPr>
            <w:r>
              <w:rPr>
                <w:b w:val="0"/>
              </w:rPr>
              <w:t>Position Data Service</w:t>
            </w:r>
          </w:p>
        </w:tc>
        <w:tc>
          <w:tcPr>
            <w:tcW w:type="dxa" w:w="1500"/>
          </w:tcPr>
          <w:p>
            <w:pPr>
              <w:pStyle w:val="TableTextLeft"/>
            </w:pPr>
            <w:r>
              <w:rPr>
                <w:b w:val="0"/>
              </w:rPr>
              <w:t>position</w:t>
            </w:r>
          </w:p>
        </w:tc>
        <w:tc>
          <w:tcPr>
            <w:tcW w:type="dxa" w:w="1900"/>
          </w:tcPr>
          <w:p>
            <w:pPr>
              <w:pStyle w:val="TableTextLeft"/>
            </w:pPr>
            <w:r>
              <w:rPr>
                <w:b w:val="0"/>
              </w:rPr>
              <w:t>Type 1 – Paginated</w:t>
            </w:r>
          </w:p>
        </w:tc>
        <w:tc>
          <w:tcPr>
            <w:tcW w:type="dxa" w:w="1130"/>
          </w:tcPr>
          <w:p>
            <w:pPr>
              <w:pStyle w:val="TableTextLeft"/>
            </w:pPr>
            <w:r>
              <w:rPr>
                <w:b w:val="0"/>
              </w:rPr>
              <w:t>Yes</w:t>
            </w:r>
          </w:p>
        </w:tc>
        <w:tc>
          <w:tcPr>
            <w:tcW w:type="dxa" w:w="2740"/>
          </w:tcPr>
          <w:p>
            <w:pPr>
              <w:pStyle w:val="TableTextLeft"/>
            </w:pPr>
            <w:r>
              <w:rPr>
                <w:b w:val="0"/>
              </w:rPr>
              <w:t>In scope</w:t>
            </w:r>
          </w:p>
        </w:tc>
      </w:tr>
      <w:tr>
        <w:tc>
          <w:tcPr>
            <w:tcW w:type="dxa" w:w="820"/>
          </w:tcPr>
          <w:p>
            <w:pPr>
              <w:pStyle w:val="TableTextLeft"/>
            </w:pPr>
            <w:r>
              <w:rPr>
                <w:b w:val="0"/>
              </w:rPr>
              <w:t>7.4</w:t>
            </w:r>
          </w:p>
        </w:tc>
        <w:tc>
          <w:tcPr>
            <w:tcW w:type="dxa" w:w="2450"/>
          </w:tcPr>
          <w:p>
            <w:pPr>
              <w:pStyle w:val="TableTextLeft"/>
            </w:pPr>
            <w:r>
              <w:rPr>
                <w:b w:val="0"/>
              </w:rPr>
              <w:t>Absence Data Service</w:t>
            </w:r>
          </w:p>
        </w:tc>
        <w:tc>
          <w:tcPr>
            <w:tcW w:type="dxa" w:w="1500"/>
          </w:tcPr>
          <w:p>
            <w:pPr>
              <w:pStyle w:val="TableTextLeft"/>
            </w:pPr>
            <w:r>
              <w:rPr>
                <w:b w:val="0"/>
              </w:rPr>
              <w:t>absence</w:t>
            </w:r>
          </w:p>
        </w:tc>
        <w:tc>
          <w:tcPr>
            <w:tcW w:type="dxa" w:w="1900"/>
          </w:tcPr>
          <w:p>
            <w:pPr>
              <w:pStyle w:val="TableTextLeft"/>
            </w:pPr>
            <w:r>
              <w:rPr>
                <w:b w:val="0"/>
              </w:rPr>
              <w:t>Type 2 – RefNo required</w:t>
            </w:r>
          </w:p>
        </w:tc>
        <w:tc>
          <w:tcPr>
            <w:tcW w:type="dxa" w:w="1130"/>
          </w:tcPr>
          <w:p>
            <w:pPr>
              <w:pStyle w:val="TableTextLeft"/>
            </w:pPr>
            <w:r>
              <w:rPr>
                <w:b w:val="0"/>
              </w:rPr>
              <w:t>No (404)</w:t>
            </w:r>
          </w:p>
        </w:tc>
        <w:tc>
          <w:tcPr>
            <w:tcW w:type="dxa" w:w="2740"/>
          </w:tcPr>
          <w:p>
            <w:pPr>
              <w:pStyle w:val="TableTextLeft"/>
            </w:pPr>
            <w:r>
              <w:rPr>
                <w:b w:val="0"/>
              </w:rPr>
              <w:t>Open item – pending MHR</w:t>
            </w:r>
          </w:p>
        </w:tc>
      </w:tr>
      <w:tr>
        <w:tc>
          <w:tcPr>
            <w:tcW w:type="dxa" w:w="820"/>
          </w:tcPr>
          <w:p>
            <w:pPr>
              <w:pStyle w:val="TableTextLeft"/>
            </w:pPr>
            <w:r>
              <w:rPr>
                <w:b w:val="0"/>
              </w:rPr>
              <w:t>7.5</w:t>
            </w:r>
          </w:p>
        </w:tc>
        <w:tc>
          <w:tcPr>
            <w:tcW w:type="dxa" w:w="2450"/>
          </w:tcPr>
          <w:p>
            <w:pPr>
              <w:pStyle w:val="TableTextLeft"/>
            </w:pPr>
            <w:r>
              <w:rPr>
                <w:b w:val="0"/>
              </w:rPr>
              <w:t>Attendance Data Service</w:t>
            </w:r>
          </w:p>
        </w:tc>
        <w:tc>
          <w:tcPr>
            <w:tcW w:type="dxa" w:w="1500"/>
          </w:tcPr>
          <w:p>
            <w:pPr>
              <w:pStyle w:val="TableTextLeft"/>
            </w:pPr>
            <w:r>
              <w:rPr>
                <w:b w:val="0"/>
              </w:rPr>
              <w:t>attend</w:t>
            </w:r>
          </w:p>
        </w:tc>
        <w:tc>
          <w:tcPr>
            <w:tcW w:type="dxa" w:w="1900"/>
          </w:tcPr>
          <w:p>
            <w:pPr>
              <w:pStyle w:val="TableTextLeft"/>
            </w:pPr>
            <w:r>
              <w:rPr>
                <w:b w:val="0"/>
              </w:rPr>
              <w:t>Type 2 – RefNo required</w:t>
            </w:r>
          </w:p>
        </w:tc>
        <w:tc>
          <w:tcPr>
            <w:tcW w:type="dxa" w:w="1130"/>
          </w:tcPr>
          <w:p>
            <w:pPr>
              <w:pStyle w:val="TableTextLeft"/>
            </w:pPr>
            <w:r>
              <w:rPr>
                <w:b w:val="0"/>
              </w:rPr>
              <w:t>No (404)</w:t>
            </w:r>
          </w:p>
        </w:tc>
        <w:tc>
          <w:tcPr>
            <w:tcW w:type="dxa" w:w="2740"/>
          </w:tcPr>
          <w:p>
            <w:pPr>
              <w:pStyle w:val="TableTextLeft"/>
            </w:pPr>
            <w:r>
              <w:rPr>
                <w:b w:val="0"/>
              </w:rPr>
              <w:t>Out of scope – pending vendor confirmation</w:t>
            </w:r>
          </w:p>
        </w:tc>
      </w:tr>
      <w:tr>
        <w:tc>
          <w:tcPr>
            <w:tcW w:type="dxa" w:w="820"/>
          </w:tcPr>
          <w:p>
            <w:pPr>
              <w:pStyle w:val="TableTextLeft"/>
            </w:pPr>
            <w:r>
              <w:rPr>
                <w:b w:val="0"/>
              </w:rPr>
              <w:t>7.6</w:t>
            </w:r>
          </w:p>
        </w:tc>
        <w:tc>
          <w:tcPr>
            <w:tcW w:type="dxa" w:w="2450"/>
          </w:tcPr>
          <w:p>
            <w:pPr>
              <w:pStyle w:val="TableTextLeft"/>
            </w:pPr>
            <w:r>
              <w:rPr>
                <w:b w:val="0"/>
              </w:rPr>
              <w:t>Daily Pattern Service</w:t>
            </w:r>
          </w:p>
        </w:tc>
        <w:tc>
          <w:tcPr>
            <w:tcW w:type="dxa" w:w="1500"/>
          </w:tcPr>
          <w:p>
            <w:pPr>
              <w:pStyle w:val="TableTextLeft"/>
            </w:pPr>
            <w:r>
              <w:rPr>
                <w:b w:val="0"/>
              </w:rPr>
              <w:t>daypat</w:t>
            </w:r>
          </w:p>
        </w:tc>
        <w:tc>
          <w:tcPr>
            <w:tcW w:type="dxa" w:w="1900"/>
          </w:tcPr>
          <w:p>
            <w:pPr>
              <w:pStyle w:val="TableTextLeft"/>
            </w:pPr>
            <w:r>
              <w:rPr>
                <w:b w:val="0"/>
              </w:rPr>
              <w:t>Type 2 – RefNo required</w:t>
            </w:r>
          </w:p>
        </w:tc>
        <w:tc>
          <w:tcPr>
            <w:tcW w:type="dxa" w:w="1130"/>
          </w:tcPr>
          <w:p>
            <w:pPr>
              <w:pStyle w:val="TableTextLeft"/>
            </w:pPr>
            <w:r>
              <w:rPr>
                <w:b w:val="0"/>
              </w:rPr>
              <w:t>Yes</w:t>
            </w:r>
          </w:p>
        </w:tc>
        <w:tc>
          <w:tcPr>
            <w:tcW w:type="dxa" w:w="2740"/>
          </w:tcPr>
          <w:p>
            <w:pPr>
              <w:pStyle w:val="TableTextLeft"/>
            </w:pPr>
            <w:r>
              <w:rPr>
                <w:b w:val="0"/>
              </w:rPr>
              <w:t>In scope</w:t>
            </w:r>
          </w:p>
        </w:tc>
      </w:tr>
      <w:tr>
        <w:tc>
          <w:tcPr>
            <w:tcW w:type="dxa" w:w="820"/>
          </w:tcPr>
          <w:p>
            <w:pPr>
              <w:pStyle w:val="TableTextLeft"/>
            </w:pPr>
            <w:r>
              <w:rPr>
                <w:b w:val="0"/>
              </w:rPr>
              <w:t>7.7</w:t>
            </w:r>
          </w:p>
        </w:tc>
        <w:tc>
          <w:tcPr>
            <w:tcW w:type="dxa" w:w="2450"/>
          </w:tcPr>
          <w:p>
            <w:pPr>
              <w:pStyle w:val="TableTextLeft"/>
            </w:pPr>
            <w:r>
              <w:rPr>
                <w:b w:val="0"/>
              </w:rPr>
              <w:t>HR Core Data &amp; Structure</w:t>
            </w:r>
          </w:p>
        </w:tc>
        <w:tc>
          <w:tcPr>
            <w:tcW w:type="dxa" w:w="1500"/>
          </w:tcPr>
          <w:p>
            <w:pPr>
              <w:pStyle w:val="TableTextLeft"/>
            </w:pPr>
            <w:r>
              <w:rPr>
                <w:b w:val="0"/>
              </w:rPr>
              <w:t>hrcorestruct</w:t>
            </w:r>
          </w:p>
        </w:tc>
        <w:tc>
          <w:tcPr>
            <w:tcW w:type="dxa" w:w="1900"/>
          </w:tcPr>
          <w:p>
            <w:pPr>
              <w:pStyle w:val="TableTextLeft"/>
            </w:pPr>
            <w:r>
              <w:rPr>
                <w:b w:val="0"/>
              </w:rPr>
              <w:t>Type 1 – Paginated</w:t>
            </w:r>
          </w:p>
        </w:tc>
        <w:tc>
          <w:tcPr>
            <w:tcW w:type="dxa" w:w="1130"/>
          </w:tcPr>
          <w:p>
            <w:pPr>
              <w:pStyle w:val="TableTextLeft"/>
            </w:pPr>
            <w:r>
              <w:rPr>
                <w:b w:val="0"/>
              </w:rPr>
              <w:t>Yes</w:t>
            </w:r>
          </w:p>
        </w:tc>
        <w:tc>
          <w:tcPr>
            <w:tcW w:type="dxa" w:w="2740"/>
          </w:tcPr>
          <w:p>
            <w:pPr>
              <w:pStyle w:val="TableTextLeft"/>
            </w:pPr>
            <w:r>
              <w:rPr>
                <w:b w:val="0"/>
              </w:rPr>
              <w:t>In scope</w:t>
            </w:r>
          </w:p>
        </w:tc>
      </w:tr>
      <w:tr>
        <w:tc>
          <w:tcPr>
            <w:tcW w:type="dxa" w:w="820"/>
          </w:tcPr>
          <w:p>
            <w:pPr>
              <w:pStyle w:val="TableTextLeft"/>
            </w:pPr>
            <w:r>
              <w:rPr>
                <w:b w:val="0"/>
              </w:rPr>
              <w:t>7.8</w:t>
            </w:r>
          </w:p>
        </w:tc>
        <w:tc>
          <w:tcPr>
            <w:tcW w:type="dxa" w:w="2450"/>
          </w:tcPr>
          <w:p>
            <w:pPr>
              <w:pStyle w:val="TableTextLeft"/>
            </w:pPr>
            <w:r>
              <w:rPr>
                <w:b w:val="0"/>
              </w:rPr>
              <w:t>HR Core Data &amp; Structure (Transfers)</w:t>
            </w:r>
          </w:p>
        </w:tc>
        <w:tc>
          <w:tcPr>
            <w:tcW w:type="dxa" w:w="1500"/>
          </w:tcPr>
          <w:p>
            <w:pPr>
              <w:pStyle w:val="TableTextLeft"/>
            </w:pPr>
            <w:r>
              <w:rPr>
                <w:b w:val="0"/>
              </w:rPr>
              <w:t>hrcoredatatransfer</w:t>
            </w:r>
          </w:p>
        </w:tc>
        <w:tc>
          <w:tcPr>
            <w:tcW w:type="dxa" w:w="1900"/>
          </w:tcPr>
          <w:p>
            <w:pPr>
              <w:pStyle w:val="TableTextLeft"/>
            </w:pPr>
            <w:r>
              <w:rPr>
                <w:b w:val="0"/>
              </w:rPr>
              <w:t>Type 2 – RefNo required</w:t>
            </w:r>
          </w:p>
        </w:tc>
        <w:tc>
          <w:tcPr>
            <w:tcW w:type="dxa" w:w="1130"/>
          </w:tcPr>
          <w:p>
            <w:pPr>
              <w:pStyle w:val="TableTextLeft"/>
            </w:pPr>
            <w:r>
              <w:rPr>
                <w:b w:val="0"/>
              </w:rPr>
              <w:t>No (404)</w:t>
            </w:r>
          </w:p>
        </w:tc>
        <w:tc>
          <w:tcPr>
            <w:tcW w:type="dxa" w:w="2740"/>
          </w:tcPr>
          <w:p>
            <w:pPr>
              <w:pStyle w:val="TableTextLeft"/>
            </w:pPr>
            <w:r>
              <w:rPr>
                <w:b w:val="0"/>
              </w:rPr>
              <w:t>Out of scope – pending vendor confirmation</w:t>
            </w:r>
          </w:p>
        </w:tc>
      </w:tr>
      <w:tr>
        <w:tc>
          <w:tcPr>
            <w:tcW w:type="dxa" w:w="820"/>
          </w:tcPr>
          <w:p>
            <w:pPr>
              <w:pStyle w:val="TableTextLeft"/>
            </w:pPr>
            <w:r>
              <w:rPr>
                <w:b w:val="0"/>
              </w:rPr>
              <w:t>7.9</w:t>
            </w:r>
          </w:p>
        </w:tc>
        <w:tc>
          <w:tcPr>
            <w:tcW w:type="dxa" w:w="2450"/>
          </w:tcPr>
          <w:p>
            <w:pPr>
              <w:pStyle w:val="TableTextLeft"/>
            </w:pPr>
            <w:r>
              <w:rPr>
                <w:b w:val="0"/>
              </w:rPr>
              <w:t>People Structure</w:t>
            </w:r>
          </w:p>
        </w:tc>
        <w:tc>
          <w:tcPr>
            <w:tcW w:type="dxa" w:w="1500"/>
          </w:tcPr>
          <w:p>
            <w:pPr>
              <w:pStyle w:val="TableTextLeft"/>
            </w:pPr>
            <w:r>
              <w:rPr>
                <w:b w:val="0"/>
              </w:rPr>
              <w:t>perstruct</w:t>
            </w:r>
          </w:p>
        </w:tc>
        <w:tc>
          <w:tcPr>
            <w:tcW w:type="dxa" w:w="1900"/>
          </w:tcPr>
          <w:p>
            <w:pPr>
              <w:pStyle w:val="TableTextLeft"/>
            </w:pPr>
            <w:r>
              <w:rPr>
                <w:b w:val="0"/>
              </w:rPr>
              <w:t>Type 2 – RefNo required</w:t>
            </w:r>
          </w:p>
        </w:tc>
        <w:tc>
          <w:tcPr>
            <w:tcW w:type="dxa" w:w="1130"/>
          </w:tcPr>
          <w:p>
            <w:pPr>
              <w:pStyle w:val="TableTextLeft"/>
            </w:pPr>
            <w:r>
              <w:rPr>
                <w:b w:val="0"/>
              </w:rPr>
              <w:t>Yes</w:t>
            </w:r>
          </w:p>
        </w:tc>
        <w:tc>
          <w:tcPr>
            <w:tcW w:type="dxa" w:w="2740"/>
          </w:tcPr>
          <w:p>
            <w:pPr>
              <w:pStyle w:val="TableTextLeft"/>
            </w:pPr>
            <w:r>
              <w:rPr>
                <w:b w:val="0"/>
              </w:rPr>
              <w:t>In scope</w:t>
            </w:r>
          </w:p>
        </w:tc>
      </w:tr>
      <w:tr>
        <w:tc>
          <w:tcPr>
            <w:tcW w:type="dxa" w:w="820"/>
          </w:tcPr>
          <w:p>
            <w:pPr>
              <w:pStyle w:val="TableTextLeft"/>
            </w:pPr>
            <w:r>
              <w:rPr>
                <w:b w:val="0"/>
              </w:rPr>
              <w:t>7.10</w:t>
            </w:r>
          </w:p>
        </w:tc>
        <w:tc>
          <w:tcPr>
            <w:tcW w:type="dxa" w:w="2450"/>
          </w:tcPr>
          <w:p>
            <w:pPr>
              <w:pStyle w:val="TableTextLeft"/>
            </w:pPr>
            <w:r>
              <w:rPr>
                <w:b w:val="0"/>
              </w:rPr>
              <w:t>WMS People</w:t>
            </w:r>
          </w:p>
        </w:tc>
        <w:tc>
          <w:tcPr>
            <w:tcW w:type="dxa" w:w="1500"/>
          </w:tcPr>
          <w:p>
            <w:pPr>
              <w:pStyle w:val="TableTextLeft"/>
            </w:pPr>
            <w:r>
              <w:rPr>
                <w:b w:val="0"/>
              </w:rPr>
              <w:t>wmsper</w:t>
            </w:r>
          </w:p>
        </w:tc>
        <w:tc>
          <w:tcPr>
            <w:tcW w:type="dxa" w:w="1900"/>
          </w:tcPr>
          <w:p>
            <w:pPr>
              <w:pStyle w:val="TableTextLeft"/>
            </w:pPr>
            <w:r>
              <w:rPr>
                <w:b w:val="0"/>
              </w:rPr>
              <w:t>Type 2 – RefNo required</w:t>
            </w:r>
          </w:p>
        </w:tc>
        <w:tc>
          <w:tcPr>
            <w:tcW w:type="dxa" w:w="1130"/>
          </w:tcPr>
          <w:p>
            <w:pPr>
              <w:pStyle w:val="TableTextLeft"/>
            </w:pPr>
            <w:r>
              <w:rPr>
                <w:b w:val="0"/>
              </w:rPr>
              <w:t>No (404)</w:t>
            </w:r>
          </w:p>
        </w:tc>
        <w:tc>
          <w:tcPr>
            <w:tcW w:type="dxa" w:w="2740"/>
          </w:tcPr>
          <w:p>
            <w:pPr>
              <w:pStyle w:val="TableTextLeft"/>
            </w:pPr>
            <w:r>
              <w:rPr>
                <w:b w:val="0"/>
              </w:rPr>
              <w:t>Out of scope – pending vendor confirmation</w:t>
            </w:r>
          </w:p>
        </w:tc>
      </w:tr>
      <w:tr>
        <w:tc>
          <w:tcPr>
            <w:tcW w:type="dxa" w:w="820"/>
          </w:tcPr>
          <w:p>
            <w:pPr>
              <w:pStyle w:val="TableTextLeft"/>
            </w:pPr>
            <w:r>
              <w:rPr>
                <w:b w:val="0"/>
              </w:rPr>
              <w:t>7.11</w:t>
            </w:r>
          </w:p>
        </w:tc>
        <w:tc>
          <w:tcPr>
            <w:tcW w:type="dxa" w:w="2450"/>
          </w:tcPr>
          <w:p>
            <w:pPr>
              <w:pStyle w:val="TableTextLeft"/>
            </w:pPr>
            <w:r>
              <w:rPr>
                <w:b w:val="0"/>
              </w:rPr>
              <w:t>Elite3E (DAC3E)</w:t>
            </w:r>
          </w:p>
        </w:tc>
        <w:tc>
          <w:tcPr>
            <w:tcW w:type="dxa" w:w="1500"/>
          </w:tcPr>
          <w:p>
            <w:pPr>
              <w:pStyle w:val="TableTextLeft"/>
            </w:pPr>
            <w:r>
              <w:rPr>
                <w:b w:val="0"/>
              </w:rPr>
              <w:t>dac3e</w:t>
            </w:r>
          </w:p>
        </w:tc>
        <w:tc>
          <w:tcPr>
            <w:tcW w:type="dxa" w:w="1900"/>
          </w:tcPr>
          <w:p>
            <w:pPr>
              <w:pStyle w:val="TableTextLeft"/>
            </w:pPr>
            <w:r>
              <w:rPr>
                <w:b w:val="0"/>
              </w:rPr>
              <w:t>Type 2 – RefNo required</w:t>
            </w:r>
          </w:p>
        </w:tc>
        <w:tc>
          <w:tcPr>
            <w:tcW w:type="dxa" w:w="1130"/>
          </w:tcPr>
          <w:p>
            <w:pPr>
              <w:pStyle w:val="TableTextLeft"/>
            </w:pPr>
            <w:r>
              <w:rPr>
                <w:b w:val="0"/>
              </w:rPr>
              <w:t>Yes</w:t>
            </w:r>
          </w:p>
        </w:tc>
        <w:tc>
          <w:tcPr>
            <w:tcW w:type="dxa" w:w="2740"/>
          </w:tcPr>
          <w:p>
            <w:pPr>
              <w:pStyle w:val="TableTextLeft"/>
            </w:pPr>
            <w:r>
              <w:rPr>
                <w:b w:val="0"/>
              </w:rPr>
              <w:t>In scope</w:t>
            </w:r>
          </w:p>
        </w:tc>
      </w:tr>
      <w:tr>
        <w:tc>
          <w:tcPr>
            <w:tcW w:type="dxa" w:w="820"/>
          </w:tcPr>
          <w:p>
            <w:pPr>
              <w:pStyle w:val="TableTextLeft"/>
            </w:pPr>
            <w:r>
              <w:rPr>
                <w:b w:val="0"/>
              </w:rPr>
              <w:t>7.12</w:t>
            </w:r>
          </w:p>
        </w:tc>
        <w:tc>
          <w:tcPr>
            <w:tcW w:type="dxa" w:w="2450"/>
          </w:tcPr>
          <w:p>
            <w:pPr>
              <w:pStyle w:val="TableTextLeft"/>
            </w:pPr>
            <w:r>
              <w:rPr>
                <w:b w:val="0"/>
              </w:rPr>
              <w:t>WFM Person (Grosvenor)</w:t>
            </w:r>
          </w:p>
        </w:tc>
        <w:tc>
          <w:tcPr>
            <w:tcW w:type="dxa" w:w="1500"/>
          </w:tcPr>
          <w:p>
            <w:pPr>
              <w:pStyle w:val="TableTextLeft"/>
            </w:pPr>
            <w:r>
              <w:rPr>
                <w:b w:val="0"/>
              </w:rPr>
              <w:t>wfmper</w:t>
            </w:r>
          </w:p>
        </w:tc>
        <w:tc>
          <w:tcPr>
            <w:tcW w:type="dxa" w:w="1900"/>
          </w:tcPr>
          <w:p>
            <w:pPr>
              <w:pStyle w:val="TableTextLeft"/>
            </w:pPr>
            <w:r>
              <w:rPr>
                <w:b w:val="0"/>
              </w:rPr>
              <w:t>Type 2 – RefNo required</w:t>
            </w:r>
          </w:p>
        </w:tc>
        <w:tc>
          <w:tcPr>
            <w:tcW w:type="dxa" w:w="1130"/>
          </w:tcPr>
          <w:p>
            <w:pPr>
              <w:pStyle w:val="TableTextLeft"/>
            </w:pPr>
            <w:r>
              <w:rPr>
                <w:b w:val="0"/>
              </w:rPr>
              <w:t>No (404)</w:t>
            </w:r>
          </w:p>
        </w:tc>
        <w:tc>
          <w:tcPr>
            <w:tcW w:type="dxa" w:w="2740"/>
          </w:tcPr>
          <w:p>
            <w:pPr>
              <w:pStyle w:val="TableTextLeft"/>
            </w:pPr>
            <w:r>
              <w:rPr>
                <w:b w:val="0"/>
              </w:rPr>
              <w:t>Out of scope – pending vendor confirmation</w:t>
            </w:r>
          </w:p>
        </w:tc>
      </w:tr>
      <w:tr>
        <w:tc>
          <w:tcPr>
            <w:tcW w:type="dxa" w:w="820"/>
          </w:tcPr>
          <w:p>
            <w:pPr>
              <w:pStyle w:val="TableTextLeft"/>
            </w:pPr>
            <w:r>
              <w:rPr>
                <w:b w:val="0"/>
              </w:rPr>
              <w:t>7.13</w:t>
            </w:r>
          </w:p>
        </w:tc>
        <w:tc>
          <w:tcPr>
            <w:tcW w:type="dxa" w:w="2450"/>
          </w:tcPr>
          <w:p>
            <w:pPr>
              <w:pStyle w:val="TableTextLeft"/>
            </w:pPr>
            <w:r>
              <w:rPr>
                <w:b w:val="0"/>
              </w:rPr>
              <w:t>WFM Shifts (Grosvenor)</w:t>
            </w:r>
          </w:p>
        </w:tc>
        <w:tc>
          <w:tcPr>
            <w:tcW w:type="dxa" w:w="1500"/>
          </w:tcPr>
          <w:p>
            <w:pPr>
              <w:pStyle w:val="TableTextLeft"/>
            </w:pPr>
            <w:r>
              <w:rPr>
                <w:b w:val="0"/>
              </w:rPr>
              <w:t>wfmshift</w:t>
            </w:r>
          </w:p>
        </w:tc>
        <w:tc>
          <w:tcPr>
            <w:tcW w:type="dxa" w:w="1900"/>
          </w:tcPr>
          <w:p>
            <w:pPr>
              <w:pStyle w:val="TableTextLeft"/>
            </w:pPr>
            <w:r>
              <w:rPr>
                <w:b w:val="0"/>
              </w:rPr>
              <w:t>Type 2 – RefNo required</w:t>
            </w:r>
          </w:p>
        </w:tc>
        <w:tc>
          <w:tcPr>
            <w:tcW w:type="dxa" w:w="1130"/>
          </w:tcPr>
          <w:p>
            <w:pPr>
              <w:pStyle w:val="TableTextLeft"/>
            </w:pPr>
            <w:r>
              <w:rPr>
                <w:b w:val="0"/>
              </w:rPr>
              <w:t>No (404)</w:t>
            </w:r>
          </w:p>
        </w:tc>
        <w:tc>
          <w:tcPr>
            <w:tcW w:type="dxa" w:w="2740"/>
          </w:tcPr>
          <w:p>
            <w:pPr>
              <w:pStyle w:val="TableTextLeft"/>
            </w:pPr>
            <w:r>
              <w:rPr>
                <w:b w:val="0"/>
              </w:rPr>
              <w:t>Out of scope – pending vendor confirmation</w:t>
            </w:r>
          </w:p>
        </w:tc>
      </w:tr>
      <w:tr>
        <w:tc>
          <w:tcPr>
            <w:tcW w:type="dxa" w:w="820"/>
          </w:tcPr>
          <w:p>
            <w:pPr>
              <w:pStyle w:val="TableTextLeft"/>
            </w:pPr>
            <w:r>
              <w:rPr>
                <w:b w:val="0"/>
              </w:rPr>
              <w:t>7.14</w:t>
            </w:r>
          </w:p>
        </w:tc>
        <w:tc>
          <w:tcPr>
            <w:tcW w:type="dxa" w:w="2450"/>
          </w:tcPr>
          <w:p>
            <w:pPr>
              <w:pStyle w:val="TableTextLeft"/>
            </w:pPr>
            <w:r>
              <w:rPr>
                <w:b w:val="0"/>
              </w:rPr>
              <w:t>Employee Record</w:t>
            </w:r>
          </w:p>
        </w:tc>
        <w:tc>
          <w:tcPr>
            <w:tcW w:type="dxa" w:w="1500"/>
          </w:tcPr>
          <w:p>
            <w:pPr>
              <w:pStyle w:val="TableTextLeft"/>
            </w:pPr>
            <w:r>
              <w:rPr>
                <w:b w:val="0"/>
              </w:rPr>
              <w:t>employee</w:t>
            </w:r>
          </w:p>
        </w:tc>
        <w:tc>
          <w:tcPr>
            <w:tcW w:type="dxa" w:w="1900"/>
          </w:tcPr>
          <w:p>
            <w:pPr>
              <w:pStyle w:val="TableTextLeft"/>
            </w:pPr>
            <w:r>
              <w:rPr>
                <w:b w:val="0"/>
              </w:rPr>
              <w:t>Type 1 – Paginated</w:t>
            </w:r>
          </w:p>
        </w:tc>
        <w:tc>
          <w:tcPr>
            <w:tcW w:type="dxa" w:w="1130"/>
          </w:tcPr>
          <w:p>
            <w:pPr>
              <w:pStyle w:val="TableTextLeft"/>
            </w:pPr>
            <w:r>
              <w:rPr>
                <w:b w:val="0"/>
              </w:rPr>
              <w:t>Yes</w:t>
            </w:r>
          </w:p>
        </w:tc>
        <w:tc>
          <w:tcPr>
            <w:tcW w:type="dxa" w:w="2740"/>
          </w:tcPr>
          <w:p>
            <w:pPr>
              <w:pStyle w:val="TableTextLeft"/>
            </w:pPr>
            <w:r>
              <w:rPr>
                <w:b w:val="0"/>
              </w:rPr>
              <w:t>In scope</w:t>
            </w:r>
          </w:p>
        </w:tc>
      </w:tr>
      <w:tr>
        <w:tc>
          <w:tcPr>
            <w:tcW w:type="dxa" w:w="820"/>
          </w:tcPr>
          <w:p>
            <w:pPr>
              <w:pStyle w:val="TableTextLeft"/>
            </w:pPr>
            <w:r>
              <w:rPr>
                <w:b w:val="0"/>
              </w:rPr>
              <w:t>7.15</w:t>
            </w:r>
          </w:p>
        </w:tc>
        <w:tc>
          <w:tcPr>
            <w:tcW w:type="dxa" w:w="2450"/>
          </w:tcPr>
          <w:p>
            <w:pPr>
              <w:pStyle w:val="TableTextLeft"/>
            </w:pPr>
            <w:r>
              <w:rPr>
                <w:b w:val="0"/>
              </w:rPr>
              <w:t>Employee Record (Date Effective)</w:t>
            </w:r>
          </w:p>
        </w:tc>
        <w:tc>
          <w:tcPr>
            <w:tcW w:type="dxa" w:w="1500"/>
          </w:tcPr>
          <w:p>
            <w:pPr>
              <w:pStyle w:val="TableTextLeft"/>
            </w:pPr>
            <w:r>
              <w:rPr>
                <w:b w:val="0"/>
              </w:rPr>
              <w:t>employee + EffectiveDate</w:t>
            </w:r>
          </w:p>
        </w:tc>
        <w:tc>
          <w:tcPr>
            <w:tcW w:type="dxa" w:w="1900"/>
          </w:tcPr>
          <w:p>
            <w:pPr>
              <w:pStyle w:val="TableTextLeft"/>
            </w:pPr>
            <w:r>
              <w:rPr>
                <w:b w:val="0"/>
              </w:rPr>
              <w:t>Type 2 – RefNo + EffectiveDate</w:t>
            </w:r>
          </w:p>
        </w:tc>
        <w:tc>
          <w:tcPr>
            <w:tcW w:type="dxa" w:w="1130"/>
          </w:tcPr>
          <w:p>
            <w:pPr>
              <w:pStyle w:val="TableTextLeft"/>
            </w:pPr>
            <w:r>
              <w:rPr>
                <w:b w:val="0"/>
              </w:rPr>
              <w:t>Yes</w:t>
            </w:r>
          </w:p>
        </w:tc>
        <w:tc>
          <w:tcPr>
            <w:tcW w:type="dxa" w:w="2740"/>
          </w:tcPr>
          <w:p>
            <w:pPr>
              <w:pStyle w:val="TableTextLeft"/>
            </w:pPr>
            <w:r>
              <w:rPr>
                <w:b w:val="0"/>
              </w:rPr>
              <w:t>In scope</w:t>
            </w:r>
          </w:p>
        </w:tc>
      </w:tr>
      <w:tr>
        <w:tc>
          <w:tcPr>
            <w:tcW w:type="dxa" w:w="820"/>
          </w:tcPr>
          <w:p>
            <w:pPr>
              <w:pStyle w:val="TableTextLeft"/>
            </w:pPr>
            <w:r>
              <w:rPr>
                <w:b w:val="0"/>
              </w:rPr>
              <w:t>7.16</w:t>
            </w:r>
          </w:p>
        </w:tc>
        <w:tc>
          <w:tcPr>
            <w:tcW w:type="dxa" w:w="2450"/>
          </w:tcPr>
          <w:p>
            <w:pPr>
              <w:pStyle w:val="TableTextLeft"/>
            </w:pPr>
            <w:r>
              <w:rPr>
                <w:b w:val="0"/>
              </w:rPr>
              <w:t>Employee Work Schedule</w:t>
            </w:r>
          </w:p>
        </w:tc>
        <w:tc>
          <w:tcPr>
            <w:tcW w:type="dxa" w:w="1500"/>
          </w:tcPr>
          <w:p>
            <w:pPr>
              <w:pStyle w:val="TableTextLeft"/>
            </w:pPr>
            <w:r>
              <w:rPr>
                <w:b w:val="0"/>
              </w:rPr>
              <w:t>empsched</w:t>
            </w:r>
          </w:p>
        </w:tc>
        <w:tc>
          <w:tcPr>
            <w:tcW w:type="dxa" w:w="1900"/>
          </w:tcPr>
          <w:p>
            <w:pPr>
              <w:pStyle w:val="TableTextLeft"/>
            </w:pPr>
            <w:r>
              <w:rPr>
                <w:b w:val="0"/>
              </w:rPr>
              <w:t>Type 2 – RefNo required</w:t>
            </w:r>
          </w:p>
        </w:tc>
        <w:tc>
          <w:tcPr>
            <w:tcW w:type="dxa" w:w="1130"/>
          </w:tcPr>
          <w:p>
            <w:pPr>
              <w:pStyle w:val="TableTextLeft"/>
            </w:pPr>
            <w:r>
              <w:rPr>
                <w:b w:val="0"/>
              </w:rPr>
              <w:t>No (404)</w:t>
            </w:r>
          </w:p>
        </w:tc>
        <w:tc>
          <w:tcPr>
            <w:tcW w:type="dxa" w:w="2740"/>
          </w:tcPr>
          <w:p>
            <w:pPr>
              <w:pStyle w:val="TableTextLeft"/>
            </w:pPr>
            <w:r>
              <w:rPr>
                <w:b w:val="0"/>
              </w:rPr>
              <w:t>Out of scope – pending vendor confirmation</w:t>
            </w:r>
          </w:p>
        </w:tc>
      </w:tr>
      <w:tr>
        <w:tc>
          <w:tcPr>
            <w:tcW w:type="dxa" w:w="820"/>
          </w:tcPr>
          <w:p>
            <w:pPr>
              <w:pStyle w:val="TableTextLeft"/>
            </w:pPr>
            <w:r>
              <w:rPr>
                <w:b w:val="0"/>
              </w:rPr>
              <w:t>7.17</w:t>
            </w:r>
          </w:p>
        </w:tc>
        <w:tc>
          <w:tcPr>
            <w:tcW w:type="dxa" w:w="2450"/>
          </w:tcPr>
          <w:p>
            <w:pPr>
              <w:pStyle w:val="TableTextLeft"/>
            </w:pPr>
            <w:r>
              <w:rPr>
                <w:b w:val="0"/>
              </w:rPr>
              <w:t>Requisition Data Service v1</w:t>
            </w:r>
          </w:p>
        </w:tc>
        <w:tc>
          <w:tcPr>
            <w:tcW w:type="dxa" w:w="1500"/>
          </w:tcPr>
          <w:p>
            <w:pPr>
              <w:pStyle w:val="TableTextLeft"/>
            </w:pPr>
            <w:r>
              <w:rPr>
                <w:b w:val="0"/>
              </w:rPr>
              <w:t>requisition</w:t>
            </w:r>
          </w:p>
        </w:tc>
        <w:tc>
          <w:tcPr>
            <w:tcW w:type="dxa" w:w="1900"/>
          </w:tcPr>
          <w:p>
            <w:pPr>
              <w:pStyle w:val="TableTextLeft"/>
            </w:pPr>
            <w:r>
              <w:rPr>
                <w:b w:val="0"/>
              </w:rPr>
              <w:t>Type 3 – Optional RefNo</w:t>
            </w:r>
          </w:p>
        </w:tc>
        <w:tc>
          <w:tcPr>
            <w:tcW w:type="dxa" w:w="1130"/>
          </w:tcPr>
          <w:p>
            <w:pPr>
              <w:pStyle w:val="TableTextLeft"/>
            </w:pPr>
            <w:r>
              <w:rPr>
                <w:b w:val="0"/>
              </w:rPr>
              <w:t>No</w:t>
            </w:r>
          </w:p>
        </w:tc>
        <w:tc>
          <w:tcPr>
            <w:tcW w:type="dxa" w:w="2740"/>
          </w:tcPr>
          <w:p>
            <w:pPr>
              <w:pStyle w:val="TableTextLeft"/>
            </w:pPr>
            <w:r>
              <w:rPr>
                <w:b w:val="0"/>
              </w:rPr>
              <w:t>Out of scope – confirmed not in use</w:t>
            </w:r>
          </w:p>
        </w:tc>
      </w:tr>
      <w:tr>
        <w:tc>
          <w:tcPr>
            <w:tcW w:type="dxa" w:w="820"/>
          </w:tcPr>
          <w:p>
            <w:pPr>
              <w:pStyle w:val="TableTextLeft"/>
            </w:pPr>
            <w:r>
              <w:rPr>
                <w:b w:val="0"/>
              </w:rPr>
              <w:t>7.18</w:t>
            </w:r>
          </w:p>
        </w:tc>
        <w:tc>
          <w:tcPr>
            <w:tcW w:type="dxa" w:w="2450"/>
          </w:tcPr>
          <w:p>
            <w:pPr>
              <w:pStyle w:val="TableTextLeft"/>
            </w:pPr>
            <w:r>
              <w:rPr>
                <w:b w:val="0"/>
              </w:rPr>
              <w:t>Requisition Data Service v2</w:t>
            </w:r>
          </w:p>
        </w:tc>
        <w:tc>
          <w:tcPr>
            <w:tcW w:type="dxa" w:w="1500"/>
          </w:tcPr>
          <w:p>
            <w:pPr>
              <w:pStyle w:val="TableTextLeft"/>
            </w:pPr>
            <w:r>
              <w:rPr>
                <w:b w:val="0"/>
              </w:rPr>
              <w:t>requisition (v2)</w:t>
            </w:r>
          </w:p>
        </w:tc>
        <w:tc>
          <w:tcPr>
            <w:tcW w:type="dxa" w:w="1900"/>
          </w:tcPr>
          <w:p>
            <w:pPr>
              <w:pStyle w:val="TableTextLeft"/>
            </w:pPr>
            <w:r>
              <w:rPr>
                <w:b w:val="0"/>
              </w:rPr>
              <w:t>Type 3 – Optional RefNo</w:t>
            </w:r>
          </w:p>
        </w:tc>
        <w:tc>
          <w:tcPr>
            <w:tcW w:type="dxa" w:w="1130"/>
          </w:tcPr>
          <w:p>
            <w:pPr>
              <w:pStyle w:val="TableTextLeft"/>
            </w:pPr>
            <w:r>
              <w:rPr>
                <w:b w:val="0"/>
              </w:rPr>
              <w:t>No</w:t>
            </w:r>
          </w:p>
        </w:tc>
        <w:tc>
          <w:tcPr>
            <w:tcW w:type="dxa" w:w="2740"/>
          </w:tcPr>
          <w:p>
            <w:pPr>
              <w:pStyle w:val="TableTextLeft"/>
            </w:pPr>
            <w:r>
              <w:rPr>
                <w:b w:val="0"/>
              </w:rPr>
              <w:t>Out of scope – pending vendor confirmation</w:t>
            </w:r>
          </w:p>
        </w:tc>
      </w:tr>
      <w:tr>
        <w:tc>
          <w:tcPr>
            <w:tcW w:type="dxa" w:w="820"/>
          </w:tcPr>
          <w:p>
            <w:pPr>
              <w:pStyle w:val="TableTextLeft"/>
            </w:pPr>
            <w:r>
              <w:rPr>
                <w:b w:val="0"/>
              </w:rPr>
              <w:t>7.19</w:t>
            </w:r>
          </w:p>
        </w:tc>
        <w:tc>
          <w:tcPr>
            <w:tcW w:type="dxa" w:w="2450"/>
          </w:tcPr>
          <w:p>
            <w:pPr>
              <w:pStyle w:val="TableTextLeft"/>
            </w:pPr>
            <w:r>
              <w:rPr>
                <w:b w:val="0"/>
              </w:rPr>
              <w:t>User Defined Fields</w:t>
            </w:r>
          </w:p>
        </w:tc>
        <w:tc>
          <w:tcPr>
            <w:tcW w:type="dxa" w:w="1500"/>
          </w:tcPr>
          <w:p>
            <w:pPr>
              <w:pStyle w:val="TableTextLeft"/>
            </w:pPr>
            <w:r>
              <w:rPr>
                <w:b w:val="0"/>
              </w:rPr>
              <w:t>get_udfs</w:t>
            </w:r>
          </w:p>
        </w:tc>
        <w:tc>
          <w:tcPr>
            <w:tcW w:type="dxa" w:w="1900"/>
          </w:tcPr>
          <w:p>
            <w:pPr>
              <w:pStyle w:val="TableTextLeft"/>
            </w:pPr>
            <w:r>
              <w:rPr>
                <w:b w:val="0"/>
              </w:rPr>
              <w:t>Type 2 – RefNo/Category required</w:t>
            </w:r>
          </w:p>
        </w:tc>
        <w:tc>
          <w:tcPr>
            <w:tcW w:type="dxa" w:w="1130"/>
          </w:tcPr>
          <w:p>
            <w:pPr>
              <w:pStyle w:val="TableTextLeft"/>
            </w:pPr>
            <w:r>
              <w:rPr>
                <w:b w:val="0"/>
              </w:rPr>
              <w:t>Partial</w:t>
            </w:r>
          </w:p>
        </w:tc>
        <w:tc>
          <w:tcPr>
            <w:tcW w:type="dxa" w:w="2740"/>
          </w:tcPr>
          <w:p>
            <w:pPr>
              <w:pStyle w:val="TableTextLeft"/>
            </w:pPr>
            <w:r>
              <w:rPr>
                <w:b w:val="0"/>
              </w:rPr>
              <w:t>Pending confirmation – near resolution</w:t>
            </w:r>
          </w:p>
        </w:tc>
      </w:tr>
      <w:tr>
        <w:tc>
          <w:tcPr>
            <w:tcW w:type="dxa" w:w="820"/>
          </w:tcPr>
          <w:p>
            <w:pPr>
              <w:pStyle w:val="TableTextLeft"/>
            </w:pPr>
            <w:r>
              <w:rPr>
                <w:b w:val="0"/>
              </w:rPr>
              <w:t>7.20</w:t>
            </w:r>
          </w:p>
        </w:tc>
        <w:tc>
          <w:tcPr>
            <w:tcW w:type="dxa" w:w="2450"/>
          </w:tcPr>
          <w:p>
            <w:pPr>
              <w:pStyle w:val="TableTextLeft"/>
            </w:pPr>
            <w:r>
              <w:rPr>
                <w:b w:val="0"/>
              </w:rPr>
              <w:t>Grade &amp; Payscale Details</w:t>
            </w:r>
          </w:p>
        </w:tc>
        <w:tc>
          <w:tcPr>
            <w:tcW w:type="dxa" w:w="1500"/>
          </w:tcPr>
          <w:p>
            <w:pPr>
              <w:pStyle w:val="TableTextLeft"/>
            </w:pPr>
            <w:r>
              <w:rPr>
                <w:b w:val="0"/>
              </w:rPr>
              <w:t>gradepayscale</w:t>
            </w:r>
          </w:p>
        </w:tc>
        <w:tc>
          <w:tcPr>
            <w:tcW w:type="dxa" w:w="1900"/>
          </w:tcPr>
          <w:p>
            <w:pPr>
              <w:pStyle w:val="TableTextLeft"/>
            </w:pPr>
            <w:r>
              <w:rPr>
                <w:b w:val="0"/>
              </w:rPr>
              <w:t>Type 2 – RefNo + StartDate</w:t>
            </w:r>
          </w:p>
        </w:tc>
        <w:tc>
          <w:tcPr>
            <w:tcW w:type="dxa" w:w="1130"/>
          </w:tcPr>
          <w:p>
            <w:pPr>
              <w:pStyle w:val="TableTextLeft"/>
            </w:pPr>
            <w:r>
              <w:rPr>
                <w:b w:val="0"/>
              </w:rPr>
              <w:t>No (404)</w:t>
            </w:r>
          </w:p>
        </w:tc>
        <w:tc>
          <w:tcPr>
            <w:tcW w:type="dxa" w:w="2740"/>
          </w:tcPr>
          <w:p>
            <w:pPr>
              <w:pStyle w:val="TableTextLeft"/>
            </w:pPr>
            <w:r>
              <w:rPr>
                <w:b w:val="0"/>
              </w:rPr>
              <w:t>Open item – pending MHR</w:t>
            </w:r>
          </w:p>
        </w:tc>
      </w:tr>
    </w:tbl>
    <w:p>
      <w:pPr>
        <w:pStyle w:val="Heading2"/>
      </w:pPr>
      <w:r>
        <w:t>Scope Summary</w:t>
      </w:r>
    </w:p>
    <w:p>
      <w:pPr/>
      <w:r>
        <w:rPr>
          <w:b w:val="0"/>
          <w:i w:val="0"/>
        </w:rPr>
        <w:t>Of the 20 services tested, 8 are recommended as in scope for Phase 1 (7.1, 7.3, 7.6, 7.7, 7.9, 7.11, 7.14 and 7.15), all of which are confirmed to return usable data. 9 services are recommended as out of scope for Phase 1: 2 of these (7.2 and 7.17) have been confirmed by internal stakeholders as not in use, and the remaining 7 (7.5, 7.8, 7.10, 7.12, 7.13, 7.16 and 7.18) returned no data during testing and their status has not yet been resolved with the vendor. Two services (7.4 and 7.20) are open items — MHR has confirmed Nest’s configuration looks correct for both, but no data is being returned, and this is pending a vendor call (see Section 4.2 and Section 5). One service (7.19) is pending final confirmation — it returns data, but MHR has supplied corrected configuration guidance that has not yet been fully re-tested.</w:t>
      </w:r>
    </w:p>
    <w:p>
      <w:pPr/>
      <w:r>
        <w:rPr>
          <w:b w:val="0"/>
          <w:i w:val="0"/>
        </w:rPr>
        <w:t>Recommendation: Phase 1 build should proceed on the 8 confirmed in-scope services. 7.4, 7.20 and 7.19 should be re-tested once the outstanding vendor items are resolved and added to scope at that point if they return data; the remaining 7 out-of-scope services should be revisited only if a business need for them is identified.</w:t>
      </w:r>
    </w:p>
    <w:p>
      <w:pPr>
        <w:pStyle w:val="Heading1"/>
      </w:pPr>
      <w:r>
        <w:t>Technical Approach</w:t>
      </w:r>
    </w:p>
    <w:p>
      <w:pPr>
        <w:pStyle w:val="Heading2"/>
      </w:pPr>
      <w:r>
        <w:t>Authentication &amp; Connectivity</w:t>
      </w:r>
    </w:p>
    <w:p>
      <w:pPr/>
      <w:r>
        <w:rPr>
          <w:b w:val="0"/>
          <w:i w:val="0"/>
        </w:rPr>
        <w:t>All 20 services are called via HTTP GET against Nest’s live iTrent instance, secured with HTTP Basic Authentication (username and password supplied in the Authorization header by a dedicated iTrent ‘Web Services’ user). All services share the same base URL, apart from 7.19 (User Defined Fields), which uses a separate endpoint:</w:t>
      </w:r>
    </w:p>
    <w:p>
      <w:pPr>
        <w:pStyle w:val="SymbolBullet1"/>
      </w:pPr>
      <w:r>
        <w:t>Standard services (7.1–7.18, 7.20): https://ce0238li.webitrent.com/ce0238li_web/wrd/run/etws001api.json</w:t>
      </w:r>
    </w:p>
    <w:p>
      <w:pPr>
        <w:pStyle w:val="SymbolBullet1"/>
      </w:pPr>
      <w:r>
        <w:t>User Defined Fields (7.19): https://ce0238li.webitrent.com/ce0238li_web/wrd/run/etudf001api.json</w:t>
      </w:r>
    </w:p>
    <w:p>
      <w:pPr/>
      <w:r>
        <w:rPr>
          <w:b w:val="0"/>
          <w:i w:val="0"/>
        </w:rPr>
        <w:t>The specific iTrent service requested is selected using the iTrent-Operation header (or, for 7.19, a combination of UDF-specific headers), with PartyName: NEST identifying the organisation. The full request configuration for every service is provided in Appendix A.</w:t>
      </w:r>
    </w:p>
    <w:p>
      <w:pPr>
        <w:pStyle w:val="Heading2"/>
      </w:pPr>
      <w:r>
        <w:t>Service Behaviour Types</w:t>
      </w:r>
    </w:p>
    <w:p>
      <w:pPr/>
      <w:r>
        <w:rPr>
          <w:b w:val="0"/>
          <w:i w:val="0"/>
        </w:rPr>
        <w:t>Not all 20 services behave the same way. Understanding this is critical to designing the extraction pipeline correctly — it determines how many API calls are needed per run and whether looping logic is required.</w:t>
      </w:r>
    </w:p>
    <w:tbl>
      <w:tblPr>
        <w:tblStyle w:val="NestTable1"/>
        <w:tblW w:type="auto" w:w="0"/>
        <w:tblLayout w:type="fixed"/>
        <w:tblLook w:val="06A0" w:firstRow="1" w:lastRow="0" w:firstColumn="1" w:lastColumn="0" w:noHBand="1" w:noVBand="1"/>
      </w:tblPr>
      <w:tblGrid>
        <w:gridCol w:w="1700"/>
        <w:gridCol w:w="5340"/>
        <w:gridCol w:w="1100"/>
        <w:gridCol w:w="2400"/>
      </w:tblGrid>
      <w:tr>
        <w:trPr>
          <w:tblHeader/>
        </w:trPr>
        <w:tc>
          <w:tcPr>
            <w:tcW w:type="dxa" w:w="1700"/>
          </w:tcPr>
          <w:p>
            <w:pPr>
              <w:pStyle w:val="TableTextLeft"/>
            </w:pPr>
            <w:r>
              <w:rPr>
                <w:b/>
              </w:rPr>
              <w:t>Type</w:t>
            </w:r>
          </w:p>
        </w:tc>
        <w:tc>
          <w:tcPr>
            <w:tcW w:type="dxa" w:w="5340"/>
          </w:tcPr>
          <w:p>
            <w:pPr>
              <w:pStyle w:val="TableTextLeft"/>
            </w:pPr>
            <w:r>
              <w:rPr>
                <w:b/>
              </w:rPr>
              <w:t>Description</w:t>
            </w:r>
          </w:p>
        </w:tc>
        <w:tc>
          <w:tcPr>
            <w:tcW w:type="dxa" w:w="1100"/>
          </w:tcPr>
          <w:p>
            <w:pPr>
              <w:pStyle w:val="TableTextLeft"/>
            </w:pPr>
            <w:r>
              <w:rPr>
                <w:b/>
              </w:rPr>
              <w:t># Services</w:t>
            </w:r>
          </w:p>
        </w:tc>
        <w:tc>
          <w:tcPr>
            <w:tcW w:type="dxa" w:w="2400"/>
          </w:tcPr>
          <w:p>
            <w:pPr>
              <w:pStyle w:val="TableTextLeft"/>
            </w:pPr>
            <w:r>
              <w:rPr>
                <w:b/>
              </w:rPr>
              <w:t>Services</w:t>
            </w:r>
          </w:p>
        </w:tc>
      </w:tr>
      <w:tr>
        <w:tc>
          <w:tcPr>
            <w:tcW w:type="dxa" w:w="1700"/>
          </w:tcPr>
          <w:p>
            <w:pPr>
              <w:pStyle w:val="TableTextLeft"/>
            </w:pPr>
            <w:r>
              <w:rPr>
                <w:b w:val="0"/>
              </w:rPr>
              <w:t>Type 1 – Paginated</w:t>
            </w:r>
          </w:p>
        </w:tc>
        <w:tc>
          <w:tcPr>
            <w:tcW w:type="dxa" w:w="5340"/>
          </w:tcPr>
          <w:p>
            <w:pPr>
              <w:pStyle w:val="TableTextLeft"/>
            </w:pPr>
            <w:r>
              <w:rPr>
                <w:b w:val="0"/>
              </w:rPr>
              <w:t>RefNo is left blank; the API returns records in batches (set by the Size header) and pages are retrieved by passing back Proccount, Lastid and Number from the previous response.</w:t>
            </w:r>
          </w:p>
        </w:tc>
        <w:tc>
          <w:tcPr>
            <w:tcW w:type="dxa" w:w="1100"/>
          </w:tcPr>
          <w:p>
            <w:pPr>
              <w:pStyle w:val="TableTextLeft"/>
            </w:pPr>
            <w:r>
              <w:rPr>
                <w:b w:val="0"/>
              </w:rPr>
              <w:t>4</w:t>
            </w:r>
          </w:p>
        </w:tc>
        <w:tc>
          <w:tcPr>
            <w:tcW w:type="dxa" w:w="2400"/>
          </w:tcPr>
          <w:p>
            <w:pPr>
              <w:pStyle w:val="TableTextLeft"/>
            </w:pPr>
            <w:r>
              <w:rPr>
                <w:b w:val="0"/>
              </w:rPr>
              <w:t>7.1, 7.3, 7.7, 7.14</w:t>
            </w:r>
          </w:p>
        </w:tc>
      </w:tr>
      <w:tr>
        <w:tc>
          <w:tcPr>
            <w:tcW w:type="dxa" w:w="1700"/>
          </w:tcPr>
          <w:p>
            <w:pPr>
              <w:pStyle w:val="TableTextLeft"/>
            </w:pPr>
            <w:r>
              <w:rPr>
                <w:b w:val="0"/>
              </w:rPr>
              <w:t>Type 2 – RefNo Required</w:t>
            </w:r>
          </w:p>
        </w:tc>
        <w:tc>
          <w:tcPr>
            <w:tcW w:type="dxa" w:w="5340"/>
          </w:tcPr>
          <w:p>
            <w:pPr>
              <w:pStyle w:val="TableTextLeft"/>
            </w:pPr>
            <w:r>
              <w:rPr>
                <w:b w:val="0"/>
              </w:rPr>
              <w:t>A specific reference number (typically a Person Reference Number or NI Number) must be supplied. The service returns one record only — there is no way to retrieve all records in a single call.</w:t>
            </w:r>
          </w:p>
        </w:tc>
        <w:tc>
          <w:tcPr>
            <w:tcW w:type="dxa" w:w="1100"/>
          </w:tcPr>
          <w:p>
            <w:pPr>
              <w:pStyle w:val="TableTextLeft"/>
            </w:pPr>
            <w:r>
              <w:rPr>
                <w:b w:val="0"/>
              </w:rPr>
              <w:t>14</w:t>
            </w:r>
          </w:p>
        </w:tc>
        <w:tc>
          <w:tcPr>
            <w:tcW w:type="dxa" w:w="2400"/>
          </w:tcPr>
          <w:p>
            <w:pPr>
              <w:pStyle w:val="TableTextLeft"/>
            </w:pPr>
            <w:r>
              <w:rPr>
                <w:b w:val="0"/>
              </w:rPr>
              <w:t>7.2, 7.4, 7.5, 7.6, 7.8, 7.9, 7.10, 7.11, 7.12, 7.13, 7.15, 7.16, 7.19, 7.20</w:t>
            </w:r>
          </w:p>
        </w:tc>
      </w:tr>
      <w:tr>
        <w:tc>
          <w:tcPr>
            <w:tcW w:type="dxa" w:w="1700"/>
          </w:tcPr>
          <w:p>
            <w:pPr>
              <w:pStyle w:val="TableTextLeft"/>
            </w:pPr>
            <w:r>
              <w:rPr>
                <w:b w:val="0"/>
              </w:rPr>
              <w:t>Type 3 – Optional RefNo</w:t>
            </w:r>
          </w:p>
        </w:tc>
        <w:tc>
          <w:tcPr>
            <w:tcW w:type="dxa" w:w="5340"/>
          </w:tcPr>
          <w:p>
            <w:pPr>
              <w:pStyle w:val="TableTextLeft"/>
            </w:pPr>
            <w:r>
              <w:rPr>
                <w:b w:val="0"/>
              </w:rPr>
              <w:t>RefNo is optional. Leaving it blank returns all matching records (e.g. all open published requisitions) in a single, non-paginated response; supplying it filters to one record.</w:t>
            </w:r>
          </w:p>
        </w:tc>
        <w:tc>
          <w:tcPr>
            <w:tcW w:type="dxa" w:w="1100"/>
          </w:tcPr>
          <w:p>
            <w:pPr>
              <w:pStyle w:val="TableTextLeft"/>
            </w:pPr>
            <w:r>
              <w:rPr>
                <w:b w:val="0"/>
              </w:rPr>
              <w:t>2</w:t>
            </w:r>
          </w:p>
        </w:tc>
        <w:tc>
          <w:tcPr>
            <w:tcW w:type="dxa" w:w="2400"/>
          </w:tcPr>
          <w:p>
            <w:pPr>
              <w:pStyle w:val="TableTextLeft"/>
            </w:pPr>
            <w:r>
              <w:rPr>
                <w:b w:val="0"/>
              </w:rPr>
              <w:t>7.17, 7.18</w:t>
            </w:r>
          </w:p>
        </w:tc>
      </w:tr>
    </w:tbl>
    <w:p>
      <w:pPr/>
      <w:r>
        <w:rPr>
          <w:b w:val="0"/>
          <w:i w:val="0"/>
        </w:rPr>
        <w:t>Important limitation: leavers with an end date before today and future-dated starters are excluded from all Type 1 (paginated) responses by iTrent design. This must be factored into the Phase 1 ingestion logic — these records will not appear via 7.1, 7.3, 7.7 or 7.14 and, if required, would need to be sourced differently.</w:t>
      </w:r>
    </w:p>
    <w:p>
      <w:pPr>
        <w:pStyle w:val="Heading2"/>
      </w:pPr>
      <w:r>
        <w:t>Pipeline Design Implications</w:t>
      </w:r>
    </w:p>
    <w:p>
      <w:pPr/>
      <w:r>
        <w:rPr>
          <w:b w:val="0"/>
          <w:i w:val="0"/>
        </w:rPr>
        <w:t>Because 14 of the 20 services (including 4 of the 8 in-scope services — 7.6, 7.9, 7.11 and 7.15) only support Type 2 RefNo-required calls, a single API call cannot retrieve all employees’ data for these services. The pipeline instead needs to:</w:t>
      </w:r>
    </w:p>
    <w:p>
      <w:pPr>
        <w:pStyle w:val="SymbolBullet1"/>
      </w:pPr>
      <w:r>
        <w:t>Step 1: Call 7.1 (HR Core Data, paginated) to retrieve all PersonIDs across the organisation.</w:t>
      </w:r>
    </w:p>
    <w:p>
      <w:pPr>
        <w:pStyle w:val="SymbolBullet1"/>
      </w:pPr>
      <w:r>
        <w:t>Step 2: Loop through each PersonID and call the relevant Type 2 service individually for each one.</w:t>
      </w:r>
    </w:p>
    <w:p>
      <w:pPr>
        <w:pStyle w:val="SymbolBullet1"/>
      </w:pPr>
      <w:r>
        <w:t>Step 3: Collect and combine all individual responses into the target dataset.</w:t>
      </w:r>
    </w:p>
    <w:p>
      <w:pPr/>
      <w:r>
        <w:rPr>
          <w:b w:val="0"/>
          <w:i w:val="0"/>
        </w:rPr>
        <w:t>This means the number of API calls per pipeline run for each Type 2 service equals the number of employees in the system. Nest’s current headcount should be confirmed with HR to estimate pipeline run time and API load before Phase 1 build begins.</w:t>
      </w:r>
    </w:p>
    <w:p>
      <w:pPr>
        <w:pStyle w:val="Heading2"/>
      </w:pPr>
      <w:r>
        <w:t>API Reference – Services In Scope for Phase 1</w:t>
      </w:r>
    </w:p>
    <w:tbl>
      <w:tblPr>
        <w:tblStyle w:val="NestTable1"/>
        <w:tblW w:type="auto" w:w="0"/>
        <w:tblLayout w:type="fixed"/>
        <w:tblLook w:val="06A0" w:firstRow="1" w:lastRow="0" w:firstColumn="1" w:lastColumn="0" w:noHBand="1" w:noVBand="1"/>
      </w:tblPr>
      <w:tblGrid>
        <w:gridCol w:w="650"/>
        <w:gridCol w:w="2400"/>
        <w:gridCol w:w="1500"/>
        <w:gridCol w:w="3200"/>
        <w:gridCol w:w="2790"/>
      </w:tblGrid>
      <w:tr>
        <w:trPr>
          <w:tblHeader/>
        </w:trPr>
        <w:tc>
          <w:tcPr>
            <w:tcW w:type="dxa" w:w="650"/>
          </w:tcPr>
          <w:p>
            <w:pPr>
              <w:pStyle w:val="TableTextLeft"/>
            </w:pPr>
            <w:r>
              <w:rPr>
                <w:b/>
              </w:rPr>
              <w:t>Section</w:t>
            </w:r>
          </w:p>
        </w:tc>
        <w:tc>
          <w:tcPr>
            <w:tcW w:type="dxa" w:w="2400"/>
          </w:tcPr>
          <w:p>
            <w:pPr>
              <w:pStyle w:val="TableTextLeft"/>
            </w:pPr>
            <w:r>
              <w:rPr>
                <w:b/>
              </w:rPr>
              <w:t>Service Name</w:t>
            </w:r>
          </w:p>
        </w:tc>
        <w:tc>
          <w:tcPr>
            <w:tcW w:type="dxa" w:w="1500"/>
          </w:tcPr>
          <w:p>
            <w:pPr>
              <w:pStyle w:val="TableTextLeft"/>
            </w:pPr>
            <w:r>
              <w:rPr>
                <w:b/>
              </w:rPr>
              <w:t>iTrent-Operation</w:t>
            </w:r>
          </w:p>
        </w:tc>
        <w:tc>
          <w:tcPr>
            <w:tcW w:type="dxa" w:w="3200"/>
          </w:tcPr>
          <w:p>
            <w:pPr>
              <w:pStyle w:val="TableTextLeft"/>
            </w:pPr>
            <w:r>
              <w:rPr>
                <w:b/>
              </w:rPr>
              <w:t>Key Headers / Parameters</w:t>
            </w:r>
          </w:p>
        </w:tc>
        <w:tc>
          <w:tcPr>
            <w:tcW w:type="dxa" w:w="2790"/>
          </w:tcPr>
          <w:p>
            <w:pPr>
              <w:pStyle w:val="TableTextLeft"/>
            </w:pPr>
            <w:r>
              <w:rPr>
                <w:b/>
              </w:rPr>
              <w:t>Notes</w:t>
            </w:r>
          </w:p>
        </w:tc>
      </w:tr>
      <w:tr>
        <w:tc>
          <w:tcPr>
            <w:tcW w:type="dxa" w:w="650"/>
          </w:tcPr>
          <w:p>
            <w:pPr>
              <w:pStyle w:val="TableTextLeft"/>
            </w:pPr>
            <w:r>
              <w:rPr>
                <w:b w:val="0"/>
              </w:rPr>
              <w:t>7.1</w:t>
            </w:r>
          </w:p>
        </w:tc>
        <w:tc>
          <w:tcPr>
            <w:tcW w:type="dxa" w:w="2400"/>
          </w:tcPr>
          <w:p>
            <w:pPr>
              <w:pStyle w:val="TableTextLeft"/>
            </w:pPr>
            <w:r>
              <w:rPr>
                <w:b w:val="0"/>
              </w:rPr>
              <w:t>HR Core Data</w:t>
            </w:r>
          </w:p>
        </w:tc>
        <w:tc>
          <w:tcPr>
            <w:tcW w:type="dxa" w:w="1500"/>
          </w:tcPr>
          <w:p>
            <w:pPr>
              <w:pStyle w:val="TableTextLeft"/>
            </w:pPr>
            <w:r>
              <w:rPr>
                <w:b w:val="0"/>
              </w:rPr>
              <w:t>hrcore</w:t>
            </w:r>
          </w:p>
        </w:tc>
        <w:tc>
          <w:tcPr>
            <w:tcW w:type="dxa" w:w="3200"/>
          </w:tcPr>
          <w:p>
            <w:pPr>
              <w:pStyle w:val="TableTextLeft"/>
            </w:pPr>
            <w:r>
              <w:rPr>
                <w:b w:val="0"/>
              </w:rPr>
              <w:t>PartyName: NEST; Size: 10</w:t>
            </w:r>
          </w:p>
        </w:tc>
        <w:tc>
          <w:tcPr>
            <w:tcW w:type="dxa" w:w="2790"/>
          </w:tcPr>
          <w:p>
            <w:pPr>
              <w:pStyle w:val="TableTextLeft"/>
            </w:pPr>
            <w:r>
              <w:rPr>
                <w:b w:val="0"/>
              </w:rPr>
              <w:t>Leave RefNo blank for top 10 (paginated).</w:t>
            </w:r>
          </w:p>
        </w:tc>
      </w:tr>
      <w:tr>
        <w:tc>
          <w:tcPr>
            <w:tcW w:type="dxa" w:w="650"/>
          </w:tcPr>
          <w:p>
            <w:pPr>
              <w:pStyle w:val="TableTextLeft"/>
            </w:pPr>
            <w:r>
              <w:rPr>
                <w:b w:val="0"/>
              </w:rPr>
              <w:t>7.3</w:t>
            </w:r>
          </w:p>
        </w:tc>
        <w:tc>
          <w:tcPr>
            <w:tcW w:type="dxa" w:w="2400"/>
          </w:tcPr>
          <w:p>
            <w:pPr>
              <w:pStyle w:val="TableTextLeft"/>
            </w:pPr>
            <w:r>
              <w:rPr>
                <w:b w:val="0"/>
              </w:rPr>
              <w:t>Position Data Service</w:t>
            </w:r>
          </w:p>
        </w:tc>
        <w:tc>
          <w:tcPr>
            <w:tcW w:type="dxa" w:w="1500"/>
          </w:tcPr>
          <w:p>
            <w:pPr>
              <w:pStyle w:val="TableTextLeft"/>
            </w:pPr>
            <w:r>
              <w:rPr>
                <w:b w:val="0"/>
              </w:rPr>
              <w:t>position</w:t>
            </w:r>
          </w:p>
        </w:tc>
        <w:tc>
          <w:tcPr>
            <w:tcW w:type="dxa" w:w="3200"/>
          </w:tcPr>
          <w:p>
            <w:pPr>
              <w:pStyle w:val="TableTextLeft"/>
            </w:pPr>
            <w:r>
              <w:rPr>
                <w:b w:val="0"/>
              </w:rPr>
              <w:t>PartyName: NEST; Size: 10</w:t>
            </w:r>
          </w:p>
        </w:tc>
        <w:tc>
          <w:tcPr>
            <w:tcW w:type="dxa" w:w="2790"/>
          </w:tcPr>
          <w:p>
            <w:pPr>
              <w:pStyle w:val="TableTextLeft"/>
            </w:pPr>
            <w:r>
              <w:rPr>
                <w:b w:val="0"/>
              </w:rPr>
              <w:t>RefNo = Position Reference Number for a specific record.</w:t>
            </w:r>
          </w:p>
        </w:tc>
      </w:tr>
      <w:tr>
        <w:tc>
          <w:tcPr>
            <w:tcW w:type="dxa" w:w="650"/>
          </w:tcPr>
          <w:p>
            <w:pPr>
              <w:pStyle w:val="TableTextLeft"/>
            </w:pPr>
            <w:r>
              <w:rPr>
                <w:b w:val="0"/>
              </w:rPr>
              <w:t>7.6</w:t>
            </w:r>
          </w:p>
        </w:tc>
        <w:tc>
          <w:tcPr>
            <w:tcW w:type="dxa" w:w="2400"/>
          </w:tcPr>
          <w:p>
            <w:pPr>
              <w:pStyle w:val="TableTextLeft"/>
            </w:pPr>
            <w:r>
              <w:rPr>
                <w:b w:val="0"/>
              </w:rPr>
              <w:t>Daily Pattern Service</w:t>
            </w:r>
          </w:p>
        </w:tc>
        <w:tc>
          <w:tcPr>
            <w:tcW w:type="dxa" w:w="1500"/>
          </w:tcPr>
          <w:p>
            <w:pPr>
              <w:pStyle w:val="TableTextLeft"/>
            </w:pPr>
            <w:r>
              <w:rPr>
                <w:b w:val="0"/>
              </w:rPr>
              <w:t>daypat</w:t>
            </w:r>
          </w:p>
        </w:tc>
        <w:tc>
          <w:tcPr>
            <w:tcW w:type="dxa" w:w="3200"/>
          </w:tcPr>
          <w:p>
            <w:pPr>
              <w:pStyle w:val="TableTextLeft"/>
            </w:pPr>
            <w:r>
              <w:rPr>
                <w:b w:val="0"/>
              </w:rPr>
              <w:t>PartyName: NEST; RefNo: &lt;Person Ref/NI No.&gt;</w:t>
            </w:r>
          </w:p>
        </w:tc>
        <w:tc>
          <w:tcPr>
            <w:tcW w:type="dxa" w:w="2790"/>
          </w:tcPr>
          <w:p>
            <w:pPr>
              <w:pStyle w:val="TableTextLeft"/>
            </w:pPr>
            <w:r>
              <w:rPr>
                <w:b w:val="0"/>
              </w:rPr>
              <w:t>No pagination – specific RefNo required.</w:t>
            </w:r>
          </w:p>
        </w:tc>
      </w:tr>
      <w:tr>
        <w:tc>
          <w:tcPr>
            <w:tcW w:type="dxa" w:w="650"/>
          </w:tcPr>
          <w:p>
            <w:pPr>
              <w:pStyle w:val="TableTextLeft"/>
            </w:pPr>
            <w:r>
              <w:rPr>
                <w:b w:val="0"/>
              </w:rPr>
              <w:t>7.7</w:t>
            </w:r>
          </w:p>
        </w:tc>
        <w:tc>
          <w:tcPr>
            <w:tcW w:type="dxa" w:w="2400"/>
          </w:tcPr>
          <w:p>
            <w:pPr>
              <w:pStyle w:val="TableTextLeft"/>
            </w:pPr>
            <w:r>
              <w:rPr>
                <w:b w:val="0"/>
              </w:rPr>
              <w:t>HR Core Data &amp; Structure</w:t>
            </w:r>
          </w:p>
        </w:tc>
        <w:tc>
          <w:tcPr>
            <w:tcW w:type="dxa" w:w="1500"/>
          </w:tcPr>
          <w:p>
            <w:pPr>
              <w:pStyle w:val="TableTextLeft"/>
            </w:pPr>
            <w:r>
              <w:rPr>
                <w:b w:val="0"/>
              </w:rPr>
              <w:t>hrcorestruct</w:t>
            </w:r>
          </w:p>
        </w:tc>
        <w:tc>
          <w:tcPr>
            <w:tcW w:type="dxa" w:w="3200"/>
          </w:tcPr>
          <w:p>
            <w:pPr>
              <w:pStyle w:val="TableTextLeft"/>
            </w:pPr>
            <w:r>
              <w:rPr>
                <w:b w:val="0"/>
              </w:rPr>
              <w:t>PartyName: NEST; Size: 10</w:t>
            </w:r>
          </w:p>
        </w:tc>
        <w:tc>
          <w:tcPr>
            <w:tcW w:type="dxa" w:w="2790"/>
          </w:tcPr>
          <w:p>
            <w:pPr>
              <w:pStyle w:val="TableTextLeft"/>
            </w:pPr>
            <w:r>
              <w:rPr>
                <w:b w:val="0"/>
              </w:rPr>
              <w:t>Leave RefNo blank for top 10 (paginated).</w:t>
            </w:r>
          </w:p>
        </w:tc>
      </w:tr>
      <w:tr>
        <w:tc>
          <w:tcPr>
            <w:tcW w:type="dxa" w:w="650"/>
          </w:tcPr>
          <w:p>
            <w:pPr>
              <w:pStyle w:val="TableTextLeft"/>
            </w:pPr>
            <w:r>
              <w:rPr>
                <w:b w:val="0"/>
              </w:rPr>
              <w:t>7.9</w:t>
            </w:r>
          </w:p>
        </w:tc>
        <w:tc>
          <w:tcPr>
            <w:tcW w:type="dxa" w:w="2400"/>
          </w:tcPr>
          <w:p>
            <w:pPr>
              <w:pStyle w:val="TableTextLeft"/>
            </w:pPr>
            <w:r>
              <w:rPr>
                <w:b w:val="0"/>
              </w:rPr>
              <w:t>People Structure</w:t>
            </w:r>
          </w:p>
        </w:tc>
        <w:tc>
          <w:tcPr>
            <w:tcW w:type="dxa" w:w="1500"/>
          </w:tcPr>
          <w:p>
            <w:pPr>
              <w:pStyle w:val="TableTextLeft"/>
            </w:pPr>
            <w:r>
              <w:rPr>
                <w:b w:val="0"/>
              </w:rPr>
              <w:t>perstruct</w:t>
            </w:r>
          </w:p>
        </w:tc>
        <w:tc>
          <w:tcPr>
            <w:tcW w:type="dxa" w:w="3200"/>
          </w:tcPr>
          <w:p>
            <w:pPr>
              <w:pStyle w:val="TableTextLeft"/>
            </w:pPr>
            <w:r>
              <w:rPr>
                <w:b w:val="0"/>
              </w:rPr>
              <w:t>PartyName: NEST; RefNo: &lt;Person Ref/NI No.&gt;</w:t>
            </w:r>
          </w:p>
        </w:tc>
        <w:tc>
          <w:tcPr>
            <w:tcW w:type="dxa" w:w="2790"/>
          </w:tcPr>
          <w:p>
            <w:pPr>
              <w:pStyle w:val="TableTextLeft"/>
            </w:pPr>
            <w:r>
              <w:rPr>
                <w:b w:val="0"/>
              </w:rPr>
              <w:t>No pagination – specific RefNo required.</w:t>
            </w:r>
          </w:p>
        </w:tc>
      </w:tr>
      <w:tr>
        <w:tc>
          <w:tcPr>
            <w:tcW w:type="dxa" w:w="650"/>
          </w:tcPr>
          <w:p>
            <w:pPr>
              <w:pStyle w:val="TableTextLeft"/>
            </w:pPr>
            <w:r>
              <w:rPr>
                <w:b w:val="0"/>
              </w:rPr>
              <w:t>7.11</w:t>
            </w:r>
          </w:p>
        </w:tc>
        <w:tc>
          <w:tcPr>
            <w:tcW w:type="dxa" w:w="2400"/>
          </w:tcPr>
          <w:p>
            <w:pPr>
              <w:pStyle w:val="TableTextLeft"/>
            </w:pPr>
            <w:r>
              <w:rPr>
                <w:b w:val="0"/>
              </w:rPr>
              <w:t>Elite3E (DAC3E)</w:t>
            </w:r>
          </w:p>
        </w:tc>
        <w:tc>
          <w:tcPr>
            <w:tcW w:type="dxa" w:w="1500"/>
          </w:tcPr>
          <w:p>
            <w:pPr>
              <w:pStyle w:val="TableTextLeft"/>
            </w:pPr>
            <w:r>
              <w:rPr>
                <w:b w:val="0"/>
              </w:rPr>
              <w:t>dac3e</w:t>
            </w:r>
          </w:p>
        </w:tc>
        <w:tc>
          <w:tcPr>
            <w:tcW w:type="dxa" w:w="3200"/>
          </w:tcPr>
          <w:p>
            <w:pPr>
              <w:pStyle w:val="TableTextLeft"/>
            </w:pPr>
            <w:r>
              <w:rPr>
                <w:b w:val="0"/>
              </w:rPr>
              <w:t>PartyName: NEST; RefNo: &lt;Person Ref/NI No.&gt;</w:t>
            </w:r>
          </w:p>
        </w:tc>
        <w:tc>
          <w:tcPr>
            <w:tcW w:type="dxa" w:w="2790"/>
          </w:tcPr>
          <w:p>
            <w:pPr>
              <w:pStyle w:val="TableTextLeft"/>
            </w:pPr>
            <w:r>
              <w:rPr>
                <w:b w:val="0"/>
              </w:rPr>
              <w:t>No pagination – specific RefNo required.</w:t>
            </w:r>
          </w:p>
        </w:tc>
      </w:tr>
      <w:tr>
        <w:tc>
          <w:tcPr>
            <w:tcW w:type="dxa" w:w="650"/>
          </w:tcPr>
          <w:p>
            <w:pPr>
              <w:pStyle w:val="TableTextLeft"/>
            </w:pPr>
            <w:r>
              <w:rPr>
                <w:b w:val="0"/>
              </w:rPr>
              <w:t>7.14</w:t>
            </w:r>
          </w:p>
        </w:tc>
        <w:tc>
          <w:tcPr>
            <w:tcW w:type="dxa" w:w="2400"/>
          </w:tcPr>
          <w:p>
            <w:pPr>
              <w:pStyle w:val="TableTextLeft"/>
            </w:pPr>
            <w:r>
              <w:rPr>
                <w:b w:val="0"/>
              </w:rPr>
              <w:t>Employee Record</w:t>
            </w:r>
          </w:p>
        </w:tc>
        <w:tc>
          <w:tcPr>
            <w:tcW w:type="dxa" w:w="1500"/>
          </w:tcPr>
          <w:p>
            <w:pPr>
              <w:pStyle w:val="TableTextLeft"/>
            </w:pPr>
            <w:r>
              <w:rPr>
                <w:b w:val="0"/>
              </w:rPr>
              <w:t>employee</w:t>
            </w:r>
          </w:p>
        </w:tc>
        <w:tc>
          <w:tcPr>
            <w:tcW w:type="dxa" w:w="3200"/>
          </w:tcPr>
          <w:p>
            <w:pPr>
              <w:pStyle w:val="TableTextLeft"/>
            </w:pPr>
            <w:r>
              <w:rPr>
                <w:b w:val="0"/>
              </w:rPr>
              <w:t>PartyName: NEST; Size: 10</w:t>
            </w:r>
          </w:p>
        </w:tc>
        <w:tc>
          <w:tcPr>
            <w:tcW w:type="dxa" w:w="2790"/>
          </w:tcPr>
          <w:p>
            <w:pPr>
              <w:pStyle w:val="TableTextLeft"/>
            </w:pPr>
            <w:r>
              <w:rPr>
                <w:b w:val="0"/>
              </w:rPr>
              <w:t>Leave RefNo blank for top 10 (paginated).</w:t>
            </w:r>
          </w:p>
        </w:tc>
      </w:tr>
      <w:tr>
        <w:tc>
          <w:tcPr>
            <w:tcW w:type="dxa" w:w="650"/>
          </w:tcPr>
          <w:p>
            <w:pPr>
              <w:pStyle w:val="TableTextLeft"/>
            </w:pPr>
            <w:r>
              <w:rPr>
                <w:b w:val="0"/>
              </w:rPr>
              <w:t>7.15</w:t>
            </w:r>
          </w:p>
        </w:tc>
        <w:tc>
          <w:tcPr>
            <w:tcW w:type="dxa" w:w="2400"/>
          </w:tcPr>
          <w:p>
            <w:pPr>
              <w:pStyle w:val="TableTextLeft"/>
            </w:pPr>
            <w:r>
              <w:rPr>
                <w:b w:val="0"/>
              </w:rPr>
              <w:t>Employee Record (Date Effective)</w:t>
            </w:r>
          </w:p>
        </w:tc>
        <w:tc>
          <w:tcPr>
            <w:tcW w:type="dxa" w:w="1500"/>
          </w:tcPr>
          <w:p>
            <w:pPr>
              <w:pStyle w:val="TableTextLeft"/>
            </w:pPr>
            <w:r>
              <w:rPr>
                <w:b w:val="0"/>
              </w:rPr>
              <w:t>employee</w:t>
            </w:r>
          </w:p>
        </w:tc>
        <w:tc>
          <w:tcPr>
            <w:tcW w:type="dxa" w:w="3200"/>
          </w:tcPr>
          <w:p>
            <w:pPr>
              <w:pStyle w:val="TableTextLeft"/>
            </w:pPr>
            <w:r>
              <w:rPr>
                <w:b w:val="0"/>
              </w:rPr>
              <w:t>PartyName: NEST; RefNo: &lt;Person Ref/NI No.&gt;; EffectiveDate: e.g. 2025-05-20</w:t>
            </w:r>
          </w:p>
        </w:tc>
        <w:tc>
          <w:tcPr>
            <w:tcW w:type="dxa" w:w="2790"/>
          </w:tcPr>
          <w:p>
            <w:pPr>
              <w:pStyle w:val="TableTextLeft"/>
            </w:pPr>
            <w:r>
              <w:rPr>
                <w:b w:val="0"/>
              </w:rPr>
              <w:t>Same operation as 7.14; EffectiveDate header makes it date-effective.</w:t>
            </w:r>
          </w:p>
        </w:tc>
      </w:tr>
    </w:tbl>
    <w:p>
      <w:pPr/>
      <w:r>
        <w:rPr>
          <w:b w:val="0"/>
          <w:i w:val="0"/>
        </w:rPr>
        <w:t>Method for all services above is GET. See Appendix A for the full reference covering all 20 services, including those out of scope.</w:t>
      </w:r>
    </w:p>
    <w:p>
      <w:pPr>
        <w:pStyle w:val="Heading1"/>
      </w:pPr>
      <w:r>
        <w:t>Stakeholder Engagement</w:t>
      </w:r>
    </w:p>
    <w:p>
      <w:pPr>
        <w:pStyle w:val="Heading2"/>
      </w:pPr>
      <w:r>
        <w:t>Internal Q&amp;A – Questions Raised and Responses</w:t>
      </w:r>
    </w:p>
    <w:p>
      <w:pPr/>
      <w:r>
        <w:rPr>
          <w:b w:val="0"/>
          <w:i w:val="0"/>
        </w:rPr>
        <w:t>During testing, a number of questions were raised internally about the data returned by iTrent. These were worked through with the business and are recorded below.</w:t>
      </w:r>
    </w:p>
    <w:tbl>
      <w:tblPr>
        <w:tblStyle w:val="NestTable1"/>
        <w:tblW w:type="auto" w:w="0"/>
        <w:tblLayout w:type="fixed"/>
        <w:tblLook w:val="06A0" w:firstRow="1" w:lastRow="0" w:firstColumn="1" w:lastColumn="0" w:noHBand="1" w:noVBand="1"/>
      </w:tblPr>
      <w:tblGrid>
        <w:gridCol w:w="5270"/>
        <w:gridCol w:w="5270"/>
      </w:tblGrid>
      <w:tr>
        <w:trPr>
          <w:tblHeader/>
        </w:trPr>
        <w:tc>
          <w:tcPr>
            <w:tcW w:type="dxa" w:w="5270"/>
          </w:tcPr>
          <w:p>
            <w:pPr>
              <w:pStyle w:val="TableTextLeft"/>
            </w:pPr>
            <w:r>
              <w:rPr>
                <w:b/>
              </w:rPr>
              <w:t>Question Raised</w:t>
            </w:r>
          </w:p>
        </w:tc>
        <w:tc>
          <w:tcPr>
            <w:tcW w:type="dxa" w:w="5270"/>
          </w:tcPr>
          <w:p>
            <w:pPr>
              <w:pStyle w:val="TableTextLeft"/>
            </w:pPr>
            <w:r>
              <w:rPr>
                <w:b/>
              </w:rPr>
              <w:t>Response / Decision</w:t>
            </w:r>
          </w:p>
        </w:tc>
      </w:tr>
      <w:tr>
        <w:tc>
          <w:tcPr>
            <w:tcW w:type="dxa" w:w="5270"/>
          </w:tcPr>
          <w:p>
            <w:pPr>
              <w:pStyle w:val="TableTextLeft"/>
            </w:pPr>
            <w:r>
              <w:rPr>
                <w:b w:val="0"/>
              </w:rPr>
              <w:t>Can we get a confirmed list of which of the 20 iTrent services Nest is licensed for? (12 services returned an identical generic 404, and the vendor guide states this functionality is licence-gated.)</w:t>
            </w:r>
          </w:p>
        </w:tc>
        <w:tc>
          <w:tcPr>
            <w:tcW w:type="dxa" w:w="5270"/>
          </w:tcPr>
          <w:p>
            <w:pPr>
              <w:pStyle w:val="TableTextLeft"/>
            </w:pPr>
            <w:r>
              <w:rPr>
                <w:b w:val="0"/>
              </w:rPr>
              <w:t>Cross-check the internal test results (Table_Inspection.xlsx) before escalating all 12 to MHR, to rule out anything not licensed. This has informed the scope status in Section 2.</w:t>
            </w:r>
          </w:p>
        </w:tc>
      </w:tr>
      <w:tr>
        <w:tc>
          <w:tcPr>
            <w:tcW w:type="dxa" w:w="5270"/>
          </w:tcPr>
          <w:p>
            <w:pPr>
              <w:pStyle w:val="TableTextLeft"/>
            </w:pPr>
            <w:r>
              <w:rPr>
                <w:b w:val="0"/>
              </w:rPr>
              <w:t>A few sample records are missing NI numbers — are these vendors or staff who don’t work under Nest directly?</w:t>
            </w:r>
          </w:p>
        </w:tc>
        <w:tc>
          <w:tcPr>
            <w:tcW w:type="dxa" w:w="5270"/>
          </w:tcPr>
          <w:p>
            <w:pPr>
              <w:pStyle w:val="TableTextLeft"/>
            </w:pPr>
            <w:r>
              <w:rPr>
                <w:b w:val="0"/>
              </w:rPr>
              <w:t>Confirmed – all Nest employees have an NI number; externals such as consultants and interims do not.</w:t>
            </w:r>
          </w:p>
        </w:tc>
      </w:tr>
      <w:tr>
        <w:tc>
          <w:tcPr>
            <w:tcW w:type="dxa" w:w="5270"/>
          </w:tcPr>
          <w:p>
            <w:pPr>
              <w:pStyle w:val="TableTextLeft"/>
            </w:pPr>
            <w:r>
              <w:rPr>
                <w:b w:val="0"/>
              </w:rPr>
              <w:t>Some 7.1 records stop at the ‘Contact’ field, while others continue to a full Emergency Contact and Position block — is this tied to employment status?</w:t>
            </w:r>
          </w:p>
        </w:tc>
        <w:tc>
          <w:tcPr>
            <w:tcW w:type="dxa" w:w="5270"/>
          </w:tcPr>
          <w:p>
            <w:pPr>
              <w:pStyle w:val="TableTextLeft"/>
            </w:pPr>
            <w:r>
              <w:rPr>
                <w:b w:val="0"/>
              </w:rPr>
              <w:t>Confirmed – the full block is present for Nest employees but not for externals.</w:t>
            </w:r>
          </w:p>
        </w:tc>
      </w:tr>
      <w:tr>
        <w:tc>
          <w:tcPr>
            <w:tcW w:type="dxa" w:w="5270"/>
          </w:tcPr>
          <w:p>
            <w:pPr>
              <w:pStyle w:val="TableTextLeft"/>
            </w:pPr>
            <w:r>
              <w:rPr>
                <w:b w:val="0"/>
              </w:rPr>
              <w:t>Do we have the ability to trigger a genuine real-time WDP event to properly test 7.15, rather than a GET request?</w:t>
            </w:r>
          </w:p>
        </w:tc>
        <w:tc>
          <w:tcPr>
            <w:tcW w:type="dxa" w:w="5270"/>
          </w:tcPr>
          <w:p>
            <w:pPr>
              <w:pStyle w:val="TableTextLeft"/>
            </w:pPr>
            <w:r>
              <w:rPr>
                <w:b w:val="0"/>
              </w:rPr>
              <w:t>Not required – no need to use this method for Phase 1.</w:t>
            </w:r>
          </w:p>
        </w:tc>
      </w:tr>
      <w:tr>
        <w:tc>
          <w:tcPr>
            <w:tcW w:type="dxa" w:w="5270"/>
          </w:tcPr>
          <w:p>
            <w:pPr>
              <w:pStyle w:val="TableTextLeft"/>
            </w:pPr>
            <w:r>
              <w:rPr>
                <w:b w:val="0"/>
              </w:rPr>
              <w:t>For 7.14 and 7.15, are the missing optional blocks (next of kin, other addresses, checks, skills, qualifications, T&amp;Cs, holidays) genuinely not populated, or should employees known to have this data be used for retesting?</w:t>
            </w:r>
          </w:p>
        </w:tc>
        <w:tc>
          <w:tcPr>
            <w:tcW w:type="dxa" w:w="5270"/>
          </w:tcPr>
          <w:p>
            <w:pPr>
              <w:pStyle w:val="TableTextLeft"/>
            </w:pPr>
            <w:r>
              <w:rPr>
                <w:b w:val="0"/>
              </w:rPr>
              <w:t>Follow the structure returned by the API as-is.</w:t>
            </w:r>
          </w:p>
        </w:tc>
      </w:tr>
      <w:tr>
        <w:tc>
          <w:tcPr>
            <w:tcW w:type="dxa" w:w="5270"/>
          </w:tcPr>
          <w:p>
            <w:pPr>
              <w:pStyle w:val="TableTextLeft"/>
            </w:pPr>
            <w:r>
              <w:rPr>
                <w:b w:val="0"/>
              </w:rPr>
              <w:t>Field naming is inconsistent — PascalCase in some services (7.1, 7.3, 7.6, 7.7, 7.9, 7.11), all-lowercase in others (7.14, 7.15). Does this need to be standardised?</w:t>
            </w:r>
          </w:p>
        </w:tc>
        <w:tc>
          <w:tcPr>
            <w:tcW w:type="dxa" w:w="5270"/>
          </w:tcPr>
          <w:p>
            <w:pPr>
              <w:pStyle w:val="TableTextLeft"/>
            </w:pPr>
            <w:r>
              <w:rPr>
                <w:b w:val="0"/>
              </w:rPr>
              <w:t>Casing cannot be changed on the Nest side; confirmed by MHR as fixed product behaviour (see Section 4.2). To be normalised in the NDP ingestion pipeline.</w:t>
            </w:r>
          </w:p>
        </w:tc>
      </w:tr>
      <w:tr>
        <w:tc>
          <w:tcPr>
            <w:tcW w:type="dxa" w:w="5270"/>
          </w:tcPr>
          <w:p>
            <w:pPr>
              <w:pStyle w:val="TableTextLeft"/>
            </w:pPr>
            <w:r>
              <w:rPr>
                <w:b w:val="0"/>
              </w:rPr>
              <w:t>Can the iTrent configuration owner confirm whether the optional grouping fields (Structure Group, Unit Group, Job Family) are set up and in use for Nest? These returned blank in every record tested.</w:t>
            </w:r>
          </w:p>
        </w:tc>
        <w:tc>
          <w:tcPr>
            <w:tcW w:type="dxa" w:w="5270"/>
          </w:tcPr>
          <w:p>
            <w:pPr>
              <w:pStyle w:val="TableTextLeft"/>
            </w:pPr>
            <w:r>
              <w:rPr>
                <w:b w:val="0"/>
              </w:rPr>
              <w:t>Awaiting confirmation from the iTrent configuration owner.</w:t>
            </w:r>
          </w:p>
        </w:tc>
      </w:tr>
      <w:tr>
        <w:tc>
          <w:tcPr>
            <w:tcW w:type="dxa" w:w="5270"/>
          </w:tcPr>
          <w:p>
            <w:pPr>
              <w:pStyle w:val="TableTextLeft"/>
            </w:pPr>
            <w:r>
              <w:rPr>
                <w:b w:val="0"/>
              </w:rPr>
              <w:t>Is the address setup configured differently for 7.15 (fully populated) versus 7.1, 7.7 and 7.14 (address line 1 and 3 blank in every record)?</w:t>
            </w:r>
          </w:p>
        </w:tc>
        <w:tc>
          <w:tcPr>
            <w:tcW w:type="dxa" w:w="5270"/>
          </w:tcPr>
          <w:p>
            <w:pPr>
              <w:pStyle w:val="TableTextLeft"/>
            </w:pPr>
            <w:r>
              <w:rPr>
                <w:b w:val="0"/>
              </w:rPr>
              <w:t>Awaiting confirmation — possible genuine configuration difference.</w:t>
            </w:r>
          </w:p>
        </w:tc>
      </w:tr>
      <w:tr>
        <w:tc>
          <w:tcPr>
            <w:tcW w:type="dxa" w:w="5270"/>
          </w:tcPr>
          <w:p>
            <w:pPr>
              <w:pStyle w:val="TableTextLeft"/>
            </w:pPr>
            <w:r>
              <w:rPr>
                <w:b w:val="0"/>
              </w:rPr>
              <w:t>Some fields return as a list (e.g. Contact Details on 7.7/7.14/7.15, Cost Centre Split on 7.14/7.15, Unit on 7.14, Parent Department on 7.11). Should every entry be captured, not just the first?</w:t>
            </w:r>
          </w:p>
        </w:tc>
        <w:tc>
          <w:tcPr>
            <w:tcW w:type="dxa" w:w="5270"/>
          </w:tcPr>
          <w:p>
            <w:pPr>
              <w:pStyle w:val="TableTextLeft"/>
            </w:pPr>
            <w:r>
              <w:rPr>
                <w:b w:val="0"/>
              </w:rPr>
              <w:t>Parent Department confirmed as needed. Decision on how to handle the Contact Details list is outstanding and owned by Elizabeth Whittaker.</w:t>
            </w:r>
          </w:p>
        </w:tc>
      </w:tr>
    </w:tbl>
    <w:p>
      <w:pPr>
        <w:pStyle w:val="Heading2"/>
      </w:pPr>
      <w:r>
        <w:t>Vendor (MHR) Engagement Summary</w:t>
      </w:r>
    </w:p>
    <w:p>
      <w:pPr/>
      <w:r>
        <w:rPr>
          <w:b w:val="0"/>
          <w:i w:val="0"/>
        </w:rPr>
        <w:t>iTrent is supplied by MHR, and a number of open questions have been raised directly with MHR via Aksa Haq-Chaudhery (People &amp; Systems Operations Manager), who liaises with the vendor on Nest’s behalf. Vansh Verma (Data Engineer) has led the technical testing, with Elizabeth Whittaker and Thaneya Jeyarajah also involved.</w:t>
      </w:r>
    </w:p>
    <w:p>
      <w:pPr/>
      <w:r>
        <w:rPr>
          <w:b w:val="0"/>
          <w:i w:val="0"/>
        </w:rPr>
        <w:t>Questions were first raised with MHR on 28 July 2026. MHR’s response, received on 26 August 2026, confirmed the following:</w:t>
      </w:r>
    </w:p>
    <w:p>
      <w:pPr>
        <w:pStyle w:val="SymbolBullet1"/>
      </w:pPr>
      <w:r>
        <w:t>The mixed field-naming convention (PascalCase vs. lowercase) is inherent product behaviour and cannot be changed via configuration.</w:t>
      </w:r>
    </w:p>
    <w:p>
      <w:pPr>
        <w:pStyle w:val="SymbolBullet1"/>
      </w:pPr>
      <w:r>
        <w:t>7.4 and 7.20 “do work” according to MHR — a Page Not Found response is usually caused by a malformed URL or a missing/incorrect header, not a service outage.</w:t>
      </w:r>
    </w:p>
    <w:p>
      <w:pPr>
        <w:pStyle w:val="SymbolBullet1"/>
      </w:pPr>
      <w:r>
        <w:t>For 7.19 (User Defined Fields), the Category ID (not the category name) must be passed in the iTrent-UDF-Category header. MHR supplied a working example confirming the correct header format.</w:t>
      </w:r>
    </w:p>
    <w:p>
      <w:pPr>
        <w:pStyle w:val="SymbolBullet1"/>
      </w:pPr>
      <w:r>
        <w:t>Type 2 services are confirmed as single-record-only — there is no way to page through all employees in one call.</w:t>
      </w:r>
    </w:p>
    <w:p>
      <w:pPr/>
      <w:r>
        <w:rPr>
          <w:b w:val="0"/>
          <w:i w:val="0"/>
        </w:rPr>
        <w:t>MHR also confirmed the Category ID values Nest should use for UDF testing: HOOCC0001, LD00001, RLE0001 and TTG0001.</w:t>
      </w:r>
    </w:p>
    <w:p>
      <w:pPr/>
      <w:r>
        <w:rPr>
          <w:b w:val="0"/>
          <w:i w:val="0"/>
        </w:rPr>
        <w:t>Despite MHR confirming that Nest’s headers and URL for 7.4 and 7.20 “look fine,” retesting on 9 September 2026 using the same configuration still returned no data. A call with MHR was requested on that date to walk through the exact requests being made. As of the most recent update (14 September 2026), that call has been requested and is awaiting confirmation from MHR — this remains an open item at the time of this document (see Section 5).</w:t>
      </w:r>
    </w:p>
    <w:p>
      <w:pPr>
        <w:pStyle w:val="Heading1"/>
      </w:pPr>
      <w:r>
        <w:t>Open Items, Risks &amp; Dependencies</w:t>
      </w:r>
    </w:p>
    <w:tbl>
      <w:tblPr>
        <w:tblStyle w:val="NestTable1"/>
        <w:tblW w:type="auto" w:w="0"/>
        <w:tblLayout w:type="fixed"/>
        <w:tblLook w:val="06A0" w:firstRow="1" w:lastRow="0" w:firstColumn="1" w:lastColumn="0" w:noHBand="1" w:noVBand="1"/>
      </w:tblPr>
      <w:tblGrid>
        <w:gridCol w:w="500"/>
        <w:gridCol w:w="4600"/>
        <w:gridCol w:w="2440"/>
        <w:gridCol w:w="3000"/>
      </w:tblGrid>
      <w:tr>
        <w:trPr>
          <w:tblHeader/>
        </w:trPr>
        <w:tc>
          <w:tcPr>
            <w:tcW w:type="dxa" w:w="500"/>
          </w:tcPr>
          <w:p>
            <w:pPr>
              <w:pStyle w:val="TableTextLeft"/>
            </w:pPr>
            <w:r>
              <w:rPr>
                <w:b/>
              </w:rPr>
              <w:t>#</w:t>
            </w:r>
          </w:p>
        </w:tc>
        <w:tc>
          <w:tcPr>
            <w:tcW w:type="dxa" w:w="4600"/>
          </w:tcPr>
          <w:p>
            <w:pPr>
              <w:pStyle w:val="TableTextLeft"/>
            </w:pPr>
            <w:r>
              <w:rPr>
                <w:b/>
              </w:rPr>
              <w:t>Item</w:t>
            </w:r>
          </w:p>
        </w:tc>
        <w:tc>
          <w:tcPr>
            <w:tcW w:type="dxa" w:w="2440"/>
          </w:tcPr>
          <w:p>
            <w:pPr>
              <w:pStyle w:val="TableTextLeft"/>
            </w:pPr>
            <w:r>
              <w:rPr>
                <w:b/>
              </w:rPr>
              <w:t>Owner</w:t>
            </w:r>
          </w:p>
        </w:tc>
        <w:tc>
          <w:tcPr>
            <w:tcW w:type="dxa" w:w="3000"/>
          </w:tcPr>
          <w:p>
            <w:pPr>
              <w:pStyle w:val="TableTextLeft"/>
            </w:pPr>
            <w:r>
              <w:rPr>
                <w:b/>
              </w:rPr>
              <w:t>Status</w:t>
            </w:r>
          </w:p>
        </w:tc>
      </w:tr>
      <w:tr>
        <w:tc>
          <w:tcPr>
            <w:tcW w:type="dxa" w:w="500"/>
          </w:tcPr>
          <w:p>
            <w:pPr>
              <w:pStyle w:val="TableTextLeft"/>
            </w:pPr>
            <w:r>
              <w:rPr>
                <w:b w:val="0"/>
              </w:rPr>
              <w:t>1</w:t>
            </w:r>
          </w:p>
        </w:tc>
        <w:tc>
          <w:tcPr>
            <w:tcW w:type="dxa" w:w="4600"/>
          </w:tcPr>
          <w:p>
            <w:pPr>
              <w:pStyle w:val="TableTextLeft"/>
            </w:pPr>
            <w:r>
              <w:rPr>
                <w:b w:val="0"/>
              </w:rPr>
              <w:t>7.4 (Absence) and 7.20 (Grade &amp; Payscale) return “Page Not Found” despite MHR confirming headers/URL are correct.</w:t>
            </w:r>
          </w:p>
        </w:tc>
        <w:tc>
          <w:tcPr>
            <w:tcW w:type="dxa" w:w="2440"/>
          </w:tcPr>
          <w:p>
            <w:pPr>
              <w:pStyle w:val="TableTextLeft"/>
            </w:pPr>
            <w:r>
              <w:rPr>
                <w:b w:val="0"/>
              </w:rPr>
              <w:t>Vansh Verma / MHR</w:t>
            </w:r>
          </w:p>
        </w:tc>
        <w:tc>
          <w:tcPr>
            <w:tcW w:type="dxa" w:w="3000"/>
          </w:tcPr>
          <w:p>
            <w:pPr>
              <w:pStyle w:val="TableTextLeft"/>
            </w:pPr>
            <w:r>
              <w:rPr>
                <w:b w:val="0"/>
              </w:rPr>
              <w:t>Open – call requested with MHR, pending scheduling (as of 14 Sep 2026).</w:t>
            </w:r>
          </w:p>
        </w:tc>
      </w:tr>
      <w:tr>
        <w:tc>
          <w:tcPr>
            <w:tcW w:type="dxa" w:w="500"/>
          </w:tcPr>
          <w:p>
            <w:pPr>
              <w:pStyle w:val="TableTextLeft"/>
            </w:pPr>
            <w:r>
              <w:rPr>
                <w:b w:val="0"/>
              </w:rPr>
              <w:t>2</w:t>
            </w:r>
          </w:p>
        </w:tc>
        <w:tc>
          <w:tcPr>
            <w:tcW w:type="dxa" w:w="4600"/>
          </w:tcPr>
          <w:p>
            <w:pPr>
              <w:pStyle w:val="TableTextLeft"/>
            </w:pPr>
            <w:r>
              <w:rPr>
                <w:b w:val="0"/>
              </w:rPr>
              <w:t>7.19 (User Defined Fields) returns data in a structure that differs from the vendor documentation.</w:t>
            </w:r>
          </w:p>
        </w:tc>
        <w:tc>
          <w:tcPr>
            <w:tcW w:type="dxa" w:w="2440"/>
          </w:tcPr>
          <w:p>
            <w:pPr>
              <w:pStyle w:val="TableTextLeft"/>
            </w:pPr>
            <w:r>
              <w:rPr>
                <w:b w:val="0"/>
              </w:rPr>
              <w:t>Vansh Verma / MHR</w:t>
            </w:r>
          </w:p>
        </w:tc>
        <w:tc>
          <w:tcPr>
            <w:tcW w:type="dxa" w:w="3000"/>
          </w:tcPr>
          <w:p>
            <w:pPr>
              <w:pStyle w:val="TableTextLeft"/>
            </w:pPr>
            <w:r>
              <w:rPr>
                <w:b w:val="0"/>
              </w:rPr>
              <w:t>Partially resolved – MHR has supplied a working example and correct Category ID usage; final re-test outstanding.</w:t>
            </w:r>
          </w:p>
        </w:tc>
      </w:tr>
      <w:tr>
        <w:tc>
          <w:tcPr>
            <w:tcW w:type="dxa" w:w="500"/>
          </w:tcPr>
          <w:p>
            <w:pPr>
              <w:pStyle w:val="TableTextLeft"/>
            </w:pPr>
            <w:r>
              <w:rPr>
                <w:b w:val="0"/>
              </w:rPr>
              <w:t>3</w:t>
            </w:r>
          </w:p>
        </w:tc>
        <w:tc>
          <w:tcPr>
            <w:tcW w:type="dxa" w:w="4600"/>
          </w:tcPr>
          <w:p>
            <w:pPr>
              <w:pStyle w:val="TableTextLeft"/>
            </w:pPr>
            <w:r>
              <w:rPr>
                <w:b w:val="0"/>
              </w:rPr>
              <w:t>Field naming is inconsistent (PascalCase vs. lowercase) across services.</w:t>
            </w:r>
          </w:p>
        </w:tc>
        <w:tc>
          <w:tcPr>
            <w:tcW w:type="dxa" w:w="2440"/>
          </w:tcPr>
          <w:p>
            <w:pPr>
              <w:pStyle w:val="TableTextLeft"/>
            </w:pPr>
            <w:r>
              <w:rPr>
                <w:b w:val="0"/>
              </w:rPr>
              <w:t>MHR (confirmed as fixed behaviour)</w:t>
            </w:r>
          </w:p>
        </w:tc>
        <w:tc>
          <w:tcPr>
            <w:tcW w:type="dxa" w:w="3000"/>
          </w:tcPr>
          <w:p>
            <w:pPr>
              <w:pStyle w:val="TableTextLeft"/>
            </w:pPr>
            <w:r>
              <w:rPr>
                <w:b w:val="0"/>
              </w:rPr>
              <w:t>Closed as a constraint – to be normalised within the NDP ingestion pipeline, not resolvable on the Nest side.</w:t>
            </w:r>
          </w:p>
        </w:tc>
      </w:tr>
      <w:tr>
        <w:tc>
          <w:tcPr>
            <w:tcW w:type="dxa" w:w="500"/>
          </w:tcPr>
          <w:p>
            <w:pPr>
              <w:pStyle w:val="TableTextLeft"/>
            </w:pPr>
            <w:r>
              <w:rPr>
                <w:b w:val="0"/>
              </w:rPr>
              <w:t>4</w:t>
            </w:r>
          </w:p>
        </w:tc>
        <w:tc>
          <w:tcPr>
            <w:tcW w:type="dxa" w:w="4600"/>
          </w:tcPr>
          <w:p>
            <w:pPr>
              <w:pStyle w:val="TableTextLeft"/>
            </w:pPr>
            <w:r>
              <w:rPr>
                <w:b w:val="0"/>
              </w:rPr>
              <w:t>Optional grouping fields (Structure Group, Unit Group, Job Family) are blank in all test records.</w:t>
            </w:r>
          </w:p>
        </w:tc>
        <w:tc>
          <w:tcPr>
            <w:tcW w:type="dxa" w:w="2440"/>
          </w:tcPr>
          <w:p>
            <w:pPr>
              <w:pStyle w:val="TableTextLeft"/>
            </w:pPr>
            <w:r>
              <w:rPr>
                <w:b w:val="0"/>
              </w:rPr>
              <w:t>iTrent configuration owner (Nest)</w:t>
            </w:r>
          </w:p>
        </w:tc>
        <w:tc>
          <w:tcPr>
            <w:tcW w:type="dxa" w:w="3000"/>
          </w:tcPr>
          <w:p>
            <w:pPr>
              <w:pStyle w:val="TableTextLeft"/>
            </w:pPr>
            <w:r>
              <w:rPr>
                <w:b w:val="0"/>
              </w:rPr>
              <w:t>Awaiting confirmation – likely unused optional labels.</w:t>
            </w:r>
          </w:p>
        </w:tc>
      </w:tr>
      <w:tr>
        <w:tc>
          <w:tcPr>
            <w:tcW w:type="dxa" w:w="500"/>
          </w:tcPr>
          <w:p>
            <w:pPr>
              <w:pStyle w:val="TableTextLeft"/>
            </w:pPr>
            <w:r>
              <w:rPr>
                <w:b w:val="0"/>
              </w:rPr>
              <w:t>5</w:t>
            </w:r>
          </w:p>
        </w:tc>
        <w:tc>
          <w:tcPr>
            <w:tcW w:type="dxa" w:w="4600"/>
          </w:tcPr>
          <w:p>
            <w:pPr>
              <w:pStyle w:val="TableTextLeft"/>
            </w:pPr>
            <w:r>
              <w:rPr>
                <w:b w:val="0"/>
              </w:rPr>
              <w:t>Address line 1 and line 3 are blank for 7.1, 7.7 and 7.14 but populated for 7.15.</w:t>
            </w:r>
          </w:p>
        </w:tc>
        <w:tc>
          <w:tcPr>
            <w:tcW w:type="dxa" w:w="2440"/>
          </w:tcPr>
          <w:p>
            <w:pPr>
              <w:pStyle w:val="TableTextLeft"/>
            </w:pPr>
            <w:r>
              <w:rPr>
                <w:b w:val="0"/>
              </w:rPr>
              <w:t>iTrent configuration owner (Nest)</w:t>
            </w:r>
          </w:p>
        </w:tc>
        <w:tc>
          <w:tcPr>
            <w:tcW w:type="dxa" w:w="3000"/>
          </w:tcPr>
          <w:p>
            <w:pPr>
              <w:pStyle w:val="TableTextLeft"/>
            </w:pPr>
            <w:r>
              <w:rPr>
                <w:b w:val="0"/>
              </w:rPr>
              <w:t>Awaiting confirmation.</w:t>
            </w:r>
          </w:p>
        </w:tc>
      </w:tr>
      <w:tr>
        <w:tc>
          <w:tcPr>
            <w:tcW w:type="dxa" w:w="500"/>
          </w:tcPr>
          <w:p>
            <w:pPr>
              <w:pStyle w:val="TableTextLeft"/>
            </w:pPr>
            <w:r>
              <w:rPr>
                <w:b w:val="0"/>
              </w:rPr>
              <w:t>6</w:t>
            </w:r>
          </w:p>
        </w:tc>
        <w:tc>
          <w:tcPr>
            <w:tcW w:type="dxa" w:w="4600"/>
          </w:tcPr>
          <w:p>
            <w:pPr>
              <w:pStyle w:val="TableTextLeft"/>
            </w:pPr>
            <w:r>
              <w:rPr>
                <w:b w:val="0"/>
              </w:rPr>
              <w:t>Handling of repeating/list fields (Contact Details, Cost Centre Split, Unit, Parent Department) is not fully defined.</w:t>
            </w:r>
          </w:p>
        </w:tc>
        <w:tc>
          <w:tcPr>
            <w:tcW w:type="dxa" w:w="2440"/>
          </w:tcPr>
          <w:p>
            <w:pPr>
              <w:pStyle w:val="TableTextLeft"/>
            </w:pPr>
            <w:r>
              <w:rPr>
                <w:b w:val="0"/>
              </w:rPr>
              <w:t>Elizabeth Whittaker (Contact Details) / confirmed for Parent Department</w:t>
            </w:r>
          </w:p>
        </w:tc>
        <w:tc>
          <w:tcPr>
            <w:tcW w:type="dxa" w:w="3000"/>
          </w:tcPr>
          <w:p>
            <w:pPr>
              <w:pStyle w:val="TableTextLeft"/>
            </w:pPr>
            <w:r>
              <w:rPr>
                <w:b w:val="0"/>
              </w:rPr>
              <w:t>Parent Department confirmed as needed; Contact Details decision outstanding.</w:t>
            </w:r>
          </w:p>
        </w:tc>
      </w:tr>
      <w:tr>
        <w:tc>
          <w:tcPr>
            <w:tcW w:type="dxa" w:w="500"/>
          </w:tcPr>
          <w:p>
            <w:pPr>
              <w:pStyle w:val="TableTextLeft"/>
            </w:pPr>
            <w:r>
              <w:rPr>
                <w:b w:val="0"/>
              </w:rPr>
              <w:t>7</w:t>
            </w:r>
          </w:p>
        </w:tc>
        <w:tc>
          <w:tcPr>
            <w:tcW w:type="dxa" w:w="4600"/>
          </w:tcPr>
          <w:p>
            <w:pPr>
              <w:pStyle w:val="TableTextLeft"/>
            </w:pPr>
            <w:r>
              <w:rPr>
                <w:b w:val="0"/>
              </w:rPr>
              <w:t>Licensing scope for the 12 services returning a generic 404 has not been formally confirmed with the MHR account team.</w:t>
            </w:r>
          </w:p>
        </w:tc>
        <w:tc>
          <w:tcPr>
            <w:tcW w:type="dxa" w:w="2440"/>
          </w:tcPr>
          <w:p>
            <w:pPr>
              <w:pStyle w:val="TableTextLeft"/>
            </w:pPr>
            <w:r>
              <w:rPr>
                <w:b w:val="0"/>
              </w:rPr>
              <w:t>Vansh Verma</w:t>
            </w:r>
          </w:p>
        </w:tc>
        <w:tc>
          <w:tcPr>
            <w:tcW w:type="dxa" w:w="3000"/>
          </w:tcPr>
          <w:p>
            <w:pPr>
              <w:pStyle w:val="TableTextLeft"/>
            </w:pPr>
            <w:r>
              <w:rPr>
                <w:b w:val="0"/>
              </w:rPr>
              <w:t>To be raised with the MHR Account Manager, informed by the internal test results in Section 2.</w:t>
            </w:r>
          </w:p>
        </w:tc>
      </w:tr>
      <w:tr>
        <w:tc>
          <w:tcPr>
            <w:tcW w:type="dxa" w:w="500"/>
          </w:tcPr>
          <w:p>
            <w:pPr>
              <w:pStyle w:val="TableTextLeft"/>
            </w:pPr>
            <w:r>
              <w:rPr>
                <w:b w:val="0"/>
              </w:rPr>
              <w:t>8</w:t>
            </w:r>
          </w:p>
        </w:tc>
        <w:tc>
          <w:tcPr>
            <w:tcW w:type="dxa" w:w="4600"/>
          </w:tcPr>
          <w:p>
            <w:pPr>
              <w:pStyle w:val="TableTextLeft"/>
            </w:pPr>
            <w:r>
              <w:rPr>
                <w:b w:val="0"/>
              </w:rPr>
              <w:t>7.17 (Requisition Data Service v1) confirmed shut down / not in use.</w:t>
            </w:r>
          </w:p>
        </w:tc>
        <w:tc>
          <w:tcPr>
            <w:tcW w:type="dxa" w:w="2440"/>
          </w:tcPr>
          <w:p>
            <w:pPr>
              <w:pStyle w:val="TableTextLeft"/>
            </w:pPr>
            <w:r>
              <w:rPr>
                <w:b w:val="0"/>
              </w:rPr>
              <w:t>N/A</w:t>
            </w:r>
          </w:p>
        </w:tc>
        <w:tc>
          <w:tcPr>
            <w:tcW w:type="dxa" w:w="3000"/>
          </w:tcPr>
          <w:p>
            <w:pPr>
              <w:pStyle w:val="TableTextLeft"/>
            </w:pPr>
            <w:r>
              <w:rPr>
                <w:b w:val="0"/>
              </w:rPr>
              <w:t>Closed – out of scope.</w:t>
            </w:r>
          </w:p>
        </w:tc>
      </w:tr>
    </w:tbl>
    <w:p>
      <w:pPr>
        <w:pStyle w:val="Heading1"/>
      </w:pPr>
      <w:r>
        <w:t>Assumptions</w:t>
      </w:r>
    </w:p>
    <w:p>
      <w:pPr>
        <w:pStyle w:val="SymbolBullet1"/>
      </w:pPr>
      <w:r>
        <w:t>Nest is licensed for the RESTful Web Services module in general, confirmed by successful authentication and 8 services returning data; licensing status of the remaining out-of-scope services is to be confirmed with MHR’s account team.</w:t>
      </w:r>
    </w:p>
    <w:p>
      <w:pPr>
        <w:pStyle w:val="SymbolBullet1"/>
      </w:pPr>
      <w:r>
        <w:t>Type 2 (RefNo-required) services will require an initial call to 7.1 to harvest PersonIDs, followed by a per-employee loop; the number of API calls per pipeline run will scale with headcount, which should be confirmed with HR to estimate run time and API load.</w:t>
      </w:r>
    </w:p>
    <w:p>
      <w:pPr>
        <w:pStyle w:val="SymbolBullet1"/>
      </w:pPr>
      <w:r>
        <w:t>Leavers with an end date before today and future-dated starters are excluded from all Type 1 (paginated) responses by iTrent design; Phase 1 ingestion logic must account for this.</w:t>
      </w:r>
    </w:p>
    <w:p>
      <w:pPr>
        <w:pStyle w:val="SymbolBullet1"/>
      </w:pPr>
      <w:r>
        <w:t>Field casing differences (PascalCase vs. lowercase) between services are permanent and must be normalised within the NDP ingestion pipeline rather than on the iTrent side.</w:t>
      </w:r>
    </w:p>
    <w:p>
      <w:pPr>
        <w:pStyle w:val="SymbolBullet1"/>
      </w:pPr>
      <w:r>
        <w:t>Data was masked during testing, so some structural questions (e.g. what the repeating ‘Contact Details’ entries represent) could not be fully confirmed from sample data alone and remain open.</w:t>
      </w:r>
    </w:p>
    <w:p>
      <w:pPr>
        <w:pStyle w:val="Heading1"/>
      </w:pPr>
      <w:r>
        <w:t>Next Steps &amp; Sign-Off</w:t>
      </w:r>
    </w:p>
    <w:p>
      <w:pPr/>
      <w:r>
        <w:rPr>
          <w:b w:val="0"/>
          <w:i w:val="0"/>
        </w:rPr>
        <w:t>This document, once reviewed, forms the basis for locking down Phase 1 scope — confirming which of the 20 iTrent services will be built into the initial NDP ingestion pipeline. Recommended next steps are:</w:t>
      </w:r>
    </w:p>
    <w:p>
      <w:pPr>
        <w:pStyle w:val="SymbolBullet1"/>
      </w:pPr>
      <w:r>
        <w:t>Hold the requested call with MHR to resolve why 7.4 and 7.20 continue to return no data despite a confirmed-correct configuration.</w:t>
      </w:r>
    </w:p>
    <w:p>
      <w:pPr>
        <w:pStyle w:val="SymbolBullet1"/>
      </w:pPr>
      <w:r>
        <w:t>Confirm the licensing status of the remaining out-of-scope services with the MHR account team.</w:t>
      </w:r>
    </w:p>
    <w:p>
      <w:pPr>
        <w:pStyle w:val="SymbolBullet1"/>
      </w:pPr>
      <w:r>
        <w:t>Close out the grouping-field and address-setup questions with the iTrent configuration owner.</w:t>
      </w:r>
    </w:p>
    <w:p>
      <w:pPr>
        <w:pStyle w:val="SymbolBullet1"/>
      </w:pPr>
      <w:r>
        <w:t>Elizabeth Whittaker to confirm the approach for handling the Contact Details list field.</w:t>
      </w:r>
    </w:p>
    <w:p>
      <w:pPr>
        <w:pStyle w:val="SymbolBullet1"/>
      </w:pPr>
      <w:r>
        <w:t>Reconvene with stakeholders to formally lock Phase 1 scope and proceed to pipeline design and build.</w:t>
      </w:r>
    </w:p>
    <w:p>
      <w:pPr/>
      <w:r>
        <w:rPr>
          <w:b w:val="0"/>
          <w:i w:val="0"/>
        </w:rPr>
        <w:t>Approval of this document, and the scope set out in Section 2, is requested from the Approver and Accountable Executive named in the Key Document Details.</w:t>
      </w:r>
    </w:p>
    <w:p>
      <w:pPr>
        <w:pStyle w:val="Heading1"/>
      </w:pPr>
      <w:r>
        <w:t>Appendix A: iTrent REST API Reference – All 20 Services</w:t>
      </w:r>
    </w:p>
    <w:p>
      <w:pPr/>
      <w:r>
        <w:rPr>
          <w:b w:val="0"/>
          <w:i w:val="0"/>
        </w:rPr>
        <w:t>All requests below are HTTP GET, authenticated via HTTP Basic Authentication (username and password for the configured iTrent Web Services user, supplied in the Authorization header). All services use the base URL https://ce0238li.webitrent.com/ce0238li_web/wrd/run/etws001api.json, except 7.19 which uses https://ce0238li.webitrent.com/ce0238li_web/wrd/run/etudf001api.json. PartyName: NEST is required on all standard services.</w:t>
      </w:r>
    </w:p>
    <w:tbl>
      <w:tblPr>
        <w:tblStyle w:val="NestTable1"/>
        <w:tblW w:type="auto" w:w="0"/>
        <w:tblLayout w:type="fixed"/>
        <w:tblLook w:val="06A0" w:firstRow="1" w:lastRow="0" w:firstColumn="1" w:lastColumn="0" w:noHBand="1" w:noVBand="1"/>
      </w:tblPr>
      <w:tblGrid>
        <w:gridCol w:w="820"/>
        <w:gridCol w:w="2100"/>
        <w:gridCol w:w="1500"/>
        <w:gridCol w:w="2380"/>
        <w:gridCol w:w="1600"/>
        <w:gridCol w:w="2140"/>
      </w:tblGrid>
      <w:tr>
        <w:trPr>
          <w:tblHeader/>
        </w:trPr>
        <w:tc>
          <w:tcPr>
            <w:tcW w:type="dxa" w:w="820"/>
          </w:tcPr>
          <w:p>
            <w:pPr>
              <w:pStyle w:val="TableTextLeft"/>
            </w:pPr>
            <w:r>
              <w:rPr>
                <w:b/>
              </w:rPr>
              <w:t>Section</w:t>
            </w:r>
          </w:p>
        </w:tc>
        <w:tc>
          <w:tcPr>
            <w:tcW w:type="dxa" w:w="2100"/>
          </w:tcPr>
          <w:p>
            <w:pPr>
              <w:pStyle w:val="TableTextLeft"/>
            </w:pPr>
            <w:r>
              <w:rPr>
                <w:b/>
              </w:rPr>
              <w:t>Service Name</w:t>
            </w:r>
          </w:p>
        </w:tc>
        <w:tc>
          <w:tcPr>
            <w:tcW w:type="dxa" w:w="1500"/>
          </w:tcPr>
          <w:p>
            <w:pPr>
              <w:pStyle w:val="TableTextLeft"/>
            </w:pPr>
            <w:r>
              <w:rPr>
                <w:b/>
              </w:rPr>
              <w:t>iTrent-Operation</w:t>
            </w:r>
          </w:p>
        </w:tc>
        <w:tc>
          <w:tcPr>
            <w:tcW w:type="dxa" w:w="2380"/>
          </w:tcPr>
          <w:p>
            <w:pPr>
              <w:pStyle w:val="TableTextLeft"/>
            </w:pPr>
            <w:r>
              <w:rPr>
                <w:b/>
              </w:rPr>
              <w:t>Key Headers / Parameters</w:t>
            </w:r>
          </w:p>
        </w:tc>
        <w:tc>
          <w:tcPr>
            <w:tcW w:type="dxa" w:w="1600"/>
          </w:tcPr>
          <w:p>
            <w:pPr>
              <w:pStyle w:val="TableTextLeft"/>
            </w:pPr>
            <w:r>
              <w:rPr>
                <w:b/>
              </w:rPr>
              <w:t>Behaviour Type</w:t>
            </w:r>
          </w:p>
        </w:tc>
        <w:tc>
          <w:tcPr>
            <w:tcW w:type="dxa" w:w="2140"/>
          </w:tcPr>
          <w:p>
            <w:pPr>
              <w:pStyle w:val="TableTextLeft"/>
            </w:pPr>
            <w:r>
              <w:rPr>
                <w:b/>
              </w:rPr>
              <w:t>Notes</w:t>
            </w:r>
          </w:p>
        </w:tc>
      </w:tr>
      <w:tr>
        <w:tc>
          <w:tcPr>
            <w:tcW w:type="dxa" w:w="820"/>
          </w:tcPr>
          <w:p>
            <w:pPr>
              <w:pStyle w:val="TableTextLeft"/>
            </w:pPr>
            <w:r>
              <w:rPr>
                <w:b w:val="0"/>
              </w:rPr>
              <w:t>7.1</w:t>
            </w:r>
          </w:p>
        </w:tc>
        <w:tc>
          <w:tcPr>
            <w:tcW w:type="dxa" w:w="2100"/>
          </w:tcPr>
          <w:p>
            <w:pPr>
              <w:pStyle w:val="TableTextLeft"/>
            </w:pPr>
            <w:r>
              <w:rPr>
                <w:b w:val="0"/>
              </w:rPr>
              <w:t>HR Core Data</w:t>
            </w:r>
          </w:p>
        </w:tc>
        <w:tc>
          <w:tcPr>
            <w:tcW w:type="dxa" w:w="1500"/>
          </w:tcPr>
          <w:p>
            <w:pPr>
              <w:pStyle w:val="TableTextLeft"/>
            </w:pPr>
            <w:r>
              <w:rPr>
                <w:b w:val="0"/>
              </w:rPr>
              <w:t>hrcore</w:t>
            </w:r>
          </w:p>
        </w:tc>
        <w:tc>
          <w:tcPr>
            <w:tcW w:type="dxa" w:w="2380"/>
          </w:tcPr>
          <w:p>
            <w:pPr>
              <w:pStyle w:val="TableTextLeft"/>
            </w:pPr>
            <w:r>
              <w:rPr>
                <w:b w:val="0"/>
              </w:rPr>
              <w:t>Size: 10</w:t>
            </w:r>
          </w:p>
        </w:tc>
        <w:tc>
          <w:tcPr>
            <w:tcW w:type="dxa" w:w="1600"/>
          </w:tcPr>
          <w:p>
            <w:pPr>
              <w:pStyle w:val="TableTextLeft"/>
            </w:pPr>
            <w:r>
              <w:rPr>
                <w:b w:val="0"/>
              </w:rPr>
              <w:t>Type 1 – Paginated</w:t>
            </w:r>
          </w:p>
        </w:tc>
        <w:tc>
          <w:tcPr>
            <w:tcW w:type="dxa" w:w="2140"/>
          </w:tcPr>
          <w:p>
            <w:pPr>
              <w:pStyle w:val="TableTextLeft"/>
            </w:pPr>
            <w:r>
              <w:rPr>
                <w:b w:val="0"/>
              </w:rPr>
              <w:t>Leave RefNo blank for top 10.</w:t>
            </w:r>
          </w:p>
        </w:tc>
      </w:tr>
      <w:tr>
        <w:tc>
          <w:tcPr>
            <w:tcW w:type="dxa" w:w="820"/>
          </w:tcPr>
          <w:p>
            <w:pPr>
              <w:pStyle w:val="TableTextLeft"/>
            </w:pPr>
            <w:r>
              <w:rPr>
                <w:b w:val="0"/>
              </w:rPr>
              <w:t>7.2</w:t>
            </w:r>
          </w:p>
        </w:tc>
        <w:tc>
          <w:tcPr>
            <w:tcW w:type="dxa" w:w="2100"/>
          </w:tcPr>
          <w:p>
            <w:pPr>
              <w:pStyle w:val="TableTextLeft"/>
            </w:pPr>
            <w:r>
              <w:rPr>
                <w:b w:val="0"/>
              </w:rPr>
              <w:t>Skills &amp; Qualifications</w:t>
            </w:r>
          </w:p>
        </w:tc>
        <w:tc>
          <w:tcPr>
            <w:tcW w:type="dxa" w:w="1500"/>
          </w:tcPr>
          <w:p>
            <w:pPr>
              <w:pStyle w:val="TableTextLeft"/>
            </w:pPr>
            <w:r>
              <w:rPr>
                <w:b w:val="0"/>
              </w:rPr>
              <w:t>skillqual</w:t>
            </w:r>
          </w:p>
        </w:tc>
        <w:tc>
          <w:tcPr>
            <w:tcW w:type="dxa" w:w="2380"/>
          </w:tcPr>
          <w:p>
            <w:pPr>
              <w:pStyle w:val="TableTextLeft"/>
            </w:pPr>
            <w:r>
              <w:rPr>
                <w:b w:val="0"/>
              </w:rPr>
              <w:t>RefNo: &lt;Person Ref/NI No.&gt;</w:t>
            </w:r>
          </w:p>
        </w:tc>
        <w:tc>
          <w:tcPr>
            <w:tcW w:type="dxa" w:w="1600"/>
          </w:tcPr>
          <w:p>
            <w:pPr>
              <w:pStyle w:val="TableTextLeft"/>
            </w:pPr>
            <w:r>
              <w:rPr>
                <w:b w:val="0"/>
              </w:rPr>
              <w:t>Type 2 – RefNo required</w:t>
            </w:r>
          </w:p>
        </w:tc>
        <w:tc>
          <w:tcPr>
            <w:tcW w:type="dxa" w:w="2140"/>
          </w:tcPr>
          <w:p>
            <w:pPr>
              <w:pStyle w:val="TableTextLeft"/>
            </w:pPr>
            <w:r>
              <w:rPr>
                <w:b w:val="0"/>
              </w:rPr>
              <w:t>No pagination supported.</w:t>
            </w:r>
          </w:p>
        </w:tc>
      </w:tr>
      <w:tr>
        <w:tc>
          <w:tcPr>
            <w:tcW w:type="dxa" w:w="820"/>
          </w:tcPr>
          <w:p>
            <w:pPr>
              <w:pStyle w:val="TableTextLeft"/>
            </w:pPr>
            <w:r>
              <w:rPr>
                <w:b w:val="0"/>
              </w:rPr>
              <w:t>7.3</w:t>
            </w:r>
          </w:p>
        </w:tc>
        <w:tc>
          <w:tcPr>
            <w:tcW w:type="dxa" w:w="2100"/>
          </w:tcPr>
          <w:p>
            <w:pPr>
              <w:pStyle w:val="TableTextLeft"/>
            </w:pPr>
            <w:r>
              <w:rPr>
                <w:b w:val="0"/>
              </w:rPr>
              <w:t>Position Data Service</w:t>
            </w:r>
          </w:p>
        </w:tc>
        <w:tc>
          <w:tcPr>
            <w:tcW w:type="dxa" w:w="1500"/>
          </w:tcPr>
          <w:p>
            <w:pPr>
              <w:pStyle w:val="TableTextLeft"/>
            </w:pPr>
            <w:r>
              <w:rPr>
                <w:b w:val="0"/>
              </w:rPr>
              <w:t>position</w:t>
            </w:r>
          </w:p>
        </w:tc>
        <w:tc>
          <w:tcPr>
            <w:tcW w:type="dxa" w:w="2380"/>
          </w:tcPr>
          <w:p>
            <w:pPr>
              <w:pStyle w:val="TableTextLeft"/>
            </w:pPr>
            <w:r>
              <w:rPr>
                <w:b w:val="0"/>
              </w:rPr>
              <w:t>Size: 10</w:t>
            </w:r>
          </w:p>
        </w:tc>
        <w:tc>
          <w:tcPr>
            <w:tcW w:type="dxa" w:w="1600"/>
          </w:tcPr>
          <w:p>
            <w:pPr>
              <w:pStyle w:val="TableTextLeft"/>
            </w:pPr>
            <w:r>
              <w:rPr>
                <w:b w:val="0"/>
              </w:rPr>
              <w:t>Type 1 – Paginated</w:t>
            </w:r>
          </w:p>
        </w:tc>
        <w:tc>
          <w:tcPr>
            <w:tcW w:type="dxa" w:w="2140"/>
          </w:tcPr>
          <w:p>
            <w:pPr>
              <w:pStyle w:val="TableTextLeft"/>
            </w:pPr>
            <w:r>
              <w:rPr>
                <w:b w:val="0"/>
              </w:rPr>
              <w:t>RefNo = Position Reference Number for a specific record.</w:t>
            </w:r>
          </w:p>
        </w:tc>
      </w:tr>
      <w:tr>
        <w:tc>
          <w:tcPr>
            <w:tcW w:type="dxa" w:w="820"/>
          </w:tcPr>
          <w:p>
            <w:pPr>
              <w:pStyle w:val="TableTextLeft"/>
            </w:pPr>
            <w:r>
              <w:rPr>
                <w:b w:val="0"/>
              </w:rPr>
              <w:t>7.4</w:t>
            </w:r>
          </w:p>
        </w:tc>
        <w:tc>
          <w:tcPr>
            <w:tcW w:type="dxa" w:w="2100"/>
          </w:tcPr>
          <w:p>
            <w:pPr>
              <w:pStyle w:val="TableTextLeft"/>
            </w:pPr>
            <w:r>
              <w:rPr>
                <w:b w:val="0"/>
              </w:rPr>
              <w:t>Absence Data Service</w:t>
            </w:r>
          </w:p>
        </w:tc>
        <w:tc>
          <w:tcPr>
            <w:tcW w:type="dxa" w:w="1500"/>
          </w:tcPr>
          <w:p>
            <w:pPr>
              <w:pStyle w:val="TableTextLeft"/>
            </w:pPr>
            <w:r>
              <w:rPr>
                <w:b w:val="0"/>
              </w:rPr>
              <w:t>absence</w:t>
            </w:r>
          </w:p>
        </w:tc>
        <w:tc>
          <w:tcPr>
            <w:tcW w:type="dxa" w:w="2380"/>
          </w:tcPr>
          <w:p>
            <w:pPr>
              <w:pStyle w:val="TableTextLeft"/>
            </w:pPr>
            <w:r>
              <w:rPr>
                <w:b w:val="0"/>
              </w:rPr>
              <w:t>RefNo: &lt;Person Ref/NI No.&gt;</w:t>
            </w:r>
          </w:p>
        </w:tc>
        <w:tc>
          <w:tcPr>
            <w:tcW w:type="dxa" w:w="1600"/>
          </w:tcPr>
          <w:p>
            <w:pPr>
              <w:pStyle w:val="TableTextLeft"/>
            </w:pPr>
            <w:r>
              <w:rPr>
                <w:b w:val="0"/>
              </w:rPr>
              <w:t>Type 2 – RefNo required</w:t>
            </w:r>
          </w:p>
        </w:tc>
        <w:tc>
          <w:tcPr>
            <w:tcW w:type="dxa" w:w="2140"/>
          </w:tcPr>
          <w:p>
            <w:pPr>
              <w:pStyle w:val="TableTextLeft"/>
            </w:pPr>
            <w:r>
              <w:rPr>
                <w:b w:val="0"/>
              </w:rPr>
              <w:t>Open item – see Section 5.</w:t>
            </w:r>
          </w:p>
        </w:tc>
      </w:tr>
      <w:tr>
        <w:tc>
          <w:tcPr>
            <w:tcW w:type="dxa" w:w="820"/>
          </w:tcPr>
          <w:p>
            <w:pPr>
              <w:pStyle w:val="TableTextLeft"/>
            </w:pPr>
            <w:r>
              <w:rPr>
                <w:b w:val="0"/>
              </w:rPr>
              <w:t>7.5</w:t>
            </w:r>
          </w:p>
        </w:tc>
        <w:tc>
          <w:tcPr>
            <w:tcW w:type="dxa" w:w="2100"/>
          </w:tcPr>
          <w:p>
            <w:pPr>
              <w:pStyle w:val="TableTextLeft"/>
            </w:pPr>
            <w:r>
              <w:rPr>
                <w:b w:val="0"/>
              </w:rPr>
              <w:t>Attendance Data Service</w:t>
            </w:r>
          </w:p>
        </w:tc>
        <w:tc>
          <w:tcPr>
            <w:tcW w:type="dxa" w:w="1500"/>
          </w:tcPr>
          <w:p>
            <w:pPr>
              <w:pStyle w:val="TableTextLeft"/>
            </w:pPr>
            <w:r>
              <w:rPr>
                <w:b w:val="0"/>
              </w:rPr>
              <w:t>attend</w:t>
            </w:r>
          </w:p>
        </w:tc>
        <w:tc>
          <w:tcPr>
            <w:tcW w:type="dxa" w:w="2380"/>
          </w:tcPr>
          <w:p>
            <w:pPr>
              <w:pStyle w:val="TableTextLeft"/>
            </w:pPr>
            <w:r>
              <w:rPr>
                <w:b w:val="0"/>
              </w:rPr>
              <w:t>RefNo: &lt;Person Ref/NI No.&gt;</w:t>
            </w:r>
          </w:p>
        </w:tc>
        <w:tc>
          <w:tcPr>
            <w:tcW w:type="dxa" w:w="1600"/>
          </w:tcPr>
          <w:p>
            <w:pPr>
              <w:pStyle w:val="TableTextLeft"/>
            </w:pPr>
            <w:r>
              <w:rPr>
                <w:b w:val="0"/>
              </w:rPr>
              <w:t>Type 2 – RefNo required</w:t>
            </w:r>
          </w:p>
        </w:tc>
        <w:tc>
          <w:tcPr>
            <w:tcW w:type="dxa" w:w="2140"/>
          </w:tcPr>
          <w:p>
            <w:pPr>
              <w:pStyle w:val="TableTextLeft"/>
            </w:pPr>
            <w:r>
              <w:rPr>
                <w:b w:val="0"/>
              </w:rPr>
              <w:t>No pagination supported.</w:t>
            </w:r>
          </w:p>
        </w:tc>
      </w:tr>
      <w:tr>
        <w:tc>
          <w:tcPr>
            <w:tcW w:type="dxa" w:w="820"/>
          </w:tcPr>
          <w:p>
            <w:pPr>
              <w:pStyle w:val="TableTextLeft"/>
            </w:pPr>
            <w:r>
              <w:rPr>
                <w:b w:val="0"/>
              </w:rPr>
              <w:t>7.6</w:t>
            </w:r>
          </w:p>
        </w:tc>
        <w:tc>
          <w:tcPr>
            <w:tcW w:type="dxa" w:w="2100"/>
          </w:tcPr>
          <w:p>
            <w:pPr>
              <w:pStyle w:val="TableTextLeft"/>
            </w:pPr>
            <w:r>
              <w:rPr>
                <w:b w:val="0"/>
              </w:rPr>
              <w:t>Daily Pattern Service</w:t>
            </w:r>
          </w:p>
        </w:tc>
        <w:tc>
          <w:tcPr>
            <w:tcW w:type="dxa" w:w="1500"/>
          </w:tcPr>
          <w:p>
            <w:pPr>
              <w:pStyle w:val="TableTextLeft"/>
            </w:pPr>
            <w:r>
              <w:rPr>
                <w:b w:val="0"/>
              </w:rPr>
              <w:t>daypat</w:t>
            </w:r>
          </w:p>
        </w:tc>
        <w:tc>
          <w:tcPr>
            <w:tcW w:type="dxa" w:w="2380"/>
          </w:tcPr>
          <w:p>
            <w:pPr>
              <w:pStyle w:val="TableTextLeft"/>
            </w:pPr>
            <w:r>
              <w:rPr>
                <w:b w:val="0"/>
              </w:rPr>
              <w:t>RefNo: &lt;Person Ref/NI No.&gt;</w:t>
            </w:r>
          </w:p>
        </w:tc>
        <w:tc>
          <w:tcPr>
            <w:tcW w:type="dxa" w:w="1600"/>
          </w:tcPr>
          <w:p>
            <w:pPr>
              <w:pStyle w:val="TableTextLeft"/>
            </w:pPr>
            <w:r>
              <w:rPr>
                <w:b w:val="0"/>
              </w:rPr>
              <w:t>Type 2 – RefNo required</w:t>
            </w:r>
          </w:p>
        </w:tc>
        <w:tc>
          <w:tcPr>
            <w:tcW w:type="dxa" w:w="2140"/>
          </w:tcPr>
          <w:p>
            <w:pPr>
              <w:pStyle w:val="TableTextLeft"/>
            </w:pPr>
            <w:r>
              <w:rPr>
                <w:b w:val="0"/>
              </w:rPr>
              <w:t>No pagination supported.</w:t>
            </w:r>
          </w:p>
        </w:tc>
      </w:tr>
      <w:tr>
        <w:tc>
          <w:tcPr>
            <w:tcW w:type="dxa" w:w="820"/>
          </w:tcPr>
          <w:p>
            <w:pPr>
              <w:pStyle w:val="TableTextLeft"/>
            </w:pPr>
            <w:r>
              <w:rPr>
                <w:b w:val="0"/>
              </w:rPr>
              <w:t>7.7</w:t>
            </w:r>
          </w:p>
        </w:tc>
        <w:tc>
          <w:tcPr>
            <w:tcW w:type="dxa" w:w="2100"/>
          </w:tcPr>
          <w:p>
            <w:pPr>
              <w:pStyle w:val="TableTextLeft"/>
            </w:pPr>
            <w:r>
              <w:rPr>
                <w:b w:val="0"/>
              </w:rPr>
              <w:t>HR Core Data &amp; Structure</w:t>
            </w:r>
          </w:p>
        </w:tc>
        <w:tc>
          <w:tcPr>
            <w:tcW w:type="dxa" w:w="1500"/>
          </w:tcPr>
          <w:p>
            <w:pPr>
              <w:pStyle w:val="TableTextLeft"/>
            </w:pPr>
            <w:r>
              <w:rPr>
                <w:b w:val="0"/>
              </w:rPr>
              <w:t>hrcorestruct</w:t>
            </w:r>
          </w:p>
        </w:tc>
        <w:tc>
          <w:tcPr>
            <w:tcW w:type="dxa" w:w="2380"/>
          </w:tcPr>
          <w:p>
            <w:pPr>
              <w:pStyle w:val="TableTextLeft"/>
            </w:pPr>
            <w:r>
              <w:rPr>
                <w:b w:val="0"/>
              </w:rPr>
              <w:t>Size: 10</w:t>
            </w:r>
          </w:p>
        </w:tc>
        <w:tc>
          <w:tcPr>
            <w:tcW w:type="dxa" w:w="1600"/>
          </w:tcPr>
          <w:p>
            <w:pPr>
              <w:pStyle w:val="TableTextLeft"/>
            </w:pPr>
            <w:r>
              <w:rPr>
                <w:b w:val="0"/>
              </w:rPr>
              <w:t>Type 1 – Paginated</w:t>
            </w:r>
          </w:p>
        </w:tc>
        <w:tc>
          <w:tcPr>
            <w:tcW w:type="dxa" w:w="2140"/>
          </w:tcPr>
          <w:p>
            <w:pPr>
              <w:pStyle w:val="TableTextLeft"/>
            </w:pPr>
            <w:r>
              <w:rPr>
                <w:b w:val="0"/>
              </w:rPr>
              <w:t>Leave RefNo blank for top 10.</w:t>
            </w:r>
          </w:p>
        </w:tc>
      </w:tr>
      <w:tr>
        <w:tc>
          <w:tcPr>
            <w:tcW w:type="dxa" w:w="820"/>
          </w:tcPr>
          <w:p>
            <w:pPr>
              <w:pStyle w:val="TableTextLeft"/>
            </w:pPr>
            <w:r>
              <w:rPr>
                <w:b w:val="0"/>
              </w:rPr>
              <w:t>7.8</w:t>
            </w:r>
          </w:p>
        </w:tc>
        <w:tc>
          <w:tcPr>
            <w:tcW w:type="dxa" w:w="2100"/>
          </w:tcPr>
          <w:p>
            <w:pPr>
              <w:pStyle w:val="TableTextLeft"/>
            </w:pPr>
            <w:r>
              <w:rPr>
                <w:b w:val="0"/>
              </w:rPr>
              <w:t>HR Core Data &amp; Structure (Transfers)</w:t>
            </w:r>
          </w:p>
        </w:tc>
        <w:tc>
          <w:tcPr>
            <w:tcW w:type="dxa" w:w="1500"/>
          </w:tcPr>
          <w:p>
            <w:pPr>
              <w:pStyle w:val="TableTextLeft"/>
            </w:pPr>
            <w:r>
              <w:rPr>
                <w:b w:val="0"/>
              </w:rPr>
              <w:t>hrcoredatatransfer</w:t>
            </w:r>
          </w:p>
        </w:tc>
        <w:tc>
          <w:tcPr>
            <w:tcW w:type="dxa" w:w="2380"/>
          </w:tcPr>
          <w:p>
            <w:pPr>
              <w:pStyle w:val="TableTextLeft"/>
            </w:pPr>
            <w:r>
              <w:rPr>
                <w:b w:val="0"/>
              </w:rPr>
              <w:t>RefNo: &lt;Person Ref/NI No.&gt;</w:t>
            </w:r>
          </w:p>
        </w:tc>
        <w:tc>
          <w:tcPr>
            <w:tcW w:type="dxa" w:w="1600"/>
          </w:tcPr>
          <w:p>
            <w:pPr>
              <w:pStyle w:val="TableTextLeft"/>
            </w:pPr>
            <w:r>
              <w:rPr>
                <w:b w:val="0"/>
              </w:rPr>
              <w:t>Type 2 – RefNo required</w:t>
            </w:r>
          </w:p>
        </w:tc>
        <w:tc>
          <w:tcPr>
            <w:tcW w:type="dxa" w:w="2140"/>
          </w:tcPr>
          <w:p>
            <w:pPr>
              <w:pStyle w:val="TableTextLeft"/>
            </w:pPr>
            <w:r>
              <w:rPr>
                <w:b w:val="0"/>
              </w:rPr>
              <w:t>No pagination supported.</w:t>
            </w:r>
          </w:p>
        </w:tc>
      </w:tr>
      <w:tr>
        <w:tc>
          <w:tcPr>
            <w:tcW w:type="dxa" w:w="820"/>
          </w:tcPr>
          <w:p>
            <w:pPr>
              <w:pStyle w:val="TableTextLeft"/>
            </w:pPr>
            <w:r>
              <w:rPr>
                <w:b w:val="0"/>
              </w:rPr>
              <w:t>7.9</w:t>
            </w:r>
          </w:p>
        </w:tc>
        <w:tc>
          <w:tcPr>
            <w:tcW w:type="dxa" w:w="2100"/>
          </w:tcPr>
          <w:p>
            <w:pPr>
              <w:pStyle w:val="TableTextLeft"/>
            </w:pPr>
            <w:r>
              <w:rPr>
                <w:b w:val="0"/>
              </w:rPr>
              <w:t>People Structure</w:t>
            </w:r>
          </w:p>
        </w:tc>
        <w:tc>
          <w:tcPr>
            <w:tcW w:type="dxa" w:w="1500"/>
          </w:tcPr>
          <w:p>
            <w:pPr>
              <w:pStyle w:val="TableTextLeft"/>
            </w:pPr>
            <w:r>
              <w:rPr>
                <w:b w:val="0"/>
              </w:rPr>
              <w:t>perstruct</w:t>
            </w:r>
          </w:p>
        </w:tc>
        <w:tc>
          <w:tcPr>
            <w:tcW w:type="dxa" w:w="2380"/>
          </w:tcPr>
          <w:p>
            <w:pPr>
              <w:pStyle w:val="TableTextLeft"/>
            </w:pPr>
            <w:r>
              <w:rPr>
                <w:b w:val="0"/>
              </w:rPr>
              <w:t>RefNo: &lt;Person Ref/NI No.&gt;</w:t>
            </w:r>
          </w:p>
        </w:tc>
        <w:tc>
          <w:tcPr>
            <w:tcW w:type="dxa" w:w="1600"/>
          </w:tcPr>
          <w:p>
            <w:pPr>
              <w:pStyle w:val="TableTextLeft"/>
            </w:pPr>
            <w:r>
              <w:rPr>
                <w:b w:val="0"/>
              </w:rPr>
              <w:t>Type 2 – RefNo required</w:t>
            </w:r>
          </w:p>
        </w:tc>
        <w:tc>
          <w:tcPr>
            <w:tcW w:type="dxa" w:w="2140"/>
          </w:tcPr>
          <w:p>
            <w:pPr>
              <w:pStyle w:val="TableTextLeft"/>
            </w:pPr>
            <w:r>
              <w:rPr>
                <w:b w:val="0"/>
              </w:rPr>
              <w:t>No pagination supported.</w:t>
            </w:r>
          </w:p>
        </w:tc>
      </w:tr>
      <w:tr>
        <w:tc>
          <w:tcPr>
            <w:tcW w:type="dxa" w:w="820"/>
          </w:tcPr>
          <w:p>
            <w:pPr>
              <w:pStyle w:val="TableTextLeft"/>
            </w:pPr>
            <w:r>
              <w:rPr>
                <w:b w:val="0"/>
              </w:rPr>
              <w:t>7.10</w:t>
            </w:r>
          </w:p>
        </w:tc>
        <w:tc>
          <w:tcPr>
            <w:tcW w:type="dxa" w:w="2100"/>
          </w:tcPr>
          <w:p>
            <w:pPr>
              <w:pStyle w:val="TableTextLeft"/>
            </w:pPr>
            <w:r>
              <w:rPr>
                <w:b w:val="0"/>
              </w:rPr>
              <w:t>WMS People</w:t>
            </w:r>
          </w:p>
        </w:tc>
        <w:tc>
          <w:tcPr>
            <w:tcW w:type="dxa" w:w="1500"/>
          </w:tcPr>
          <w:p>
            <w:pPr>
              <w:pStyle w:val="TableTextLeft"/>
            </w:pPr>
            <w:r>
              <w:rPr>
                <w:b w:val="0"/>
              </w:rPr>
              <w:t>wmsper</w:t>
            </w:r>
          </w:p>
        </w:tc>
        <w:tc>
          <w:tcPr>
            <w:tcW w:type="dxa" w:w="2380"/>
          </w:tcPr>
          <w:p>
            <w:pPr>
              <w:pStyle w:val="TableTextLeft"/>
            </w:pPr>
            <w:r>
              <w:rPr>
                <w:b w:val="0"/>
              </w:rPr>
              <w:t>RefNo: &lt;Person Ref/NI No.&gt;</w:t>
            </w:r>
          </w:p>
        </w:tc>
        <w:tc>
          <w:tcPr>
            <w:tcW w:type="dxa" w:w="1600"/>
          </w:tcPr>
          <w:p>
            <w:pPr>
              <w:pStyle w:val="TableTextLeft"/>
            </w:pPr>
            <w:r>
              <w:rPr>
                <w:b w:val="0"/>
              </w:rPr>
              <w:t>Type 2 – RefNo required</w:t>
            </w:r>
          </w:p>
        </w:tc>
        <w:tc>
          <w:tcPr>
            <w:tcW w:type="dxa" w:w="2140"/>
          </w:tcPr>
          <w:p>
            <w:pPr>
              <w:pStyle w:val="TableTextLeft"/>
            </w:pPr>
            <w:r>
              <w:rPr>
                <w:b w:val="0"/>
              </w:rPr>
              <w:t>No pagination supported.</w:t>
            </w:r>
          </w:p>
        </w:tc>
      </w:tr>
      <w:tr>
        <w:tc>
          <w:tcPr>
            <w:tcW w:type="dxa" w:w="820"/>
          </w:tcPr>
          <w:p>
            <w:pPr>
              <w:pStyle w:val="TableTextLeft"/>
            </w:pPr>
            <w:r>
              <w:rPr>
                <w:b w:val="0"/>
              </w:rPr>
              <w:t>7.11</w:t>
            </w:r>
          </w:p>
        </w:tc>
        <w:tc>
          <w:tcPr>
            <w:tcW w:type="dxa" w:w="2100"/>
          </w:tcPr>
          <w:p>
            <w:pPr>
              <w:pStyle w:val="TableTextLeft"/>
            </w:pPr>
            <w:r>
              <w:rPr>
                <w:b w:val="0"/>
              </w:rPr>
              <w:t>Elite3E (DAC3E)</w:t>
            </w:r>
          </w:p>
        </w:tc>
        <w:tc>
          <w:tcPr>
            <w:tcW w:type="dxa" w:w="1500"/>
          </w:tcPr>
          <w:p>
            <w:pPr>
              <w:pStyle w:val="TableTextLeft"/>
            </w:pPr>
            <w:r>
              <w:rPr>
                <w:b w:val="0"/>
              </w:rPr>
              <w:t>dac3e</w:t>
            </w:r>
          </w:p>
        </w:tc>
        <w:tc>
          <w:tcPr>
            <w:tcW w:type="dxa" w:w="2380"/>
          </w:tcPr>
          <w:p>
            <w:pPr>
              <w:pStyle w:val="TableTextLeft"/>
            </w:pPr>
            <w:r>
              <w:rPr>
                <w:b w:val="0"/>
              </w:rPr>
              <w:t>RefNo: &lt;Person Ref/NI No.&gt;</w:t>
            </w:r>
          </w:p>
        </w:tc>
        <w:tc>
          <w:tcPr>
            <w:tcW w:type="dxa" w:w="1600"/>
          </w:tcPr>
          <w:p>
            <w:pPr>
              <w:pStyle w:val="TableTextLeft"/>
            </w:pPr>
            <w:r>
              <w:rPr>
                <w:b w:val="0"/>
              </w:rPr>
              <w:t>Type 2 – RefNo required</w:t>
            </w:r>
          </w:p>
        </w:tc>
        <w:tc>
          <w:tcPr>
            <w:tcW w:type="dxa" w:w="2140"/>
          </w:tcPr>
          <w:p>
            <w:pPr>
              <w:pStyle w:val="TableTextLeft"/>
            </w:pPr>
            <w:r>
              <w:rPr>
                <w:b w:val="0"/>
              </w:rPr>
              <w:t>No pagination supported.</w:t>
            </w:r>
          </w:p>
        </w:tc>
      </w:tr>
      <w:tr>
        <w:tc>
          <w:tcPr>
            <w:tcW w:type="dxa" w:w="820"/>
          </w:tcPr>
          <w:p>
            <w:pPr>
              <w:pStyle w:val="TableTextLeft"/>
            </w:pPr>
            <w:r>
              <w:rPr>
                <w:b w:val="0"/>
              </w:rPr>
              <w:t>7.12</w:t>
            </w:r>
          </w:p>
        </w:tc>
        <w:tc>
          <w:tcPr>
            <w:tcW w:type="dxa" w:w="2100"/>
          </w:tcPr>
          <w:p>
            <w:pPr>
              <w:pStyle w:val="TableTextLeft"/>
            </w:pPr>
            <w:r>
              <w:rPr>
                <w:b w:val="0"/>
              </w:rPr>
              <w:t>WFM Person (Grosvenor)</w:t>
            </w:r>
          </w:p>
        </w:tc>
        <w:tc>
          <w:tcPr>
            <w:tcW w:type="dxa" w:w="1500"/>
          </w:tcPr>
          <w:p>
            <w:pPr>
              <w:pStyle w:val="TableTextLeft"/>
            </w:pPr>
            <w:r>
              <w:rPr>
                <w:b w:val="0"/>
              </w:rPr>
              <w:t>wfmper</w:t>
            </w:r>
          </w:p>
        </w:tc>
        <w:tc>
          <w:tcPr>
            <w:tcW w:type="dxa" w:w="2380"/>
          </w:tcPr>
          <w:p>
            <w:pPr>
              <w:pStyle w:val="TableTextLeft"/>
            </w:pPr>
            <w:r>
              <w:rPr>
                <w:b w:val="0"/>
              </w:rPr>
              <w:t>RefNo: &lt;Person Ref/NI No.&gt;</w:t>
            </w:r>
          </w:p>
        </w:tc>
        <w:tc>
          <w:tcPr>
            <w:tcW w:type="dxa" w:w="1600"/>
          </w:tcPr>
          <w:p>
            <w:pPr>
              <w:pStyle w:val="TableTextLeft"/>
            </w:pPr>
            <w:r>
              <w:rPr>
                <w:b w:val="0"/>
              </w:rPr>
              <w:t>Type 2 – RefNo required</w:t>
            </w:r>
          </w:p>
        </w:tc>
        <w:tc>
          <w:tcPr>
            <w:tcW w:type="dxa" w:w="2140"/>
          </w:tcPr>
          <w:p>
            <w:pPr>
              <w:pStyle w:val="TableTextLeft"/>
            </w:pPr>
            <w:r>
              <w:rPr>
                <w:b w:val="0"/>
              </w:rPr>
              <w:t>No pagination supported.</w:t>
            </w:r>
          </w:p>
        </w:tc>
      </w:tr>
      <w:tr>
        <w:tc>
          <w:tcPr>
            <w:tcW w:type="dxa" w:w="820"/>
          </w:tcPr>
          <w:p>
            <w:pPr>
              <w:pStyle w:val="TableTextLeft"/>
            </w:pPr>
            <w:r>
              <w:rPr>
                <w:b w:val="0"/>
              </w:rPr>
              <w:t>7.13</w:t>
            </w:r>
          </w:p>
        </w:tc>
        <w:tc>
          <w:tcPr>
            <w:tcW w:type="dxa" w:w="2100"/>
          </w:tcPr>
          <w:p>
            <w:pPr>
              <w:pStyle w:val="TableTextLeft"/>
            </w:pPr>
            <w:r>
              <w:rPr>
                <w:b w:val="0"/>
              </w:rPr>
              <w:t>WFM Shifts (Grosvenor)</w:t>
            </w:r>
          </w:p>
        </w:tc>
        <w:tc>
          <w:tcPr>
            <w:tcW w:type="dxa" w:w="1500"/>
          </w:tcPr>
          <w:p>
            <w:pPr>
              <w:pStyle w:val="TableTextLeft"/>
            </w:pPr>
            <w:r>
              <w:rPr>
                <w:b w:val="0"/>
              </w:rPr>
              <w:t>wfmshift</w:t>
            </w:r>
          </w:p>
        </w:tc>
        <w:tc>
          <w:tcPr>
            <w:tcW w:type="dxa" w:w="2380"/>
          </w:tcPr>
          <w:p>
            <w:pPr>
              <w:pStyle w:val="TableTextLeft"/>
            </w:pPr>
            <w:r>
              <w:rPr>
                <w:b w:val="0"/>
              </w:rPr>
              <w:t>RefNo: &lt;Roster Ref No.&gt;</w:t>
            </w:r>
          </w:p>
        </w:tc>
        <w:tc>
          <w:tcPr>
            <w:tcW w:type="dxa" w:w="1600"/>
          </w:tcPr>
          <w:p>
            <w:pPr>
              <w:pStyle w:val="TableTextLeft"/>
            </w:pPr>
            <w:r>
              <w:rPr>
                <w:b w:val="0"/>
              </w:rPr>
              <w:t>Type 2 – RefNo required</w:t>
            </w:r>
          </w:p>
        </w:tc>
        <w:tc>
          <w:tcPr>
            <w:tcW w:type="dxa" w:w="2140"/>
          </w:tcPr>
          <w:p>
            <w:pPr>
              <w:pStyle w:val="TableTextLeft"/>
            </w:pPr>
            <w:r>
              <w:rPr>
                <w:b w:val="0"/>
              </w:rPr>
              <w:t>RefNo = Roster Reference Number, not a person reference.</w:t>
            </w:r>
          </w:p>
        </w:tc>
      </w:tr>
      <w:tr>
        <w:tc>
          <w:tcPr>
            <w:tcW w:type="dxa" w:w="820"/>
          </w:tcPr>
          <w:p>
            <w:pPr>
              <w:pStyle w:val="TableTextLeft"/>
            </w:pPr>
            <w:r>
              <w:rPr>
                <w:b w:val="0"/>
              </w:rPr>
              <w:t>7.14</w:t>
            </w:r>
          </w:p>
        </w:tc>
        <w:tc>
          <w:tcPr>
            <w:tcW w:type="dxa" w:w="2100"/>
          </w:tcPr>
          <w:p>
            <w:pPr>
              <w:pStyle w:val="TableTextLeft"/>
            </w:pPr>
            <w:r>
              <w:rPr>
                <w:b w:val="0"/>
              </w:rPr>
              <w:t>Employee Record</w:t>
            </w:r>
          </w:p>
        </w:tc>
        <w:tc>
          <w:tcPr>
            <w:tcW w:type="dxa" w:w="1500"/>
          </w:tcPr>
          <w:p>
            <w:pPr>
              <w:pStyle w:val="TableTextLeft"/>
            </w:pPr>
            <w:r>
              <w:rPr>
                <w:b w:val="0"/>
              </w:rPr>
              <w:t>employee</w:t>
            </w:r>
          </w:p>
        </w:tc>
        <w:tc>
          <w:tcPr>
            <w:tcW w:type="dxa" w:w="2380"/>
          </w:tcPr>
          <w:p>
            <w:pPr>
              <w:pStyle w:val="TableTextLeft"/>
            </w:pPr>
            <w:r>
              <w:rPr>
                <w:b w:val="0"/>
              </w:rPr>
              <w:t>Size: 10</w:t>
            </w:r>
          </w:p>
        </w:tc>
        <w:tc>
          <w:tcPr>
            <w:tcW w:type="dxa" w:w="1600"/>
          </w:tcPr>
          <w:p>
            <w:pPr>
              <w:pStyle w:val="TableTextLeft"/>
            </w:pPr>
            <w:r>
              <w:rPr>
                <w:b w:val="0"/>
              </w:rPr>
              <w:t>Type 1 – Paginated</w:t>
            </w:r>
          </w:p>
        </w:tc>
        <w:tc>
          <w:tcPr>
            <w:tcW w:type="dxa" w:w="2140"/>
          </w:tcPr>
          <w:p>
            <w:pPr>
              <w:pStyle w:val="TableTextLeft"/>
            </w:pPr>
            <w:r>
              <w:rPr>
                <w:b w:val="0"/>
              </w:rPr>
              <w:t>Leave RefNo blank for top 10.</w:t>
            </w:r>
          </w:p>
        </w:tc>
      </w:tr>
      <w:tr>
        <w:tc>
          <w:tcPr>
            <w:tcW w:type="dxa" w:w="820"/>
          </w:tcPr>
          <w:p>
            <w:pPr>
              <w:pStyle w:val="TableTextLeft"/>
            </w:pPr>
            <w:r>
              <w:rPr>
                <w:b w:val="0"/>
              </w:rPr>
              <w:t>7.15</w:t>
            </w:r>
          </w:p>
        </w:tc>
        <w:tc>
          <w:tcPr>
            <w:tcW w:type="dxa" w:w="2100"/>
          </w:tcPr>
          <w:p>
            <w:pPr>
              <w:pStyle w:val="TableTextLeft"/>
            </w:pPr>
            <w:r>
              <w:rPr>
                <w:b w:val="0"/>
              </w:rPr>
              <w:t>Employee Record (Date Effective)</w:t>
            </w:r>
          </w:p>
        </w:tc>
        <w:tc>
          <w:tcPr>
            <w:tcW w:type="dxa" w:w="1500"/>
          </w:tcPr>
          <w:p>
            <w:pPr>
              <w:pStyle w:val="TableTextLeft"/>
            </w:pPr>
            <w:r>
              <w:rPr>
                <w:b w:val="0"/>
              </w:rPr>
              <w:t>employee</w:t>
            </w:r>
          </w:p>
        </w:tc>
        <w:tc>
          <w:tcPr>
            <w:tcW w:type="dxa" w:w="2380"/>
          </w:tcPr>
          <w:p>
            <w:pPr>
              <w:pStyle w:val="TableTextLeft"/>
            </w:pPr>
            <w:r>
              <w:rPr>
                <w:b w:val="0"/>
              </w:rPr>
              <w:t>RefNo: &lt;Person Ref/NI No.&gt;; EffectiveDate: e.g. 2025-05-20</w:t>
            </w:r>
          </w:p>
        </w:tc>
        <w:tc>
          <w:tcPr>
            <w:tcW w:type="dxa" w:w="1600"/>
          </w:tcPr>
          <w:p>
            <w:pPr>
              <w:pStyle w:val="TableTextLeft"/>
            </w:pPr>
            <w:r>
              <w:rPr>
                <w:b w:val="0"/>
              </w:rPr>
              <w:t>Type 2 – RefNo + EffectiveDate</w:t>
            </w:r>
          </w:p>
        </w:tc>
        <w:tc>
          <w:tcPr>
            <w:tcW w:type="dxa" w:w="2140"/>
          </w:tcPr>
          <w:p>
            <w:pPr>
              <w:pStyle w:val="TableTextLeft"/>
            </w:pPr>
            <w:r>
              <w:rPr>
                <w:b w:val="0"/>
              </w:rPr>
              <w:t>Same operation as 7.14; EffectiveDate header makes it date-effective.</w:t>
            </w:r>
          </w:p>
        </w:tc>
      </w:tr>
      <w:tr>
        <w:tc>
          <w:tcPr>
            <w:tcW w:type="dxa" w:w="820"/>
          </w:tcPr>
          <w:p>
            <w:pPr>
              <w:pStyle w:val="TableTextLeft"/>
            </w:pPr>
            <w:r>
              <w:rPr>
                <w:b w:val="0"/>
              </w:rPr>
              <w:t>7.16</w:t>
            </w:r>
          </w:p>
        </w:tc>
        <w:tc>
          <w:tcPr>
            <w:tcW w:type="dxa" w:w="2100"/>
          </w:tcPr>
          <w:p>
            <w:pPr>
              <w:pStyle w:val="TableTextLeft"/>
            </w:pPr>
            <w:r>
              <w:rPr>
                <w:b w:val="0"/>
              </w:rPr>
              <w:t>Employee Work Schedule</w:t>
            </w:r>
          </w:p>
        </w:tc>
        <w:tc>
          <w:tcPr>
            <w:tcW w:type="dxa" w:w="1500"/>
          </w:tcPr>
          <w:p>
            <w:pPr>
              <w:pStyle w:val="TableTextLeft"/>
            </w:pPr>
            <w:r>
              <w:rPr>
                <w:b w:val="0"/>
              </w:rPr>
              <w:t>empsched</w:t>
            </w:r>
          </w:p>
        </w:tc>
        <w:tc>
          <w:tcPr>
            <w:tcW w:type="dxa" w:w="2380"/>
          </w:tcPr>
          <w:p>
            <w:pPr>
              <w:pStyle w:val="TableTextLeft"/>
            </w:pPr>
            <w:r>
              <w:rPr>
                <w:b w:val="0"/>
              </w:rPr>
              <w:t>RefNo: &lt;Person Ref/NI No.&gt;</w:t>
            </w:r>
          </w:p>
        </w:tc>
        <w:tc>
          <w:tcPr>
            <w:tcW w:type="dxa" w:w="1600"/>
          </w:tcPr>
          <w:p>
            <w:pPr>
              <w:pStyle w:val="TableTextLeft"/>
            </w:pPr>
            <w:r>
              <w:rPr>
                <w:b w:val="0"/>
              </w:rPr>
              <w:t>Type 2 – RefNo required</w:t>
            </w:r>
          </w:p>
        </w:tc>
        <w:tc>
          <w:tcPr>
            <w:tcW w:type="dxa" w:w="2140"/>
          </w:tcPr>
          <w:p>
            <w:pPr>
              <w:pStyle w:val="TableTextLeft"/>
            </w:pPr>
            <w:r>
              <w:rPr>
                <w:b w:val="0"/>
              </w:rPr>
              <w:t>No pagination supported.</w:t>
            </w:r>
          </w:p>
        </w:tc>
      </w:tr>
      <w:tr>
        <w:tc>
          <w:tcPr>
            <w:tcW w:type="dxa" w:w="820"/>
          </w:tcPr>
          <w:p>
            <w:pPr>
              <w:pStyle w:val="TableTextLeft"/>
            </w:pPr>
            <w:r>
              <w:rPr>
                <w:b w:val="0"/>
              </w:rPr>
              <w:t>7.17</w:t>
            </w:r>
          </w:p>
        </w:tc>
        <w:tc>
          <w:tcPr>
            <w:tcW w:type="dxa" w:w="2100"/>
          </w:tcPr>
          <w:p>
            <w:pPr>
              <w:pStyle w:val="TableTextLeft"/>
            </w:pPr>
            <w:r>
              <w:rPr>
                <w:b w:val="0"/>
              </w:rPr>
              <w:t>Requisition Data Service v1</w:t>
            </w:r>
          </w:p>
        </w:tc>
        <w:tc>
          <w:tcPr>
            <w:tcW w:type="dxa" w:w="1500"/>
          </w:tcPr>
          <w:p>
            <w:pPr>
              <w:pStyle w:val="TableTextLeft"/>
            </w:pPr>
            <w:r>
              <w:rPr>
                <w:b w:val="0"/>
              </w:rPr>
              <w:t>requisition</w:t>
            </w:r>
          </w:p>
        </w:tc>
        <w:tc>
          <w:tcPr>
            <w:tcW w:type="dxa" w:w="2380"/>
          </w:tcPr>
          <w:p>
            <w:pPr>
              <w:pStyle w:val="TableTextLeft"/>
            </w:pPr>
            <w:r>
              <w:rPr>
                <w:b w:val="0"/>
              </w:rPr>
              <w:t>RefNo: blank = all open published requisitions</w:t>
            </w:r>
          </w:p>
        </w:tc>
        <w:tc>
          <w:tcPr>
            <w:tcW w:type="dxa" w:w="1600"/>
          </w:tcPr>
          <w:p>
            <w:pPr>
              <w:pStyle w:val="TableTextLeft"/>
            </w:pPr>
            <w:r>
              <w:rPr>
                <w:b w:val="0"/>
              </w:rPr>
              <w:t>Type 3 – Optional RefNo</w:t>
            </w:r>
          </w:p>
        </w:tc>
        <w:tc>
          <w:tcPr>
            <w:tcW w:type="dxa" w:w="2140"/>
          </w:tcPr>
          <w:p>
            <w:pPr>
              <w:pStyle w:val="TableTextLeft"/>
            </w:pPr>
            <w:r>
              <w:rPr>
                <w:b w:val="0"/>
              </w:rPr>
              <w:t>Confirmed shut down / not in use.</w:t>
            </w:r>
          </w:p>
        </w:tc>
      </w:tr>
      <w:tr>
        <w:tc>
          <w:tcPr>
            <w:tcW w:type="dxa" w:w="820"/>
          </w:tcPr>
          <w:p>
            <w:pPr>
              <w:pStyle w:val="TableTextLeft"/>
            </w:pPr>
            <w:r>
              <w:rPr>
                <w:b w:val="0"/>
              </w:rPr>
              <w:t>7.18</w:t>
            </w:r>
          </w:p>
        </w:tc>
        <w:tc>
          <w:tcPr>
            <w:tcW w:type="dxa" w:w="2100"/>
          </w:tcPr>
          <w:p>
            <w:pPr>
              <w:pStyle w:val="TableTextLeft"/>
            </w:pPr>
            <w:r>
              <w:rPr>
                <w:b w:val="0"/>
              </w:rPr>
              <w:t>Requisition Data Service v2</w:t>
            </w:r>
          </w:p>
        </w:tc>
        <w:tc>
          <w:tcPr>
            <w:tcW w:type="dxa" w:w="1500"/>
          </w:tcPr>
          <w:p>
            <w:pPr>
              <w:pStyle w:val="TableTextLeft"/>
            </w:pPr>
            <w:r>
              <w:rPr>
                <w:b w:val="0"/>
              </w:rPr>
              <w:t>requisition</w:t>
            </w:r>
          </w:p>
        </w:tc>
        <w:tc>
          <w:tcPr>
            <w:tcW w:type="dxa" w:w="2380"/>
          </w:tcPr>
          <w:p>
            <w:pPr>
              <w:pStyle w:val="TableTextLeft"/>
            </w:pPr>
            <w:r>
              <w:rPr>
                <w:b w:val="0"/>
              </w:rPr>
              <w:t>RefNo: blank = all; API-Version: 2</w:t>
            </w:r>
          </w:p>
        </w:tc>
        <w:tc>
          <w:tcPr>
            <w:tcW w:type="dxa" w:w="1600"/>
          </w:tcPr>
          <w:p>
            <w:pPr>
              <w:pStyle w:val="TableTextLeft"/>
            </w:pPr>
            <w:r>
              <w:rPr>
                <w:b w:val="0"/>
              </w:rPr>
              <w:t>Type 3 – Optional RefNo</w:t>
            </w:r>
          </w:p>
        </w:tc>
        <w:tc>
          <w:tcPr>
            <w:tcW w:type="dxa" w:w="2140"/>
          </w:tcPr>
          <w:p>
            <w:pPr>
              <w:pStyle w:val="TableTextLeft"/>
            </w:pPr>
            <w:r>
              <w:rPr>
                <w:b w:val="0"/>
              </w:rPr>
              <w:t>Same operation as 7.17; v2 returns a nested array structure.</w:t>
            </w:r>
          </w:p>
        </w:tc>
      </w:tr>
      <w:tr>
        <w:tc>
          <w:tcPr>
            <w:tcW w:type="dxa" w:w="820"/>
          </w:tcPr>
          <w:p>
            <w:pPr>
              <w:pStyle w:val="TableTextLeft"/>
            </w:pPr>
            <w:r>
              <w:rPr>
                <w:b w:val="0"/>
              </w:rPr>
              <w:t>7.19</w:t>
            </w:r>
          </w:p>
        </w:tc>
        <w:tc>
          <w:tcPr>
            <w:tcW w:type="dxa" w:w="2100"/>
          </w:tcPr>
          <w:p>
            <w:pPr>
              <w:pStyle w:val="TableTextLeft"/>
            </w:pPr>
            <w:r>
              <w:rPr>
                <w:b w:val="0"/>
              </w:rPr>
              <w:t>User Defined Fields</w:t>
            </w:r>
          </w:p>
        </w:tc>
        <w:tc>
          <w:tcPr>
            <w:tcW w:type="dxa" w:w="1500"/>
          </w:tcPr>
          <w:p>
            <w:pPr>
              <w:pStyle w:val="TableTextLeft"/>
            </w:pPr>
            <w:r>
              <w:rPr>
                <w:b w:val="0"/>
              </w:rPr>
              <w:t>get_udfs</w:t>
            </w:r>
          </w:p>
        </w:tc>
        <w:tc>
          <w:tcPr>
            <w:tcW w:type="dxa" w:w="2380"/>
          </w:tcPr>
          <w:p>
            <w:pPr>
              <w:pStyle w:val="TableTextLeft"/>
            </w:pPr>
            <w:r>
              <w:rPr>
                <w:b w:val="0"/>
              </w:rPr>
              <w:t>iTrent-UDF-ORG: NEST; iTrent-Object-Type: PERSON; iTrent-Object-Ref: &lt;Person Ref&gt;; iTrent-UDF-Category: &lt;Category ID&gt;</w:t>
            </w:r>
          </w:p>
        </w:tc>
        <w:tc>
          <w:tcPr>
            <w:tcW w:type="dxa" w:w="1600"/>
          </w:tcPr>
          <w:p>
            <w:pPr>
              <w:pStyle w:val="TableTextLeft"/>
            </w:pPr>
            <w:r>
              <w:rPr>
                <w:b w:val="0"/>
              </w:rPr>
              <w:t>Type 2 – RefNo/Category required</w:t>
            </w:r>
          </w:p>
        </w:tc>
        <w:tc>
          <w:tcPr>
            <w:tcW w:type="dxa" w:w="2140"/>
          </w:tcPr>
          <w:p>
            <w:pPr>
              <w:pStyle w:val="TableTextLeft"/>
            </w:pPr>
            <w:r>
              <w:rPr>
                <w:b w:val="0"/>
              </w:rPr>
              <w:t>Different URL endpoint (etudf001api.json). Category ID (not name) must be used – see Section 4.2.</w:t>
            </w:r>
          </w:p>
        </w:tc>
      </w:tr>
      <w:tr>
        <w:tc>
          <w:tcPr>
            <w:tcW w:type="dxa" w:w="820"/>
          </w:tcPr>
          <w:p>
            <w:pPr>
              <w:pStyle w:val="TableTextLeft"/>
            </w:pPr>
            <w:r>
              <w:rPr>
                <w:b w:val="0"/>
              </w:rPr>
              <w:t>7.20</w:t>
            </w:r>
          </w:p>
        </w:tc>
        <w:tc>
          <w:tcPr>
            <w:tcW w:type="dxa" w:w="2100"/>
          </w:tcPr>
          <w:p>
            <w:pPr>
              <w:pStyle w:val="TableTextLeft"/>
            </w:pPr>
            <w:r>
              <w:rPr>
                <w:b w:val="0"/>
              </w:rPr>
              <w:t>Grade &amp; Payscale Details</w:t>
            </w:r>
          </w:p>
        </w:tc>
        <w:tc>
          <w:tcPr>
            <w:tcW w:type="dxa" w:w="1500"/>
          </w:tcPr>
          <w:p>
            <w:pPr>
              <w:pStyle w:val="TableTextLeft"/>
            </w:pPr>
            <w:r>
              <w:rPr>
                <w:b w:val="0"/>
              </w:rPr>
              <w:t>gradepayscale</w:t>
            </w:r>
          </w:p>
        </w:tc>
        <w:tc>
          <w:tcPr>
            <w:tcW w:type="dxa" w:w="2380"/>
          </w:tcPr>
          <w:p>
            <w:pPr>
              <w:pStyle w:val="TableTextLeft"/>
            </w:pPr>
            <w:r>
              <w:rPr>
                <w:b w:val="0"/>
              </w:rPr>
              <w:t>RefNo: &lt;Person Ref/NI No.&gt;; StartDate: e.g. 2024-01-01</w:t>
            </w:r>
          </w:p>
        </w:tc>
        <w:tc>
          <w:tcPr>
            <w:tcW w:type="dxa" w:w="1600"/>
          </w:tcPr>
          <w:p>
            <w:pPr>
              <w:pStyle w:val="TableTextLeft"/>
            </w:pPr>
            <w:r>
              <w:rPr>
                <w:b w:val="0"/>
              </w:rPr>
              <w:t>Type 2 – RefNo + StartDate</w:t>
            </w:r>
          </w:p>
        </w:tc>
        <w:tc>
          <w:tcPr>
            <w:tcW w:type="dxa" w:w="2140"/>
          </w:tcPr>
          <w:p>
            <w:pPr>
              <w:pStyle w:val="TableTextLeft"/>
            </w:pPr>
            <w:r>
              <w:rPr>
                <w:b w:val="0"/>
              </w:rPr>
              <w:t>Open item – see Section 5. StartDate is always required.</w:t>
            </w:r>
          </w:p>
        </w:tc>
      </w:tr>
    </w:tbl>
    <w:sdt>
      <w:sdtPr>
        <w:alias w:val="Locked Back Page"/>
        <w:tag w:val="Locked Back Page"/>
        <w:id w:val="296034500"/>
        <w:lock w:val="sdtLocked"/>
        <w:placeholder>
          <w:docPart w:val="DefaultPlaceholder_-1854013440"/>
        </w:placeholder>
      </w:sdtPr>
      <w:sdtEndPr/>
      <w:sdtContent>
        <w:p w14:paraId="3835249A" w14:textId="3A27180D" w:rsidR="00B62D46" w:rsidRDefault="00B62D46" w:rsidP="001F03E2"/>
        <w:p w14:paraId="706E5F28" w14:textId="00578F74" w:rsidR="00B62D46" w:rsidRDefault="002E165D" w:rsidP="001F03E2">
          <w:pPr>
            <w:sectPr w:rsidR="00B62D46" w:rsidSect="00D80999">
              <w:headerReference w:type="default" r:id="rId20"/>
              <w:footerReference w:type="default" r:id="rId21"/>
              <w:pgSz w:w="11906" w:h="16838" w:code="9"/>
              <w:pgMar w:top="1588" w:right="680" w:bottom="1361" w:left="1588" w:header="680" w:footer="624" w:gutter="0"/>
              <w:cols w:space="708"/>
              <w:docGrid w:linePitch="360"/>
            </w:sectPr>
          </w:pPr>
        </w:p>
      </w:sdtContent>
    </w:sdt>
    <w:tbl>
      <w:tblPr>
        <w:tblW w:w="0" w:type="auto"/>
        <w:tblLayout w:type="fixed"/>
        <w:tblCellMar>
          <w:left w:w="0" w:type="dxa"/>
          <w:right w:w="0" w:type="dxa"/>
        </w:tblCellMar>
        <w:tblLook w:val="04A0" w:firstRow="1" w:lastRow="0" w:firstColumn="1" w:lastColumn="0" w:noHBand="0" w:noVBand="1"/>
      </w:tblPr>
      <w:tblGrid>
        <w:gridCol w:w="6096"/>
        <w:gridCol w:w="4433"/>
      </w:tblGrid>
      <w:tr w:rsidR="00C971A1" w14:paraId="556163CE" w14:textId="77777777" w:rsidTr="00C971A1">
        <w:trPr>
          <w:trHeight w:val="13153"/>
        </w:trPr>
        <w:tc>
          <w:tcPr>
            <w:tcW w:w="6096" w:type="dxa"/>
            <w:vAlign w:val="bottom"/>
          </w:tcPr>
          <w:p w14:paraId="16DC2A69" w14:textId="77777777" w:rsidR="00C971A1" w:rsidRPr="007267C1" w:rsidRDefault="00C971A1" w:rsidP="00C41D9C">
            <w:pPr>
              <w:pStyle w:val="NoSpacing"/>
              <w:rPr>
                <w:color w:val="FFFFFF" w:themeColor="background1"/>
                <w:sz w:val="24"/>
              </w:rPr>
            </w:pPr>
            <w:r w:rsidRPr="007267C1">
              <w:rPr>
                <w:color w:val="FFFFFF" w:themeColor="background1"/>
                <w:sz w:val="24"/>
              </w:rPr>
              <w:lastRenderedPageBreak/>
              <w:t xml:space="preserve">Nest Corporation </w:t>
            </w:r>
          </w:p>
          <w:p w14:paraId="1753BCB6" w14:textId="77777777" w:rsidR="00C971A1" w:rsidRDefault="00C971A1" w:rsidP="00C41D9C">
            <w:pPr>
              <w:pStyle w:val="NoSpacing"/>
              <w:rPr>
                <w:color w:val="FFFFFF" w:themeColor="background1"/>
                <w:sz w:val="24"/>
              </w:rPr>
            </w:pPr>
            <w:r w:rsidRPr="007267C1">
              <w:rPr>
                <w:color w:val="FFFFFF" w:themeColor="background1"/>
                <w:sz w:val="24"/>
              </w:rPr>
              <w:t xml:space="preserve">10 South Colonnade </w:t>
            </w:r>
          </w:p>
          <w:p w14:paraId="027B5F4C" w14:textId="77777777" w:rsidR="00C971A1" w:rsidRDefault="00C971A1" w:rsidP="00C41D9C">
            <w:pPr>
              <w:pStyle w:val="NoSpacing"/>
              <w:rPr>
                <w:color w:val="FFFFFF" w:themeColor="background1"/>
                <w:sz w:val="24"/>
              </w:rPr>
            </w:pPr>
            <w:r w:rsidRPr="007267C1">
              <w:rPr>
                <w:color w:val="FFFFFF" w:themeColor="background1"/>
                <w:sz w:val="24"/>
              </w:rPr>
              <w:t xml:space="preserve">Canary Wharf </w:t>
            </w:r>
          </w:p>
          <w:p w14:paraId="52039D88" w14:textId="77777777" w:rsidR="00C971A1" w:rsidRDefault="00C971A1" w:rsidP="00C41D9C">
            <w:pPr>
              <w:pStyle w:val="NoSpacing"/>
              <w:rPr>
                <w:color w:val="FFFFFF" w:themeColor="background1"/>
                <w:sz w:val="24"/>
              </w:rPr>
            </w:pPr>
            <w:r w:rsidRPr="007267C1">
              <w:rPr>
                <w:color w:val="FFFFFF" w:themeColor="background1"/>
                <w:sz w:val="24"/>
              </w:rPr>
              <w:t>London, E14 4P</w:t>
            </w:r>
            <w:r>
              <w:rPr>
                <w:color w:val="FFFFFF" w:themeColor="background1"/>
                <w:sz w:val="24"/>
              </w:rPr>
              <w:t>Z</w:t>
            </w:r>
          </w:p>
          <w:p w14:paraId="6FBF49B7" w14:textId="77777777" w:rsidR="00C971A1" w:rsidRPr="007267C1" w:rsidRDefault="00C971A1" w:rsidP="00C41D9C">
            <w:pPr>
              <w:pStyle w:val="NoSpacing"/>
              <w:rPr>
                <w:color w:val="FFFFFF" w:themeColor="background1"/>
                <w:sz w:val="24"/>
              </w:rPr>
            </w:pPr>
          </w:p>
          <w:p w14:paraId="187BE420" w14:textId="77777777" w:rsidR="00C971A1" w:rsidRPr="00EA5C1A" w:rsidRDefault="002E165D" w:rsidP="00C41D9C">
            <w:pPr>
              <w:pStyle w:val="NoSpacing"/>
              <w:rPr>
                <w:b/>
                <w:color w:val="FFFFFF" w:themeColor="background1"/>
                <w:sz w:val="24"/>
              </w:rPr>
            </w:pPr>
            <w:hyperlink r:id="rId22" w:history="1">
              <w:r w:rsidR="00C971A1" w:rsidRPr="00EA5C1A">
                <w:rPr>
                  <w:rStyle w:val="Hyperlink"/>
                  <w:color w:val="FFFFFF" w:themeColor="background1"/>
                  <w:sz w:val="28"/>
                </w:rPr>
                <w:t>nestpensions.org.uk</w:t>
              </w:r>
            </w:hyperlink>
          </w:p>
        </w:tc>
        <w:tc>
          <w:tcPr>
            <w:tcW w:w="4433" w:type="dxa"/>
            <w:vAlign w:val="bottom"/>
          </w:tcPr>
          <w:p w14:paraId="63EB4FCD" w14:textId="77777777" w:rsidR="00C971A1" w:rsidRPr="008805ED" w:rsidRDefault="00C971A1" w:rsidP="00C41D9C">
            <w:pPr>
              <w:pStyle w:val="NoSpacing"/>
              <w:jc w:val="right"/>
              <w:rPr>
                <w:color w:val="FF7882"/>
                <w:sz w:val="16"/>
              </w:rPr>
            </w:pPr>
            <w:r w:rsidRPr="008805ED">
              <w:rPr>
                <w:color w:val="FF7882"/>
                <w:sz w:val="16"/>
              </w:rPr>
              <w:t>&lt;publishing number&gt;</w:t>
            </w:r>
          </w:p>
        </w:tc>
      </w:tr>
      <w:bookmarkEnd w:id="30"/>
    </w:tbl>
    <w:p w14:paraId="4EA357EF" w14:textId="77777777" w:rsidR="000672FB" w:rsidRDefault="000672FB" w:rsidP="00C971A1">
      <w:pPr>
        <w:pStyle w:val="Spacer"/>
      </w:pPr>
    </w:p>
    <w:sectPr w:rsidR="000672FB" w:rsidSect="00C971A1">
      <w:headerReference w:type="default" r:id="rId23"/>
      <w:footerReference w:type="default" r:id="rId24"/>
      <w:pgSz w:w="11906" w:h="16838" w:code="9"/>
      <w:pgMar w:top="2948" w:right="680" w:bottom="680" w:left="68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A10B1" w14:textId="77777777" w:rsidR="003F2A3F" w:rsidRDefault="003F2A3F" w:rsidP="00540F52">
      <w:r>
        <w:separator/>
      </w:r>
    </w:p>
  </w:endnote>
  <w:endnote w:type="continuationSeparator" w:id="0">
    <w:p w14:paraId="7CC5CF19" w14:textId="77777777" w:rsidR="003F2A3F" w:rsidRDefault="003F2A3F" w:rsidP="00540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n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264CE" w14:textId="77777777" w:rsidR="000B7BEB" w:rsidRDefault="000B7B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857FD" w14:textId="35F10F10" w:rsidR="00600F08" w:rsidRPr="00EA5C1A" w:rsidRDefault="00600F08">
    <w:pPr>
      <w:pStyle w:val="Footer"/>
      <w:rPr>
        <w:b/>
        <w:color w:val="FFFFFF" w:themeColor="background1"/>
        <w:sz w:val="28"/>
      </w:rPr>
    </w:pPr>
    <w:r>
      <w:rPr>
        <w:noProof/>
      </w:rPr>
      <mc:AlternateContent>
        <mc:Choice Requires="wps">
          <w:drawing>
            <wp:anchor distT="0" distB="0" distL="114300" distR="114300" simplePos="0" relativeHeight="251702270" behindDoc="0" locked="1" layoutInCell="1" allowOverlap="1" wp14:anchorId="7BDBA5E9" wp14:editId="283D48DC">
              <wp:simplePos x="0" y="0"/>
              <wp:positionH relativeFrom="page">
                <wp:posOffset>2157095</wp:posOffset>
              </wp:positionH>
              <wp:positionV relativeFrom="page">
                <wp:posOffset>3084195</wp:posOffset>
              </wp:positionV>
              <wp:extent cx="5400000" cy="7631430"/>
              <wp:effectExtent l="0" t="0" r="10795" b="7620"/>
              <wp:wrapNone/>
              <wp:docPr id="75" name="OverlapPicture_Holder"/>
              <wp:cNvGraphicFramePr/>
              <a:graphic xmlns:a="http://schemas.openxmlformats.org/drawingml/2006/main">
                <a:graphicData uri="http://schemas.microsoft.com/office/word/2010/wordprocessingShape">
                  <wps:wsp>
                    <wps:cNvSpPr/>
                    <wps:spPr>
                      <a:xfrm>
                        <a:off x="0" y="0"/>
                        <a:ext cx="5400000" cy="76314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11907" w:type="dxa"/>
                            <w:tblLayout w:type="fixed"/>
                            <w:tblCellMar>
                              <w:left w:w="0" w:type="dxa"/>
                              <w:right w:w="0" w:type="dxa"/>
                            </w:tblCellMar>
                            <w:tblLook w:val="04A0" w:firstRow="1" w:lastRow="0" w:firstColumn="1" w:lastColumn="0" w:noHBand="0" w:noVBand="1"/>
                          </w:tblPr>
                          <w:tblGrid>
                            <w:gridCol w:w="11907"/>
                          </w:tblGrid>
                          <w:tr w:rsidR="00600F08" w14:paraId="6E410C79" w14:textId="77777777" w:rsidTr="005D79D2">
                            <w:trPr>
                              <w:cantSplit/>
                              <w:trHeight w:hRule="exact" w:val="12019"/>
                            </w:trPr>
                            <w:tc>
                              <w:tcPr>
                                <w:tcW w:w="9862" w:type="dxa"/>
                                <w:vAlign w:val="bottom"/>
                              </w:tcPr>
                              <w:p w14:paraId="1D194A38" w14:textId="77777777" w:rsidR="00600F08" w:rsidRDefault="00600F08" w:rsidP="005D79D2"/>
                            </w:tc>
                          </w:tr>
                        </w:tbl>
                        <w:p w14:paraId="50887EC2" w14:textId="77777777" w:rsidR="00600F08" w:rsidRPr="008F78B7" w:rsidRDefault="00600F08" w:rsidP="005D79D2">
                          <w:pPr>
                            <w:spacing w:before="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BA5E9" id="OverlapPicture_Holder" o:spid="_x0000_s1026" style="position:absolute;margin-left:169.85pt;margin-top:242.85pt;width:425.2pt;height:600.9pt;z-index:25170227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" filled="f" stroked="f" strokeweight="1pt">
              <v:textbox inset="0,0,0,0">
                <w:txbxContent>
                  <w:tbl>
                    <w:tblPr>
                      <w:tblW w:w="11907" w:type="dxa"/>
                      <w:tblLayout w:type="fixed"/>
                      <w:tblCellMar>
                        <w:left w:w="0" w:type="dxa"/>
                        <w:right w:w="0" w:type="dxa"/>
                      </w:tblCellMar>
                      <w:tblLook w:val="04A0" w:firstRow="1" w:lastRow="0" w:firstColumn="1" w:lastColumn="0" w:noHBand="0" w:noVBand="1"/>
                    </w:tblPr>
                    <w:tblGrid>
                      <w:gridCol w:w="11907"/>
                    </w:tblGrid>
                    <w:tr w:rsidR="00600F08" w14:paraId="6E410C79" w14:textId="77777777" w:rsidTr="005D79D2">
                      <w:trPr>
                        <w:cantSplit/>
                        <w:trHeight w:hRule="exact" w:val="12019"/>
                      </w:trPr>
                      <w:tc>
                        <w:tcPr>
                          <w:tcW w:w="9862" w:type="dxa"/>
                          <w:vAlign w:val="bottom"/>
                        </w:tcPr>
                        <w:p w14:paraId="1D194A38" w14:textId="77777777" w:rsidR="00600F08" w:rsidRDefault="00600F08" w:rsidP="005D79D2"/>
                      </w:tc>
                    </w:tr>
                  </w:tbl>
                  <w:p w14:paraId="50887EC2" w14:textId="77777777" w:rsidR="00600F08" w:rsidRPr="008F78B7" w:rsidRDefault="00600F08" w:rsidP="005D79D2">
                    <w:pPr>
                      <w:spacing w:before="0"/>
                      <w:rPr>
                        <w:sz w:val="2"/>
                        <w:szCs w:val="2"/>
                      </w:rPr>
                    </w:pPr>
                  </w:p>
                </w:txbxContent>
              </v:textbox>
              <w10:wrap anchorx="page" anchory="page"/>
              <w10:anchorlock/>
            </v:rect>
          </w:pict>
        </mc:Fallback>
      </mc:AlternateContent>
    </w:r>
    <w:r>
      <w:rPr>
        <w:noProof/>
      </w:rPr>
      <mc:AlternateContent>
        <mc:Choice Requires="wps">
          <w:drawing>
            <wp:anchor distT="0" distB="0" distL="114300" distR="114300" simplePos="0" relativeHeight="251692542" behindDoc="0" locked="1" layoutInCell="1" allowOverlap="1" wp14:anchorId="621471A0" wp14:editId="17FB7748">
              <wp:simplePos x="0" y="0"/>
              <wp:positionH relativeFrom="page">
                <wp:posOffset>0</wp:posOffset>
              </wp:positionH>
              <wp:positionV relativeFrom="page">
                <wp:posOffset>3079750</wp:posOffset>
              </wp:positionV>
              <wp:extent cx="7559675" cy="7631430"/>
              <wp:effectExtent l="0" t="0" r="3175" b="7620"/>
              <wp:wrapNone/>
              <wp:docPr id="74" name="Picture_Holder"/>
              <wp:cNvGraphicFramePr/>
              <a:graphic xmlns:a="http://schemas.openxmlformats.org/drawingml/2006/main">
                <a:graphicData uri="http://schemas.microsoft.com/office/word/2010/wordprocessingShape">
                  <wps:wsp>
                    <wps:cNvSpPr/>
                    <wps:spPr>
                      <a:xfrm>
                        <a:off x="0" y="0"/>
                        <a:ext cx="7559675" cy="76314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11907" w:type="dxa"/>
                            <w:tblLayout w:type="fixed"/>
                            <w:tblCellMar>
                              <w:left w:w="0" w:type="dxa"/>
                              <w:right w:w="0" w:type="dxa"/>
                            </w:tblCellMar>
                            <w:tblLook w:val="04A0" w:firstRow="1" w:lastRow="0" w:firstColumn="1" w:lastColumn="0" w:noHBand="0" w:noVBand="1"/>
                          </w:tblPr>
                          <w:tblGrid>
                            <w:gridCol w:w="11907"/>
                          </w:tblGrid>
                          <w:tr w:rsidR="00600F08" w14:paraId="7D9CE473" w14:textId="77777777" w:rsidTr="005D79D2">
                            <w:trPr>
                              <w:cantSplit/>
                              <w:trHeight w:hRule="exact" w:val="12019"/>
                            </w:trPr>
                            <w:tc>
                              <w:tcPr>
                                <w:tcW w:w="9862" w:type="dxa"/>
                                <w:vAlign w:val="bottom"/>
                              </w:tcPr>
                              <w:p w14:paraId="6237469D" w14:textId="77777777" w:rsidR="00600F08" w:rsidRDefault="00600F08" w:rsidP="005D79D2"/>
                            </w:tc>
                          </w:tr>
                        </w:tbl>
                        <w:p w14:paraId="06F513CE" w14:textId="77777777" w:rsidR="00600F08" w:rsidRPr="008F78B7" w:rsidRDefault="00600F08" w:rsidP="00D60544">
                          <w:pPr>
                            <w:spacing w:before="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471A0" id="Picture_Holder" o:spid="_x0000_s1027" style="position:absolute;margin-left:0;margin-top:242.5pt;width:595.25pt;height:600.9pt;z-index:2516925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" filled="f" stroked="f" strokeweight="1pt">
              <v:textbox inset="0,0,0,0">
                <w:txbxContent>
                  <w:tbl>
                    <w:tblPr>
                      <w:tblW w:w="11907" w:type="dxa"/>
                      <w:tblLayout w:type="fixed"/>
                      <w:tblCellMar>
                        <w:left w:w="0" w:type="dxa"/>
                        <w:right w:w="0" w:type="dxa"/>
                      </w:tblCellMar>
                      <w:tblLook w:val="04A0" w:firstRow="1" w:lastRow="0" w:firstColumn="1" w:lastColumn="0" w:noHBand="0" w:noVBand="1"/>
                    </w:tblPr>
                    <w:tblGrid>
                      <w:gridCol w:w="11907"/>
                    </w:tblGrid>
                    <w:tr w:rsidR="00600F08" w14:paraId="7D9CE473" w14:textId="77777777" w:rsidTr="005D79D2">
                      <w:trPr>
                        <w:cantSplit/>
                        <w:trHeight w:hRule="exact" w:val="12019"/>
                      </w:trPr>
                      <w:tc>
                        <w:tcPr>
                          <w:tcW w:w="9862" w:type="dxa"/>
                          <w:vAlign w:val="bottom"/>
                        </w:tcPr>
                        <w:p w14:paraId="6237469D" w14:textId="77777777" w:rsidR="00600F08" w:rsidRDefault="00600F08" w:rsidP="005D79D2"/>
                      </w:tc>
                    </w:tr>
                  </w:tbl>
                  <w:p w14:paraId="06F513CE" w14:textId="77777777" w:rsidR="00600F08" w:rsidRPr="008F78B7" w:rsidRDefault="00600F08" w:rsidP="00D60544">
                    <w:pPr>
                      <w:spacing w:before="0"/>
                      <w:rPr>
                        <w:sz w:val="2"/>
                        <w:szCs w:val="2"/>
                      </w:rPr>
                    </w:pPr>
                  </w:p>
                </w:txbxContent>
              </v:textbox>
              <w10:wrap anchorx="page" anchory="page"/>
              <w10:anchorlock/>
            </v:rect>
          </w:pict>
        </mc:Fallback>
      </mc:AlternateContent>
    </w:r>
    <w:hyperlink r:id="rId1" w:history="1">
      <w:r w:rsidRPr="00EA5C1A">
        <w:rPr>
          <w:rStyle w:val="Hyperlink"/>
          <w:color w:val="FFFFFF" w:themeColor="background1"/>
          <w:sz w:val="28"/>
        </w:rPr>
        <w:t>nestpensions.org.uk</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AA4B5" w14:textId="77777777" w:rsidR="00600F08" w:rsidRPr="002110DB" w:rsidRDefault="00600F08">
    <w:pPr>
      <w:pStyle w:val="Footer"/>
      <w:rPr>
        <w:b/>
        <w:color w:val="FFFFFF" w:themeColor="background1"/>
        <w:sz w:val="28"/>
      </w:rPr>
    </w:pPr>
    <w:r w:rsidRPr="002110DB">
      <w:rPr>
        <w:b/>
        <w:color w:val="FFFFFF" w:themeColor="background1"/>
        <w:sz w:val="28"/>
      </w:rPr>
      <w:t>nestpensions.org.uk</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681" w:tblpY="15990"/>
      <w:tblOverlap w:val="never"/>
      <w:tblW w:w="10545" w:type="dxa"/>
      <w:tblBorders>
        <w:top w:val="single" w:sz="2" w:space="0" w:color="28465F"/>
      </w:tblBorders>
      <w:tblLayout w:type="fixed"/>
      <w:tblCellMar>
        <w:left w:w="0" w:type="dxa"/>
        <w:right w:w="0" w:type="dxa"/>
      </w:tblCellMar>
      <w:tblLook w:val="04A0" w:firstRow="1" w:lastRow="0" w:firstColumn="1" w:lastColumn="0" w:noHBand="0" w:noVBand="1"/>
    </w:tblPr>
    <w:tblGrid>
      <w:gridCol w:w="9072"/>
      <w:gridCol w:w="1473"/>
    </w:tblGrid>
    <w:tr w:rsidR="00600F08" w14:paraId="52A06105" w14:textId="77777777" w:rsidTr="00187190">
      <w:trPr>
        <w:trHeight w:val="283"/>
      </w:trPr>
      <w:tc>
        <w:tcPr>
          <w:tcW w:w="9072" w:type="dxa"/>
          <w:vAlign w:val="bottom"/>
        </w:tcPr>
        <w:p w14:paraId="2EC6FFE3" w14:textId="42AA567F" w:rsidR="00600F08" w:rsidRDefault="00600F08" w:rsidP="00E0645B">
          <w:pPr>
            <w:pStyle w:val="Footer"/>
            <w:tabs>
              <w:tab w:val="left" w:pos="0"/>
              <w:tab w:val="right" w:pos="10538"/>
            </w:tabs>
          </w:pPr>
          <w:r w:rsidRPr="00A50E6B">
            <w:rPr>
              <w:b/>
              <w:bCs/>
            </w:rPr>
            <w:t>Nest</w:t>
          </w:r>
          <w:r>
            <w:t xml:space="preserve"> </w:t>
          </w:r>
          <w:r w:rsidRPr="00E47272">
            <w:rPr>
              <w:rFonts w:asciiTheme="majorHAnsi" w:hAnsiTheme="majorHAnsi"/>
            </w:rPr>
            <w:fldChar w:fldCharType="begin"/>
          </w:r>
          <w:r w:rsidRPr="00E47272">
            <w:rPr>
              <w:rFonts w:asciiTheme="majorHAnsi" w:hAnsiTheme="majorHAnsi"/>
            </w:rPr>
            <w:instrText xml:space="preserve"> IF "</w:instrText>
          </w:r>
          <w:r>
            <w:fldChar w:fldCharType="begin"/>
          </w:r>
          <w:r>
            <w:instrText xml:space="preserve"> STYLEREF  "</w:instrText>
          </w:r>
          <w:r w:rsidRPr="0094513F">
            <w:instrText>±CoverTitle</w:instrText>
          </w:r>
          <w:r>
            <w:instrText xml:space="preserve">" </w:instrText>
          </w:r>
          <w:r>
            <w:fldChar w:fldCharType="separate"/>
          </w:r>
          <w:r w:rsidR="002E165D">
            <w:rPr>
              <w:noProof/>
            </w:rPr>
            <w:instrText>&lt;Insert cover page title&gt;</w:instrText>
          </w:r>
          <w:r>
            <w:fldChar w:fldCharType="end"/>
          </w:r>
          <w:r w:rsidRPr="00E47272">
            <w:rPr>
              <w:rFonts w:asciiTheme="majorHAnsi" w:hAnsiTheme="majorHAnsi"/>
              <w:noProof/>
            </w:rPr>
            <w:instrText>"</w:instrText>
          </w:r>
          <w:r w:rsidRPr="00E47272">
            <w:rPr>
              <w:rFonts w:asciiTheme="majorHAnsi" w:hAnsiTheme="majorHAnsi"/>
            </w:rPr>
            <w:instrText xml:space="preserve"> = "Error*" "" "</w:instrText>
          </w:r>
          <w:r>
            <w:fldChar w:fldCharType="begin"/>
          </w:r>
          <w:r>
            <w:instrText xml:space="preserve"> STYLEREF  "</w:instrText>
          </w:r>
          <w:r w:rsidRPr="0094513F">
            <w:instrText>±CoverTitle</w:instrText>
          </w:r>
          <w:r>
            <w:instrText xml:space="preserve">" </w:instrText>
          </w:r>
          <w:r>
            <w:fldChar w:fldCharType="separate"/>
          </w:r>
          <w:r w:rsidR="002E165D">
            <w:rPr>
              <w:noProof/>
            </w:rPr>
            <w:instrText>&lt;Insert cover page title&gt;</w:instrText>
          </w:r>
          <w:r>
            <w:fldChar w:fldCharType="end"/>
          </w:r>
          <w:r w:rsidRPr="00E47272">
            <w:rPr>
              <w:rFonts w:asciiTheme="majorHAnsi" w:hAnsiTheme="majorHAnsi"/>
            </w:rPr>
            <w:instrText xml:space="preserve">" </w:instrText>
          </w:r>
          <w:r w:rsidRPr="00E47272">
            <w:rPr>
              <w:rFonts w:asciiTheme="majorHAnsi" w:hAnsiTheme="majorHAnsi"/>
            </w:rPr>
            <w:fldChar w:fldCharType="separate"/>
          </w:r>
          <w:r w:rsidR="002E165D">
            <w:rPr>
              <w:noProof/>
            </w:rPr>
            <w:t>&lt;Insert cover page title&gt;</w:t>
          </w:r>
          <w:r w:rsidRPr="00E47272">
            <w:rPr>
              <w:rFonts w:asciiTheme="majorHAnsi" w:hAnsiTheme="majorHAnsi"/>
            </w:rPr>
            <w:fldChar w:fldCharType="end"/>
          </w:r>
        </w:p>
      </w:tc>
      <w:tc>
        <w:tcPr>
          <w:tcW w:w="1473" w:type="dxa"/>
          <w:vAlign w:val="bottom"/>
        </w:tcPr>
        <w:p w14:paraId="23536D9A" w14:textId="77777777" w:rsidR="00600F08" w:rsidRDefault="00600F08" w:rsidP="00E0645B">
          <w:pPr>
            <w:pStyle w:val="Footer"/>
            <w:tabs>
              <w:tab w:val="left" w:pos="0"/>
              <w:tab w:val="right" w:pos="10538"/>
            </w:tabs>
            <w:jc w:val="right"/>
          </w:pPr>
          <w:r w:rsidRPr="003166E3">
            <w:rPr>
              <w:b/>
            </w:rPr>
            <w:fldChar w:fldCharType="begin"/>
          </w:r>
          <w:r w:rsidRPr="003166E3">
            <w:rPr>
              <w:b/>
            </w:rPr>
            <w:instrText xml:space="preserve"> PAGE  \* Arabic </w:instrText>
          </w:r>
          <w:r w:rsidRPr="003166E3">
            <w:rPr>
              <w:b/>
            </w:rPr>
            <w:fldChar w:fldCharType="separate"/>
          </w:r>
          <w:r>
            <w:rPr>
              <w:b/>
            </w:rPr>
            <w:t>6</w:t>
          </w:r>
          <w:r w:rsidRPr="003166E3">
            <w:rPr>
              <w:b/>
            </w:rPr>
            <w:fldChar w:fldCharType="end"/>
          </w:r>
          <w:r w:rsidRPr="003166E3">
            <w:rPr>
              <w:b/>
            </w:rPr>
            <w:t xml:space="preserve"> of </w:t>
          </w:r>
          <w:r w:rsidRPr="003166E3">
            <w:rPr>
              <w:b/>
            </w:rPr>
            <w:fldChar w:fldCharType="begin"/>
          </w:r>
          <w:r w:rsidRPr="003166E3">
            <w:rPr>
              <w:b/>
            </w:rPr>
            <w:instrText xml:space="preserve"> NUMPAGES  \* Arabic </w:instrText>
          </w:r>
          <w:r w:rsidRPr="003166E3">
            <w:rPr>
              <w:b/>
            </w:rPr>
            <w:fldChar w:fldCharType="separate"/>
          </w:r>
          <w:r>
            <w:rPr>
              <w:b/>
            </w:rPr>
            <w:t>8</w:t>
          </w:r>
          <w:r w:rsidRPr="003166E3">
            <w:rPr>
              <w:b/>
            </w:rPr>
            <w:fldChar w:fldCharType="end"/>
          </w:r>
        </w:p>
      </w:tc>
    </w:tr>
  </w:tbl>
  <w:p w14:paraId="6DB6DFDF" w14:textId="77777777" w:rsidR="00600F08" w:rsidRDefault="00600F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681" w:tblpY="15990"/>
      <w:tblOverlap w:val="never"/>
      <w:tblW w:w="10545" w:type="dxa"/>
      <w:tblBorders>
        <w:top w:val="single" w:sz="2" w:space="0" w:color="28465F"/>
      </w:tblBorders>
      <w:tblLayout w:type="fixed"/>
      <w:tblCellMar>
        <w:left w:w="0" w:type="dxa"/>
        <w:right w:w="0" w:type="dxa"/>
      </w:tblCellMar>
      <w:tblLook w:val="04A0" w:firstRow="1" w:lastRow="0" w:firstColumn="1" w:lastColumn="0" w:noHBand="0" w:noVBand="1"/>
    </w:tblPr>
    <w:tblGrid>
      <w:gridCol w:w="9072"/>
      <w:gridCol w:w="1473"/>
    </w:tblGrid>
    <w:tr w:rsidR="00600F08" w14:paraId="51B56EAB" w14:textId="77777777" w:rsidTr="00187190">
      <w:trPr>
        <w:trHeight w:val="283"/>
      </w:trPr>
      <w:tc>
        <w:tcPr>
          <w:tcW w:w="9072" w:type="dxa"/>
          <w:vAlign w:val="bottom"/>
        </w:tcPr>
        <w:p w14:paraId="589D1C70" w14:textId="450FED83" w:rsidR="00600F08" w:rsidRDefault="00600F08" w:rsidP="00E0645B">
          <w:pPr>
            <w:pStyle w:val="Footer"/>
            <w:tabs>
              <w:tab w:val="left" w:pos="0"/>
              <w:tab w:val="right" w:pos="10538"/>
            </w:tabs>
          </w:pPr>
          <w:r w:rsidRPr="00A50E6B">
            <w:rPr>
              <w:b/>
              <w:bCs/>
            </w:rPr>
            <w:t>Nest</w:t>
          </w:r>
          <w:r>
            <w:t xml:space="preserve"> </w:t>
          </w:r>
          <w:r w:rsidRPr="00E47272">
            <w:rPr>
              <w:rFonts w:asciiTheme="majorHAnsi" w:hAnsiTheme="majorHAnsi"/>
            </w:rPr>
            <w:fldChar w:fldCharType="begin"/>
          </w:r>
          <w:r w:rsidRPr="00E47272">
            <w:rPr>
              <w:rFonts w:asciiTheme="majorHAnsi" w:hAnsiTheme="majorHAnsi"/>
            </w:rPr>
            <w:instrText xml:space="preserve"> IF "</w:instrText>
          </w:r>
          <w:r>
            <w:fldChar w:fldCharType="begin"/>
          </w:r>
          <w:r>
            <w:instrText xml:space="preserve"> STYLEREF  "</w:instrText>
          </w:r>
          <w:r w:rsidRPr="0094513F">
            <w:instrText>±CoverTitle</w:instrText>
          </w:r>
          <w:r>
            <w:instrText xml:space="preserve">" </w:instrText>
          </w:r>
          <w:r>
            <w:fldChar w:fldCharType="separate"/>
          </w:r>
          <w:r w:rsidR="002E165D">
            <w:rPr>
              <w:noProof/>
            </w:rPr>
            <w:instrText>&lt;Insert cover page title&gt;</w:instrText>
          </w:r>
          <w:r>
            <w:fldChar w:fldCharType="end"/>
          </w:r>
          <w:r w:rsidRPr="00E47272">
            <w:rPr>
              <w:rFonts w:asciiTheme="majorHAnsi" w:hAnsiTheme="majorHAnsi"/>
              <w:noProof/>
            </w:rPr>
            <w:instrText>"</w:instrText>
          </w:r>
          <w:r w:rsidRPr="00E47272">
            <w:rPr>
              <w:rFonts w:asciiTheme="majorHAnsi" w:hAnsiTheme="majorHAnsi"/>
            </w:rPr>
            <w:instrText xml:space="preserve"> = "Error*" "" "</w:instrText>
          </w:r>
          <w:r>
            <w:fldChar w:fldCharType="begin"/>
          </w:r>
          <w:r>
            <w:instrText xml:space="preserve"> STYLEREF  "</w:instrText>
          </w:r>
          <w:r w:rsidRPr="0094513F">
            <w:instrText>±CoverTitle</w:instrText>
          </w:r>
          <w:r>
            <w:instrText xml:space="preserve">" </w:instrText>
          </w:r>
          <w:r>
            <w:fldChar w:fldCharType="separate"/>
          </w:r>
          <w:r w:rsidR="002E165D">
            <w:rPr>
              <w:noProof/>
            </w:rPr>
            <w:instrText>&lt;Insert cover page title&gt;</w:instrText>
          </w:r>
          <w:r>
            <w:fldChar w:fldCharType="end"/>
          </w:r>
          <w:r w:rsidRPr="00E47272">
            <w:rPr>
              <w:rFonts w:asciiTheme="majorHAnsi" w:hAnsiTheme="majorHAnsi"/>
            </w:rPr>
            <w:instrText xml:space="preserve">" </w:instrText>
          </w:r>
          <w:r w:rsidRPr="00E47272">
            <w:rPr>
              <w:rFonts w:asciiTheme="majorHAnsi" w:hAnsiTheme="majorHAnsi"/>
            </w:rPr>
            <w:fldChar w:fldCharType="separate"/>
          </w:r>
          <w:r w:rsidR="002E165D">
            <w:rPr>
              <w:noProof/>
            </w:rPr>
            <w:t>&lt;Insert cover page title&gt;</w:t>
          </w:r>
          <w:r w:rsidRPr="00E47272">
            <w:rPr>
              <w:rFonts w:asciiTheme="majorHAnsi" w:hAnsiTheme="majorHAnsi"/>
            </w:rPr>
            <w:fldChar w:fldCharType="end"/>
          </w:r>
        </w:p>
      </w:tc>
      <w:tc>
        <w:tcPr>
          <w:tcW w:w="1473" w:type="dxa"/>
          <w:vAlign w:val="bottom"/>
        </w:tcPr>
        <w:p w14:paraId="1E58DA25" w14:textId="77777777" w:rsidR="00600F08" w:rsidRDefault="00600F08" w:rsidP="00E0645B">
          <w:pPr>
            <w:pStyle w:val="Footer"/>
            <w:tabs>
              <w:tab w:val="left" w:pos="0"/>
              <w:tab w:val="right" w:pos="10538"/>
            </w:tabs>
            <w:jc w:val="right"/>
          </w:pPr>
          <w:r w:rsidRPr="003166E3">
            <w:rPr>
              <w:b/>
            </w:rPr>
            <w:fldChar w:fldCharType="begin"/>
          </w:r>
          <w:r w:rsidRPr="003166E3">
            <w:rPr>
              <w:b/>
            </w:rPr>
            <w:instrText xml:space="preserve"> PAGE  \* Arabic </w:instrText>
          </w:r>
          <w:r w:rsidRPr="003166E3">
            <w:rPr>
              <w:b/>
            </w:rPr>
            <w:fldChar w:fldCharType="separate"/>
          </w:r>
          <w:r>
            <w:rPr>
              <w:b/>
            </w:rPr>
            <w:t>7</w:t>
          </w:r>
          <w:r w:rsidRPr="003166E3">
            <w:rPr>
              <w:b/>
            </w:rPr>
            <w:fldChar w:fldCharType="end"/>
          </w:r>
          <w:r w:rsidRPr="003166E3">
            <w:rPr>
              <w:b/>
            </w:rPr>
            <w:t xml:space="preserve"> of </w:t>
          </w:r>
          <w:r w:rsidRPr="003166E3">
            <w:rPr>
              <w:b/>
            </w:rPr>
            <w:fldChar w:fldCharType="begin"/>
          </w:r>
          <w:r w:rsidRPr="003166E3">
            <w:rPr>
              <w:b/>
            </w:rPr>
            <w:instrText xml:space="preserve"> NUMPAGES  \* Arabic </w:instrText>
          </w:r>
          <w:r w:rsidRPr="003166E3">
            <w:rPr>
              <w:b/>
            </w:rPr>
            <w:fldChar w:fldCharType="separate"/>
          </w:r>
          <w:r>
            <w:rPr>
              <w:b/>
            </w:rPr>
            <w:t>26</w:t>
          </w:r>
          <w:r w:rsidRPr="003166E3">
            <w:rPr>
              <w:b/>
            </w:rPr>
            <w:fldChar w:fldCharType="end"/>
          </w:r>
        </w:p>
      </w:tc>
    </w:tr>
  </w:tbl>
  <w:p w14:paraId="38637CEC" w14:textId="77777777" w:rsidR="00600F08" w:rsidRPr="00E0645B" w:rsidRDefault="00600F08" w:rsidP="00E0645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8A8A3" w14:textId="77777777" w:rsidR="00C971A1" w:rsidRPr="00C971A1" w:rsidRDefault="00C971A1" w:rsidP="00C97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52CFA" w14:textId="77777777" w:rsidR="003F2A3F" w:rsidRPr="00861B99" w:rsidRDefault="003F2A3F" w:rsidP="00540F52">
      <w:pPr>
        <w:rPr>
          <w:color w:val="E6E3D9" w:themeColor="background2"/>
        </w:rPr>
      </w:pPr>
      <w:r w:rsidRPr="00861B99">
        <w:rPr>
          <w:color w:val="E6E3D9" w:themeColor="background2"/>
        </w:rPr>
        <w:separator/>
      </w:r>
    </w:p>
  </w:footnote>
  <w:footnote w:type="continuationSeparator" w:id="0">
    <w:p w14:paraId="44EC3846" w14:textId="77777777" w:rsidR="003F2A3F" w:rsidRPr="00861B99" w:rsidRDefault="003F2A3F" w:rsidP="00540F52">
      <w:pPr>
        <w:rPr>
          <w:color w:val="E6E3D9" w:themeColor="background2"/>
        </w:rPr>
      </w:pPr>
      <w:r w:rsidRPr="00861B99">
        <w:rPr>
          <w:color w:val="E6E3D9" w:themeColor="background2"/>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49877" w14:textId="77777777" w:rsidR="000B7BEB" w:rsidRDefault="000B7B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A1E55" w14:textId="7F8074CF" w:rsidR="00600F08" w:rsidRDefault="00600F08">
    <w:pPr>
      <w:pStyle w:val="Header"/>
    </w:pPr>
    <w:r w:rsidRPr="00467260">
      <w:rPr>
        <w:rFonts w:cstheme="minorBidi"/>
        <w:b w:val="0"/>
        <w:noProof/>
        <w:sz w:val="21"/>
        <w:szCs w:val="21"/>
      </w:rPr>
      <w:drawing>
        <wp:anchor distT="0" distB="0" distL="114300" distR="114300" simplePos="0" relativeHeight="251705343" behindDoc="0" locked="1" layoutInCell="1" allowOverlap="1" wp14:anchorId="13F27A90" wp14:editId="76B48811">
          <wp:simplePos x="0" y="0"/>
          <wp:positionH relativeFrom="page">
            <wp:posOffset>5832475</wp:posOffset>
          </wp:positionH>
          <wp:positionV relativeFrom="page">
            <wp:posOffset>540385</wp:posOffset>
          </wp:positionV>
          <wp:extent cx="1296000" cy="1447200"/>
          <wp:effectExtent l="0" t="0" r="0" b="635"/>
          <wp:wrapNone/>
          <wp:docPr id="14" name="Logo">
            <a:extLst xmlns:a="http://schemas.openxmlformats.org/drawingml/2006/main">
              <a:ext uri="{FF2B5EF4-FFF2-40B4-BE49-F238E27FC236}">
                <a16:creationId xmlns:a16="http://schemas.microsoft.com/office/drawing/2014/main" id="{77B070C5-4108-4244-93B7-7F2E05F0F2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a:extLst>
                      <a:ext uri="{FF2B5EF4-FFF2-40B4-BE49-F238E27FC236}">
                        <a16:creationId xmlns:a16="http://schemas.microsoft.com/office/drawing/2014/main" id="{77B070C5-4108-4244-93B7-7F2E05F0F2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6000" cy="1447200"/>
                  </a:xfrm>
                  <a:prstGeom prst="rect">
                    <a:avLst/>
                  </a:prstGeom>
                </pic:spPr>
              </pic:pic>
            </a:graphicData>
          </a:graphic>
          <wp14:sizeRelH relativeFrom="margin">
            <wp14:pctWidth>0</wp14:pctWidth>
          </wp14:sizeRelH>
          <wp14:sizeRelV relativeFrom="margin">
            <wp14:pctHeight>0</wp14:pctHeight>
          </wp14:sizeRelV>
        </wp:anchor>
      </w:drawing>
    </w:r>
    <w:r w:rsidRPr="00D60544">
      <w:rPr>
        <w:noProof/>
      </w:rPr>
      <mc:AlternateContent>
        <mc:Choice Requires="wps">
          <w:drawing>
            <wp:anchor distT="0" distB="0" distL="114300" distR="114300" simplePos="0" relativeHeight="251687422" behindDoc="0" locked="0" layoutInCell="1" allowOverlap="1" wp14:anchorId="3C25155C" wp14:editId="0E1D85B8">
              <wp:simplePos x="0" y="0"/>
              <wp:positionH relativeFrom="column">
                <wp:posOffset>-428625</wp:posOffset>
              </wp:positionH>
              <wp:positionV relativeFrom="paragraph">
                <wp:posOffset>-429260</wp:posOffset>
              </wp:positionV>
              <wp:extent cx="7559675" cy="10691495"/>
              <wp:effectExtent l="0" t="0" r="3175" b="0"/>
              <wp:wrapNone/>
              <wp:docPr id="18" name="Page_Background">
                <a:extLst xmlns:a="http://schemas.openxmlformats.org/drawingml/2006/main">
                  <a:ext uri="{FF2B5EF4-FFF2-40B4-BE49-F238E27FC236}">
                    <a16:creationId xmlns:a16="http://schemas.microsoft.com/office/drawing/2014/main" id="{79641B8A-902D-44ED-9E37-481D36CA37B2}"/>
                  </a:ext>
                </a:extLst>
              </wp:docPr>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28465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A6BF953" id="Page_Background" o:spid="_x0000_s1026" style="position:absolute;margin-left:-33.75pt;margin-top:-33.8pt;width:595.25pt;height:841.85pt;z-index:25168742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" fillcolor="#28465f" stroked="f" strokeweight="1pt"/>
          </w:pict>
        </mc:Fallback>
      </mc:AlternateContent>
    </w:r>
    <w:r w:rsidR="009E635E" w:rsidRPr="009E635E">
      <w:rPr>
        <w:noProof/>
      </w:rPr>
      <mc:AlternateContent>
        <mc:Choice Requires="wps">
          <w:drawing>
            <wp:anchor distT="0" distB="0" distL="114300" distR="114300" simplePos="0" relativeHeight="251703295" behindDoc="0" locked="1" layoutInCell="1" allowOverlap="1" wp14:anchorId="7E0E183D" wp14:editId="6A9E3BED">
              <wp:simplePos x="0" y="0"/>
              <wp:positionH relativeFrom="page">
                <wp:posOffset>0</wp:posOffset>
              </wp:positionH>
              <wp:positionV relativeFrom="page">
                <wp:posOffset>0</wp:posOffset>
              </wp:positionV>
              <wp:extent cx="7559040" cy="7319010"/>
              <wp:effectExtent l="0" t="0" r="3810" b="0"/>
              <wp:wrapNone/>
              <wp:docPr id="3" name="Pattern_Backgrou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59040" cy="7319010"/>
                      </a:xfrm>
                      <a:custGeom>
                        <a:avLst/>
                        <a:gdLst>
                          <a:gd name="connsiteX0" fmla="*/ 0 w 7559674"/>
                          <a:gd name="connsiteY0" fmla="*/ 0 h 7319081"/>
                          <a:gd name="connsiteX1" fmla="*/ 7559674 w 7559674"/>
                          <a:gd name="connsiteY1" fmla="*/ 0 h 7319081"/>
                          <a:gd name="connsiteX2" fmla="*/ 7559674 w 7559674"/>
                          <a:gd name="connsiteY2" fmla="*/ 4938920 h 7319081"/>
                          <a:gd name="connsiteX3" fmla="*/ 7246826 w 7559674"/>
                          <a:gd name="connsiteY3" fmla="*/ 5127317 h 7319081"/>
                          <a:gd name="connsiteX4" fmla="*/ 50457 w 7559674"/>
                          <a:gd name="connsiteY4" fmla="*/ 7316683 h 7319081"/>
                          <a:gd name="connsiteX5" fmla="*/ 0 w 7559674"/>
                          <a:gd name="connsiteY5" fmla="*/ 7319081 h 73190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559674" h="7319081">
                            <a:moveTo>
                              <a:pt x="0" y="0"/>
                            </a:moveTo>
                            <a:lnTo>
                              <a:pt x="7559674" y="0"/>
                            </a:lnTo>
                            <a:lnTo>
                              <a:pt x="7559674" y="4938920"/>
                            </a:lnTo>
                            <a:lnTo>
                              <a:pt x="7246826" y="5127317"/>
                            </a:lnTo>
                            <a:cubicBezTo>
                              <a:pt x="5108464" y="6374163"/>
                              <a:pt x="2662500" y="7151126"/>
                              <a:pt x="50457" y="7316683"/>
                            </a:cubicBezTo>
                            <a:lnTo>
                              <a:pt x="0" y="7319081"/>
                            </a:lnTo>
                            <a:close/>
                          </a:path>
                        </a:pathLst>
                      </a:custGeom>
                      <a:solidFill>
                        <a:srgbClr val="28465F"/>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anchor>
          </w:drawing>
        </mc:Choice>
        <mc:Fallback>
          <w:pict>
            <v:shape w14:anchorId="4D2365D3" id="Pattern_Background" o:spid="_x0000_s1026" style="position:absolute;margin-left:0;margin-top:0;width:595.2pt;height:576.3pt;z-index:251703295;visibility:visible;mso-wrap-style:square;mso-wrap-distance-left:9pt;mso-wrap-distance-top:0;mso-wrap-distance-right:9pt;mso-wrap-distance-bottom:0;mso-position-horizontal:absolute;mso-position-horizontal-relative:page;mso-position-vertical:absolute;mso-position-vertical-relative:page;v-text-anchor:middle" coordsize="7559674,7319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" path="m,l7559674,r,4938920l7246826,5127317c5108464,6374163,2662500,7151126,50457,7316683l,7319081,,xe" fillcolor="#28465f" stroked="f" strokeweight="1pt">
              <v:stroke joinstyle="miter"/>
              <v:path arrowok="t" o:connecttype="custom" o:connectlocs="0,0;7559040,0;7559040,4938872;7246218,5127267;50453,7316612;0,7319010" o:connectangles="0,0,0,0,0,0"/>
              <o:lock v:ext="edit" aspectratio="t"/>
              <w10:wrap anchorx="page" anchory="page"/>
              <w10:anchorlock/>
            </v:shape>
          </w:pict>
        </mc:Fallback>
      </mc:AlternateContent>
    </w:r>
    <w:r w:rsidR="009E635E" w:rsidRPr="009E635E">
      <w:rPr>
        <w:noProof/>
      </w:rPr>
      <mc:AlternateContent>
        <mc:Choice Requires="wpg">
          <w:drawing>
            <wp:anchor distT="0" distB="0" distL="114300" distR="114300" simplePos="0" relativeHeight="251704319" behindDoc="0" locked="1" layoutInCell="1" allowOverlap="1" wp14:anchorId="0566209A" wp14:editId="771E1B46">
              <wp:simplePos x="0" y="0"/>
              <wp:positionH relativeFrom="page">
                <wp:posOffset>0</wp:posOffset>
              </wp:positionH>
              <wp:positionV relativeFrom="page">
                <wp:posOffset>0</wp:posOffset>
              </wp:positionV>
              <wp:extent cx="7559675" cy="10691495"/>
              <wp:effectExtent l="0" t="0" r="3175" b="0"/>
              <wp:wrapNone/>
              <wp:docPr id="5" name="White_Overlay"/>
              <wp:cNvGraphicFramePr/>
              <a:graphic xmlns:a="http://schemas.openxmlformats.org/drawingml/2006/main">
                <a:graphicData uri="http://schemas.microsoft.com/office/word/2010/wordprocessingGroup">
                  <wpg:wgp>
                    <wpg:cNvGrpSpPr/>
                    <wpg:grpSpPr>
                      <a:xfrm>
                        <a:off x="0" y="0"/>
                        <a:ext cx="7559675" cy="10691495"/>
                        <a:chOff x="0" y="0"/>
                        <a:chExt cx="7559677" cy="10691812"/>
                      </a:xfrm>
                    </wpg:grpSpPr>
                    <wps:wsp>
                      <wps:cNvPr id="6" name="White_Overlay3"/>
                      <wps:cNvSpPr>
                        <a:spLocks noChangeAspect="1"/>
                      </wps:cNvSpPr>
                      <wps:spPr>
                        <a:xfrm>
                          <a:off x="3812070" y="7594290"/>
                          <a:ext cx="3747607" cy="3097522"/>
                        </a:xfrm>
                        <a:custGeom>
                          <a:avLst/>
                          <a:gdLst>
                            <a:gd name="connsiteX0" fmla="*/ 3747607 w 3747607"/>
                            <a:gd name="connsiteY0" fmla="*/ 0 h 3097522"/>
                            <a:gd name="connsiteX1" fmla="*/ 3747607 w 3747607"/>
                            <a:gd name="connsiteY1" fmla="*/ 3097522 h 3097522"/>
                            <a:gd name="connsiteX2" fmla="*/ 0 w 3747607"/>
                            <a:gd name="connsiteY2" fmla="*/ 3097522 h 3097522"/>
                            <a:gd name="connsiteX3" fmla="*/ 47651 w 3747607"/>
                            <a:gd name="connsiteY3" fmla="*/ 3036324 h 3097522"/>
                            <a:gd name="connsiteX4" fmla="*/ 3587800 w 3747607"/>
                            <a:gd name="connsiteY4" fmla="*/ 81848 h 30975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47607" h="3097522">
                              <a:moveTo>
                                <a:pt x="3747607" y="0"/>
                              </a:moveTo>
                              <a:lnTo>
                                <a:pt x="3747607" y="3097522"/>
                              </a:lnTo>
                              <a:lnTo>
                                <a:pt x="0" y="3097522"/>
                              </a:lnTo>
                              <a:lnTo>
                                <a:pt x="47651" y="3036324"/>
                              </a:lnTo>
                              <a:cubicBezTo>
                                <a:pt x="1017123" y="1832582"/>
                                <a:pt x="2220106" y="824824"/>
                                <a:pt x="3587800" y="81848"/>
                              </a:cubicBezTo>
                              <a:close/>
                            </a:path>
                          </a:pathLst>
                        </a:custGeom>
                        <a:solidFill>
                          <a:schemeClr val="bg1">
                            <a:alpha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7" name="White_Overlay2"/>
                      <wps:cNvSpPr>
                        <a:spLocks noChangeAspect="1"/>
                      </wps:cNvSpPr>
                      <wps:spPr>
                        <a:xfrm>
                          <a:off x="0" y="2"/>
                          <a:ext cx="7559674" cy="7319081"/>
                        </a:xfrm>
                        <a:custGeom>
                          <a:avLst/>
                          <a:gdLst>
                            <a:gd name="connsiteX0" fmla="*/ 0 w 7559674"/>
                            <a:gd name="connsiteY0" fmla="*/ 0 h 7319081"/>
                            <a:gd name="connsiteX1" fmla="*/ 7559674 w 7559674"/>
                            <a:gd name="connsiteY1" fmla="*/ 0 h 7319081"/>
                            <a:gd name="connsiteX2" fmla="*/ 7559674 w 7559674"/>
                            <a:gd name="connsiteY2" fmla="*/ 4938920 h 7319081"/>
                            <a:gd name="connsiteX3" fmla="*/ 7246826 w 7559674"/>
                            <a:gd name="connsiteY3" fmla="*/ 5127317 h 7319081"/>
                            <a:gd name="connsiteX4" fmla="*/ 50457 w 7559674"/>
                            <a:gd name="connsiteY4" fmla="*/ 7316683 h 7319081"/>
                            <a:gd name="connsiteX5" fmla="*/ 0 w 7559674"/>
                            <a:gd name="connsiteY5" fmla="*/ 7319081 h 73190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559674" h="7319081">
                              <a:moveTo>
                                <a:pt x="0" y="0"/>
                              </a:moveTo>
                              <a:lnTo>
                                <a:pt x="7559674" y="0"/>
                              </a:lnTo>
                              <a:lnTo>
                                <a:pt x="7559674" y="4938920"/>
                              </a:lnTo>
                              <a:lnTo>
                                <a:pt x="7246826" y="5127317"/>
                              </a:lnTo>
                              <a:cubicBezTo>
                                <a:pt x="5108464" y="6374163"/>
                                <a:pt x="2662500" y="7151126"/>
                                <a:pt x="50457" y="7316683"/>
                              </a:cubicBezTo>
                              <a:lnTo>
                                <a:pt x="0" y="7319081"/>
                              </a:lnTo>
                              <a:close/>
                            </a:path>
                          </a:pathLst>
                        </a:custGeom>
                        <a:solidFill>
                          <a:schemeClr val="bg1">
                            <a:alpha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8" name="White_Overlay1"/>
                      <wps:cNvSpPr>
                        <a:spLocks noChangeAspect="1"/>
                      </wps:cNvSpPr>
                      <wps:spPr>
                        <a:xfrm>
                          <a:off x="1" y="0"/>
                          <a:ext cx="7559675" cy="7311861"/>
                        </a:xfrm>
                        <a:custGeom>
                          <a:avLst/>
                          <a:gdLst>
                            <a:gd name="connsiteX0" fmla="*/ 0 w 7559675"/>
                            <a:gd name="connsiteY0" fmla="*/ 0 h 7311861"/>
                            <a:gd name="connsiteX1" fmla="*/ 7559675 w 7559675"/>
                            <a:gd name="connsiteY1" fmla="*/ 0 h 7311861"/>
                            <a:gd name="connsiteX2" fmla="*/ 7559675 w 7559675"/>
                            <a:gd name="connsiteY2" fmla="*/ 3131481 h 7311861"/>
                            <a:gd name="connsiteX3" fmla="*/ 7342019 w 7559675"/>
                            <a:gd name="connsiteY3" fmla="*/ 3344643 h 7311861"/>
                            <a:gd name="connsiteX4" fmla="*/ 231979 w 7559675"/>
                            <a:gd name="connsiteY4" fmla="*/ 7256021 h 7311861"/>
                            <a:gd name="connsiteX5" fmla="*/ 0 w 7559675"/>
                            <a:gd name="connsiteY5" fmla="*/ 7311861 h 73118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559675" h="7311861">
                              <a:moveTo>
                                <a:pt x="0" y="0"/>
                              </a:moveTo>
                              <a:lnTo>
                                <a:pt x="7559675" y="0"/>
                              </a:lnTo>
                              <a:lnTo>
                                <a:pt x="7559675" y="3131481"/>
                              </a:lnTo>
                              <a:lnTo>
                                <a:pt x="7342019" y="3344643"/>
                              </a:lnTo>
                              <a:cubicBezTo>
                                <a:pt x="5367048" y="5194176"/>
                                <a:pt x="2934243" y="6560760"/>
                                <a:pt x="231979" y="7256021"/>
                              </a:cubicBezTo>
                              <a:lnTo>
                                <a:pt x="0" y="7311861"/>
                              </a:lnTo>
                              <a:close/>
                            </a:path>
                          </a:pathLst>
                        </a:custGeom>
                        <a:solidFill>
                          <a:schemeClr val="bg1">
                            <a:alpha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wgp>
                </a:graphicData>
              </a:graphic>
            </wp:anchor>
          </w:drawing>
        </mc:Choice>
        <mc:Fallback>
          <w:pict>
            <v:group w14:anchorId="5BA77365" id="White_Overlay" o:spid="_x0000_s1026" style="position:absolute;margin-left:0;margin-top:0;width:595.25pt;height:841.85pt;z-index:251704319;mso-position-horizontal-relative:page;mso-position-vertical-relative:page" coordsize="75596,106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">
              <v:shape id="White_Overlay3" o:spid="_x0000_s1027" style="position:absolute;left:38120;top:75942;width:37476;height:30976;visibility:visible;mso-wrap-style:square;v-text-anchor:middle" coordsize="3747607,309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" path="m3747607,r,3097522l,3097522r47651,-61198c1017123,1832582,2220106,824824,3587800,81848l3747607,xe" fillcolor="white [3212]" stroked="f" strokeweight="1pt">
                <v:fill opacity="6682f"/>
                <v:stroke joinstyle="miter"/>
                <v:path arrowok="t" o:connecttype="custom" o:connectlocs="3747607,0;3747607,3097522;0,3097522;47651,3036324;3587800,81848" o:connectangles="0,0,0,0,0"/>
                <o:lock v:ext="edit" aspectratio="t"/>
              </v:shape>
              <v:shape id="White_Overlay2" o:spid="_x0000_s1028" style="position:absolute;width:75596;height:73190;visibility:visible;mso-wrap-style:square;v-text-anchor:middle" coordsize="7559674,7319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" path="m,l7559674,r,4938920l7246826,5127317c5108464,6374163,2662500,7151126,50457,7316683l,7319081,,xe" fillcolor="white [3212]" stroked="f" strokeweight="1pt">
                <v:fill opacity="6682f"/>
                <v:stroke joinstyle="miter"/>
                <v:path arrowok="t" o:connecttype="custom" o:connectlocs="0,0;7559674,0;7559674,4938920;7246826,5127317;50457,7316683;0,7319081" o:connectangles="0,0,0,0,0,0"/>
                <o:lock v:ext="edit" aspectratio="t"/>
              </v:shape>
              <v:shape id="White_Overlay1" o:spid="_x0000_s1029" style="position:absolute;width:75596;height:73118;visibility:visible;mso-wrap-style:square;v-text-anchor:middle" coordsize="7559675,7311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" path="m,l7559675,r,3131481l7342019,3344643c5367048,5194176,2934243,6560760,231979,7256021l,7311861,,xe" fillcolor="white [3212]" stroked="f" strokeweight="1pt">
                <v:fill opacity="6682f"/>
                <v:stroke joinstyle="miter"/>
                <v:path arrowok="t" o:connecttype="custom" o:connectlocs="0,0;7559675,0;7559675,3131481;7342019,3344643;231979,7256021;0,7311861" o:connectangles="0,0,0,0,0,0"/>
                <o:lock v:ext="edit" aspectratio="t"/>
              </v:shape>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4F23F" w14:textId="77777777" w:rsidR="00600F08" w:rsidRDefault="00600F08">
    <w:pPr>
      <w:pStyle w:val="Header"/>
    </w:pPr>
    <w:r w:rsidRPr="00BC4CA7">
      <w:rPr>
        <w:noProof/>
      </w:rPr>
      <w:drawing>
        <wp:anchor distT="0" distB="0" distL="114300" distR="114300" simplePos="0" relativeHeight="251655167" behindDoc="1" locked="0" layoutInCell="1" allowOverlap="1" wp14:anchorId="0AC13E0B" wp14:editId="251BD269">
          <wp:simplePos x="0" y="0"/>
          <wp:positionH relativeFrom="column">
            <wp:posOffset>5397500</wp:posOffset>
          </wp:positionH>
          <wp:positionV relativeFrom="paragraph">
            <wp:posOffset>-3175</wp:posOffset>
          </wp:positionV>
          <wp:extent cx="1296000" cy="144973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6000" cy="14497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681" w:tblpY="681"/>
      <w:tblW w:w="10545" w:type="dxa"/>
      <w:tblBorders>
        <w:bottom w:val="single" w:sz="2" w:space="0" w:color="28465F"/>
      </w:tblBorders>
      <w:tblLayout w:type="fixed"/>
      <w:tblCellMar>
        <w:left w:w="0" w:type="dxa"/>
        <w:right w:w="0" w:type="dxa"/>
      </w:tblCellMar>
      <w:tblLook w:val="04A0" w:firstRow="1" w:lastRow="0" w:firstColumn="1" w:lastColumn="0" w:noHBand="0" w:noVBand="1"/>
    </w:tblPr>
    <w:tblGrid>
      <w:gridCol w:w="10545"/>
    </w:tblGrid>
    <w:tr w:rsidR="00600F08" w14:paraId="5B2F7020" w14:textId="77777777" w:rsidTr="00E0645B">
      <w:trPr>
        <w:cantSplit/>
        <w:trHeight w:hRule="exact" w:val="283"/>
      </w:trPr>
      <w:tc>
        <w:tcPr>
          <w:tcW w:w="10545" w:type="dxa"/>
        </w:tcPr>
        <w:p w14:paraId="426C98D1" w14:textId="67EEB4B0" w:rsidR="00600F08" w:rsidRPr="00E9626B" w:rsidRDefault="00600F08" w:rsidP="00E0645B">
          <w:pPr>
            <w:pStyle w:val="Header"/>
            <w:rPr>
              <w:rFonts w:asciiTheme="majorHAnsi" w:hAnsiTheme="majorHAnsi"/>
              <w:b w:val="0"/>
            </w:rPr>
          </w:pPr>
          <w:r w:rsidRPr="00E47272">
            <w:rPr>
              <w:rFonts w:asciiTheme="majorHAnsi" w:hAnsiTheme="majorHAnsi"/>
            </w:rPr>
            <w:fldChar w:fldCharType="begin"/>
          </w:r>
          <w:r w:rsidRPr="00E47272">
            <w:rPr>
              <w:rFonts w:asciiTheme="majorHAnsi" w:hAnsiTheme="majorHAnsi"/>
            </w:rPr>
            <w:instrText xml:space="preserve"> IF "</w:instrText>
          </w:r>
          <w:r>
            <w:fldChar w:fldCharType="begin"/>
          </w:r>
          <w:r>
            <w:instrText xml:space="preserve"> STYLEREF  "</w:instrText>
          </w:r>
          <w:r w:rsidRPr="00E0645B">
            <w:instrText>±Head1NonToc</w:instrText>
          </w:r>
          <w:r>
            <w:instrText xml:space="preserve">" </w:instrText>
          </w:r>
          <w:r>
            <w:fldChar w:fldCharType="separate"/>
          </w:r>
          <w:r w:rsidR="002E165D">
            <w:rPr>
              <w:noProof/>
            </w:rPr>
            <w:instrText>Contents</w:instrText>
          </w:r>
          <w:r>
            <w:fldChar w:fldCharType="end"/>
          </w:r>
          <w:r w:rsidRPr="00E47272">
            <w:rPr>
              <w:rFonts w:asciiTheme="majorHAnsi" w:hAnsiTheme="majorHAnsi"/>
              <w:noProof/>
            </w:rPr>
            <w:instrText>"</w:instrText>
          </w:r>
          <w:r w:rsidRPr="00E47272">
            <w:rPr>
              <w:rFonts w:asciiTheme="majorHAnsi" w:hAnsiTheme="majorHAnsi"/>
            </w:rPr>
            <w:instrText xml:space="preserve"> = "Error*" "" "</w:instrText>
          </w:r>
          <w:r>
            <w:fldChar w:fldCharType="begin"/>
          </w:r>
          <w:r>
            <w:instrText xml:space="preserve"> STYLEREF  "</w:instrText>
          </w:r>
          <w:r w:rsidRPr="00E0645B">
            <w:instrText>±Head1NonToc</w:instrText>
          </w:r>
          <w:r>
            <w:instrText xml:space="preserve">" </w:instrText>
          </w:r>
          <w:r>
            <w:fldChar w:fldCharType="separate"/>
          </w:r>
          <w:r w:rsidR="002E165D">
            <w:rPr>
              <w:noProof/>
            </w:rPr>
            <w:instrText>Contents</w:instrText>
          </w:r>
          <w:r>
            <w:fldChar w:fldCharType="end"/>
          </w:r>
          <w:r w:rsidRPr="00E47272">
            <w:rPr>
              <w:rFonts w:asciiTheme="majorHAnsi" w:hAnsiTheme="majorHAnsi"/>
            </w:rPr>
            <w:instrText xml:space="preserve">" </w:instrText>
          </w:r>
          <w:r w:rsidRPr="00E47272">
            <w:rPr>
              <w:rFonts w:asciiTheme="majorHAnsi" w:hAnsiTheme="majorHAnsi"/>
            </w:rPr>
            <w:fldChar w:fldCharType="separate"/>
          </w:r>
          <w:r w:rsidR="002E165D">
            <w:rPr>
              <w:noProof/>
            </w:rPr>
            <w:t>Contents</w:t>
          </w:r>
          <w:r w:rsidRPr="00E47272">
            <w:rPr>
              <w:rFonts w:asciiTheme="majorHAnsi" w:hAnsiTheme="majorHAnsi"/>
            </w:rPr>
            <w:fldChar w:fldCharType="end"/>
          </w:r>
        </w:p>
      </w:tc>
    </w:tr>
  </w:tbl>
  <w:p w14:paraId="45ED7289" w14:textId="77777777" w:rsidR="00600F08" w:rsidRDefault="00600F0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681" w:tblpY="681"/>
      <w:tblW w:w="10545" w:type="dxa"/>
      <w:tblBorders>
        <w:bottom w:val="single" w:sz="4" w:space="0" w:color="28465F"/>
      </w:tblBorders>
      <w:tblLayout w:type="fixed"/>
      <w:tblCellMar>
        <w:left w:w="0" w:type="dxa"/>
        <w:right w:w="0" w:type="dxa"/>
      </w:tblCellMar>
      <w:tblLook w:val="04A0" w:firstRow="1" w:lastRow="0" w:firstColumn="1" w:lastColumn="0" w:noHBand="0" w:noVBand="1"/>
    </w:tblPr>
    <w:tblGrid>
      <w:gridCol w:w="10545"/>
    </w:tblGrid>
    <w:tr w:rsidR="00600F08" w14:paraId="541EF2B5" w14:textId="77777777" w:rsidTr="00E0645B">
      <w:trPr>
        <w:cantSplit/>
        <w:trHeight w:hRule="exact" w:val="283"/>
      </w:trPr>
      <w:tc>
        <w:tcPr>
          <w:tcW w:w="10545" w:type="dxa"/>
        </w:tcPr>
        <w:p w14:paraId="6CC17128" w14:textId="05F070E9" w:rsidR="00600F08" w:rsidRPr="00E9626B" w:rsidRDefault="00F62B38" w:rsidP="00E0645B">
          <w:pPr>
            <w:pStyle w:val="Header"/>
            <w:rPr>
              <w:rFonts w:asciiTheme="majorHAnsi" w:hAnsiTheme="majorHAnsi"/>
              <w:b w:val="0"/>
            </w:rPr>
          </w:pPr>
          <w:r w:rsidRPr="00E47272">
            <w:rPr>
              <w:rFonts w:asciiTheme="majorHAnsi" w:hAnsiTheme="majorHAnsi"/>
            </w:rPr>
            <w:fldChar w:fldCharType="begin"/>
          </w:r>
          <w:r w:rsidRPr="00E47272">
            <w:rPr>
              <w:rFonts w:asciiTheme="majorHAnsi" w:hAnsiTheme="majorHAnsi"/>
            </w:rPr>
            <w:instrText xml:space="preserve"> IF "</w:instrText>
          </w:r>
          <w:r>
            <w:fldChar w:fldCharType="begin"/>
          </w:r>
          <w:r>
            <w:instrText xml:space="preserve"> STYLEREF  "</w:instrText>
          </w:r>
          <w:r w:rsidR="00EB11F7" w:rsidRPr="00EB11F7">
            <w:instrText>±Head1</w:instrText>
          </w:r>
          <w:r>
            <w:instrText xml:space="preserve">" </w:instrText>
          </w:r>
          <w:r>
            <w:fldChar w:fldCharType="separate"/>
          </w:r>
          <w:r w:rsidR="002E165D">
            <w:rPr>
              <w:noProof/>
            </w:rPr>
            <w:instrText>&lt;Click here and insert first Section Heading&gt;</w:instrText>
          </w:r>
          <w:r>
            <w:fldChar w:fldCharType="end"/>
          </w:r>
          <w:r w:rsidRPr="00E47272">
            <w:rPr>
              <w:rFonts w:asciiTheme="majorHAnsi" w:hAnsiTheme="majorHAnsi"/>
              <w:noProof/>
            </w:rPr>
            <w:instrText>"</w:instrText>
          </w:r>
          <w:r w:rsidRPr="00E47272">
            <w:rPr>
              <w:rFonts w:asciiTheme="majorHAnsi" w:hAnsiTheme="majorHAnsi"/>
            </w:rPr>
            <w:instrText xml:space="preserve"> = "Error*" "" "</w:instrText>
          </w:r>
          <w:r>
            <w:fldChar w:fldCharType="begin"/>
          </w:r>
          <w:r>
            <w:instrText xml:space="preserve"> STYLEREF  "</w:instrText>
          </w:r>
          <w:r w:rsidR="00EB11F7" w:rsidRPr="00EB11F7">
            <w:instrText>±Head1</w:instrText>
          </w:r>
          <w:r>
            <w:instrText xml:space="preserve">" </w:instrText>
          </w:r>
          <w:r>
            <w:fldChar w:fldCharType="separate"/>
          </w:r>
          <w:r w:rsidR="002E165D">
            <w:rPr>
              <w:noProof/>
            </w:rPr>
            <w:instrText>&lt;Click here and insert first Section Heading&gt;</w:instrText>
          </w:r>
          <w:r>
            <w:fldChar w:fldCharType="end"/>
          </w:r>
          <w:r w:rsidRPr="00E47272">
            <w:rPr>
              <w:rFonts w:asciiTheme="majorHAnsi" w:hAnsiTheme="majorHAnsi"/>
            </w:rPr>
            <w:instrText xml:space="preserve">" </w:instrText>
          </w:r>
          <w:r w:rsidRPr="00E47272">
            <w:rPr>
              <w:rFonts w:asciiTheme="majorHAnsi" w:hAnsiTheme="majorHAnsi"/>
            </w:rPr>
            <w:fldChar w:fldCharType="separate"/>
          </w:r>
          <w:r w:rsidR="002E165D">
            <w:rPr>
              <w:noProof/>
            </w:rPr>
            <w:t>&lt;Click here and insert first Section Heading&gt;</w:t>
          </w:r>
          <w:r w:rsidRPr="00E47272">
            <w:rPr>
              <w:rFonts w:asciiTheme="majorHAnsi" w:hAnsiTheme="majorHAnsi"/>
            </w:rPr>
            <w:fldChar w:fldCharType="end"/>
          </w:r>
        </w:p>
      </w:tc>
    </w:tr>
  </w:tbl>
  <w:p w14:paraId="4251E83D" w14:textId="77777777" w:rsidR="00600F08" w:rsidRPr="00E0645B" w:rsidRDefault="00600F08" w:rsidP="00E0645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16C7A" w14:textId="7B3D4B39" w:rsidR="00C971A1" w:rsidRPr="00C971A1" w:rsidRDefault="00C971A1" w:rsidP="00C971A1">
    <w:pPr>
      <w:pStyle w:val="Header"/>
    </w:pPr>
    <w:r>
      <w:rPr>
        <w:noProof/>
      </w:rPr>
      <mc:AlternateContent>
        <mc:Choice Requires="wpg">
          <w:drawing>
            <wp:anchor distT="0" distB="0" distL="114300" distR="114300" simplePos="0" relativeHeight="251701247" behindDoc="1" locked="1" layoutInCell="1" allowOverlap="1" wp14:anchorId="797BB3BA" wp14:editId="7581253B">
              <wp:simplePos x="0" y="0"/>
              <wp:positionH relativeFrom="page">
                <wp:posOffset>0</wp:posOffset>
              </wp:positionH>
              <wp:positionV relativeFrom="page">
                <wp:posOffset>0</wp:posOffset>
              </wp:positionV>
              <wp:extent cx="7578000" cy="10710000"/>
              <wp:effectExtent l="0" t="0" r="4445" b="0"/>
              <wp:wrapNone/>
              <wp:docPr id="4" name="Group 4"/>
              <wp:cNvGraphicFramePr/>
              <a:graphic xmlns:a="http://schemas.openxmlformats.org/drawingml/2006/main">
                <a:graphicData uri="http://schemas.microsoft.com/office/word/2010/wordprocessingGroup">
                  <wpg:wgp>
                    <wpg:cNvGrpSpPr/>
                    <wpg:grpSpPr>
                      <a:xfrm>
                        <a:off x="0" y="0"/>
                        <a:ext cx="7578000" cy="10710000"/>
                        <a:chOff x="0" y="0"/>
                        <a:chExt cx="7578000" cy="10710000"/>
                      </a:xfrm>
                    </wpg:grpSpPr>
                    <wps:wsp>
                      <wps:cNvPr id="10" name="Coloured_Shape"/>
                      <wps:cNvSpPr/>
                      <wps:spPr>
                        <a:xfrm>
                          <a:off x="0" y="0"/>
                          <a:ext cx="7578000" cy="10710000"/>
                        </a:xfrm>
                        <a:prstGeom prst="rect">
                          <a:avLst/>
                        </a:prstGeom>
                        <a:solidFill>
                          <a:srgbClr val="28465F"/>
                        </a:solidFill>
                        <a:ln>
                          <a:noFill/>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2" name="Logo">
                          <a:extLst>
                            <a:ext uri="{FF2B5EF4-FFF2-40B4-BE49-F238E27FC236}">
                              <a16:creationId xmlns:a16="http://schemas.microsoft.com/office/drawing/2014/main" id="{77B070C5-4108-4244-93B7-7F2E05F0F26E}"/>
                            </a:ext>
                          </a:extLst>
                        </pic:cNvPr>
                        <pic:cNvPicPr preferRelativeResize="0">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5832475" y="431800"/>
                          <a:ext cx="1296000" cy="14478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D72CD2" id="Group 4" o:spid="_x0000_s1026" style="position:absolute;margin-left:0;margin-top:0;width:596.7pt;height:843.3pt;z-index:-251615233;mso-position-horizontal-relative:page;mso-position-vertical-relative:page;mso-width-relative:margin;mso-height-relative:margin" coordsize="75780,10710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">
              <v:rect id="Coloured_Shape" o:spid="_x0000_s1027" style="position:absolute;width:75780;height:107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" fillcolor="#28465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ogo" o:spid="_x0000_s1028" type="#_x0000_t75" style="position:absolute;left:58324;top:4318;width:12960;height:144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">
                <v:imagedata r:id="rId2" o:title=""/>
              </v:shape>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0C06A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A68183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E740B0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5AE43A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E6FF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7A7C4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880598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B42F1F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E9069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F7271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3C3C95"/>
    <w:multiLevelType w:val="multilevel"/>
    <w:tmpl w:val="CEB6988C"/>
    <w:lvl w:ilvl="0">
      <w:start w:val="1"/>
      <w:numFmt w:val="bullet"/>
      <w:lvlText w:val="›"/>
      <w:lvlJc w:val="left"/>
      <w:pPr>
        <w:tabs>
          <w:tab w:val="num" w:pos="340"/>
        </w:tabs>
        <w:ind w:left="340" w:hanging="340"/>
      </w:pPr>
      <w:rPr>
        <w:rFonts w:ascii="Calibri" w:hAnsi="Calibri" w:hint="default"/>
        <w:color w:val="FF8200" w:themeColor="text2"/>
      </w:rPr>
    </w:lvl>
    <w:lvl w:ilvl="1">
      <w:start w:val="1"/>
      <w:numFmt w:val="bullet"/>
      <w:lvlText w:val="–"/>
      <w:lvlJc w:val="left"/>
      <w:pPr>
        <w:tabs>
          <w:tab w:val="num" w:pos="680"/>
        </w:tabs>
        <w:ind w:left="680" w:hanging="340"/>
      </w:pPr>
      <w:rPr>
        <w:rFonts w:ascii="(none)" w:hAnsi="(none)" w:hint="default"/>
        <w:color w:val="FF8200" w:themeColor="text2"/>
      </w:rPr>
    </w:lvl>
    <w:lvl w:ilvl="2">
      <w:start w:val="1"/>
      <w:numFmt w:val="bullet"/>
      <w:lvlText w:val="–"/>
      <w:lvlJc w:val="left"/>
      <w:pPr>
        <w:tabs>
          <w:tab w:val="num" w:pos="1021"/>
        </w:tabs>
        <w:ind w:left="1021" w:hanging="341"/>
      </w:pPr>
      <w:rPr>
        <w:rFonts w:ascii="(none)" w:hAnsi="(none)"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17764A5B"/>
    <w:multiLevelType w:val="multilevel"/>
    <w:tmpl w:val="05F86D62"/>
    <w:name w:val="AppHeadList4"/>
    <w:lvl w:ilvl="0">
      <w:start w:val="1"/>
      <w:numFmt w:val="upperLetter"/>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A185005"/>
    <w:multiLevelType w:val="multilevel"/>
    <w:tmpl w:val="10528798"/>
    <w:lvl w:ilvl="0">
      <w:start w:val="1"/>
      <w:numFmt w:val="decimal"/>
      <w:lvlRestart w:val="0"/>
      <w:lvlText w:val="%1"/>
      <w:lvlJc w:val="right"/>
      <w:pPr>
        <w:tabs>
          <w:tab w:val="num" w:pos="0"/>
        </w:tabs>
        <w:ind w:left="0" w:hanging="142"/>
      </w:pPr>
      <w:rPr>
        <w:rFonts w:hint="default"/>
      </w:rPr>
    </w:lvl>
    <w:lvl w:ilvl="1">
      <w:start w:val="1"/>
      <w:numFmt w:val="decimal"/>
      <w:lvlText w:val="%1.%2"/>
      <w:lvlJc w:val="right"/>
      <w:pPr>
        <w:tabs>
          <w:tab w:val="num" w:pos="0"/>
        </w:tabs>
        <w:ind w:left="0" w:hanging="142"/>
      </w:pPr>
      <w:rPr>
        <w:rFonts w:hint="default"/>
      </w:rPr>
    </w:lvl>
    <w:lvl w:ilvl="2">
      <w:start w:val="1"/>
      <w:numFmt w:val="decimal"/>
      <w:lvlText w:val="%1.%2.%3"/>
      <w:lvlJc w:val="right"/>
      <w:pPr>
        <w:tabs>
          <w:tab w:val="num" w:pos="0"/>
        </w:tabs>
        <w:ind w:left="0" w:hanging="142"/>
      </w:pPr>
      <w:rPr>
        <w:rFonts w:hint="default"/>
      </w:rPr>
    </w:lvl>
    <w:lvl w:ilvl="3">
      <w:start w:val="1"/>
      <w:numFmt w:val="decimal"/>
      <w:lvlText w:val="%1.%2.%3.%4"/>
      <w:lvlJc w:val="right"/>
      <w:pPr>
        <w:tabs>
          <w:tab w:val="num" w:pos="0"/>
        </w:tabs>
        <w:ind w:left="0" w:hanging="142"/>
      </w:pPr>
      <w:rPr>
        <w:rFonts w:hint="default"/>
      </w:rPr>
    </w:lvl>
    <w:lvl w:ilvl="4">
      <w:start w:val="1"/>
      <w:numFmt w:val="none"/>
      <w:lvlText w:val=""/>
      <w:lvlJc w:val="left"/>
      <w:pPr>
        <w:ind w:left="0" w:firstLine="0"/>
      </w:pPr>
      <w:rPr>
        <w:rFonts w:asciiTheme="majorHAnsi" w:hAnsiTheme="majorHAnsi" w:hint="default"/>
      </w:rPr>
    </w:lvl>
    <w:lvl w:ilvl="5">
      <w:start w:val="1"/>
      <w:numFmt w:val="none"/>
      <w:lvlText w:val=""/>
      <w:lvlJc w:val="left"/>
      <w:pPr>
        <w:ind w:left="0" w:firstLine="0"/>
      </w:pPr>
      <w:rPr>
        <w:rFonts w:asciiTheme="majorHAnsi" w:hAnsiTheme="majorHAnsi" w:hint="default"/>
      </w:rPr>
    </w:lvl>
    <w:lvl w:ilvl="6">
      <w:start w:val="1"/>
      <w:numFmt w:val="none"/>
      <w:lvlText w:val=""/>
      <w:lvlJc w:val="left"/>
      <w:pPr>
        <w:ind w:left="0" w:firstLine="0"/>
      </w:pPr>
      <w:rPr>
        <w:rFonts w:asciiTheme="majorHAnsi" w:hAnsiTheme="majorHAnsi" w:hint="default"/>
      </w:rPr>
    </w:lvl>
    <w:lvl w:ilvl="7">
      <w:start w:val="1"/>
      <w:numFmt w:val="none"/>
      <w:lvlText w:val=""/>
      <w:lvlJc w:val="left"/>
      <w:pPr>
        <w:ind w:left="0" w:firstLine="0"/>
      </w:pPr>
      <w:rPr>
        <w:rFonts w:asciiTheme="majorHAnsi" w:hAnsiTheme="majorHAnsi" w:hint="default"/>
      </w:rPr>
    </w:lvl>
    <w:lvl w:ilvl="8">
      <w:start w:val="1"/>
      <w:numFmt w:val="none"/>
      <w:lvlText w:val=""/>
      <w:lvlJc w:val="left"/>
      <w:pPr>
        <w:ind w:left="0" w:firstLine="0"/>
      </w:pPr>
      <w:rPr>
        <w:rFonts w:asciiTheme="majorHAnsi" w:hAnsiTheme="majorHAnsi" w:hint="default"/>
      </w:rPr>
    </w:lvl>
  </w:abstractNum>
  <w:abstractNum w:abstractNumId="13" w15:restartNumberingAfterBreak="0">
    <w:nsid w:val="1F105759"/>
    <w:multiLevelType w:val="multilevel"/>
    <w:tmpl w:val="10528798"/>
    <w:lvl w:ilvl="0">
      <w:start w:val="1"/>
      <w:numFmt w:val="decimal"/>
      <w:lvlRestart w:val="0"/>
      <w:pStyle w:val="Heading1"/>
      <w:lvlText w:val="%1"/>
      <w:lvlJc w:val="right"/>
      <w:pPr>
        <w:tabs>
          <w:tab w:val="num" w:pos="0"/>
        </w:tabs>
        <w:ind w:left="0" w:hanging="142"/>
      </w:pPr>
      <w:rPr>
        <w:rFonts w:hint="default"/>
      </w:rPr>
    </w:lvl>
    <w:lvl w:ilvl="1">
      <w:start w:val="1"/>
      <w:numFmt w:val="decimal"/>
      <w:pStyle w:val="Heading2"/>
      <w:lvlText w:val="%1.%2"/>
      <w:lvlJc w:val="right"/>
      <w:pPr>
        <w:tabs>
          <w:tab w:val="num" w:pos="0"/>
        </w:tabs>
        <w:ind w:left="0" w:hanging="142"/>
      </w:pPr>
      <w:rPr>
        <w:rFonts w:hint="default"/>
      </w:rPr>
    </w:lvl>
    <w:lvl w:ilvl="2">
      <w:start w:val="1"/>
      <w:numFmt w:val="decimal"/>
      <w:pStyle w:val="Heading3"/>
      <w:lvlText w:val="%1.%2.%3"/>
      <w:lvlJc w:val="right"/>
      <w:pPr>
        <w:tabs>
          <w:tab w:val="num" w:pos="0"/>
        </w:tabs>
        <w:ind w:left="0" w:hanging="142"/>
      </w:pPr>
      <w:rPr>
        <w:rFonts w:hint="default"/>
      </w:rPr>
    </w:lvl>
    <w:lvl w:ilvl="3">
      <w:start w:val="1"/>
      <w:numFmt w:val="decimal"/>
      <w:pStyle w:val="Heading4"/>
      <w:lvlText w:val="%1.%2.%3.%4"/>
      <w:lvlJc w:val="right"/>
      <w:pPr>
        <w:tabs>
          <w:tab w:val="num" w:pos="0"/>
        </w:tabs>
        <w:ind w:left="0" w:hanging="142"/>
      </w:pPr>
      <w:rPr>
        <w:rFonts w:hint="default"/>
      </w:rPr>
    </w:lvl>
    <w:lvl w:ilvl="4">
      <w:start w:val="1"/>
      <w:numFmt w:val="none"/>
      <w:lvlText w:val=""/>
      <w:lvlJc w:val="left"/>
      <w:pPr>
        <w:ind w:left="0" w:firstLine="0"/>
      </w:pPr>
      <w:rPr>
        <w:rFonts w:asciiTheme="majorHAnsi" w:hAnsiTheme="majorHAnsi" w:hint="default"/>
      </w:rPr>
    </w:lvl>
    <w:lvl w:ilvl="5">
      <w:start w:val="1"/>
      <w:numFmt w:val="none"/>
      <w:lvlText w:val=""/>
      <w:lvlJc w:val="left"/>
      <w:pPr>
        <w:ind w:left="0" w:firstLine="0"/>
      </w:pPr>
      <w:rPr>
        <w:rFonts w:asciiTheme="majorHAnsi" w:hAnsiTheme="majorHAnsi" w:hint="default"/>
      </w:rPr>
    </w:lvl>
    <w:lvl w:ilvl="6">
      <w:start w:val="1"/>
      <w:numFmt w:val="none"/>
      <w:lvlText w:val=""/>
      <w:lvlJc w:val="left"/>
      <w:pPr>
        <w:ind w:left="0" w:firstLine="0"/>
      </w:pPr>
      <w:rPr>
        <w:rFonts w:asciiTheme="majorHAnsi" w:hAnsiTheme="majorHAnsi" w:hint="default"/>
      </w:rPr>
    </w:lvl>
    <w:lvl w:ilvl="7">
      <w:start w:val="1"/>
      <w:numFmt w:val="none"/>
      <w:lvlText w:val=""/>
      <w:lvlJc w:val="left"/>
      <w:pPr>
        <w:ind w:left="0" w:firstLine="0"/>
      </w:pPr>
      <w:rPr>
        <w:rFonts w:asciiTheme="majorHAnsi" w:hAnsiTheme="majorHAnsi" w:hint="default"/>
      </w:rPr>
    </w:lvl>
    <w:lvl w:ilvl="8">
      <w:start w:val="1"/>
      <w:numFmt w:val="none"/>
      <w:lvlText w:val=""/>
      <w:lvlJc w:val="left"/>
      <w:pPr>
        <w:ind w:left="0" w:firstLine="0"/>
      </w:pPr>
      <w:rPr>
        <w:rFonts w:asciiTheme="majorHAnsi" w:hAnsiTheme="majorHAnsi" w:hint="default"/>
      </w:rPr>
    </w:lvl>
  </w:abstractNum>
  <w:abstractNum w:abstractNumId="14" w15:restartNumberingAfterBreak="0">
    <w:nsid w:val="22CD45A9"/>
    <w:multiLevelType w:val="multilevel"/>
    <w:tmpl w:val="53E03188"/>
    <w:lvl w:ilvl="0">
      <w:start w:val="1"/>
      <w:numFmt w:val="decimal"/>
      <w:lvlRestart w:val="0"/>
      <w:lvlText w:val="%1"/>
      <w:lvlJc w:val="right"/>
      <w:pPr>
        <w:ind w:left="0" w:hanging="284"/>
      </w:pPr>
      <w:rPr>
        <w:rFonts w:hint="default"/>
      </w:rPr>
    </w:lvl>
    <w:lvl w:ilvl="1">
      <w:start w:val="1"/>
      <w:numFmt w:val="decimal"/>
      <w:lvlText w:val="%1.%2"/>
      <w:lvlJc w:val="right"/>
      <w:pPr>
        <w:ind w:left="0" w:hanging="284"/>
      </w:pPr>
      <w:rPr>
        <w:rFonts w:hint="default"/>
      </w:rPr>
    </w:lvl>
    <w:lvl w:ilvl="2">
      <w:start w:val="1"/>
      <w:numFmt w:val="decimal"/>
      <w:lvlText w:val="%1.%2.%3"/>
      <w:lvlJc w:val="right"/>
      <w:pPr>
        <w:ind w:left="0" w:hanging="284"/>
      </w:pPr>
      <w:rPr>
        <w:rFonts w:hint="default"/>
      </w:rPr>
    </w:lvl>
    <w:lvl w:ilvl="3">
      <w:start w:val="1"/>
      <w:numFmt w:val="decimal"/>
      <w:lvlText w:val="%1.%2.%3.%4"/>
      <w:lvlJc w:val="right"/>
      <w:pPr>
        <w:ind w:left="0" w:hanging="284"/>
      </w:pPr>
      <w:rPr>
        <w:rFonts w:hint="default"/>
      </w:rPr>
    </w:lvl>
    <w:lvl w:ilvl="4">
      <w:start w:val="1"/>
      <w:numFmt w:val="none"/>
      <w:lvlText w:val=""/>
      <w:lvlJc w:val="left"/>
      <w:pPr>
        <w:ind w:left="0" w:firstLine="0"/>
      </w:pPr>
      <w:rPr>
        <w:rFonts w:asciiTheme="majorHAnsi" w:hAnsiTheme="majorHAnsi" w:hint="default"/>
      </w:rPr>
    </w:lvl>
    <w:lvl w:ilvl="5">
      <w:start w:val="1"/>
      <w:numFmt w:val="none"/>
      <w:lvlText w:val=""/>
      <w:lvlJc w:val="left"/>
      <w:pPr>
        <w:ind w:left="0" w:firstLine="0"/>
      </w:pPr>
      <w:rPr>
        <w:rFonts w:asciiTheme="majorHAnsi" w:hAnsiTheme="majorHAnsi" w:hint="default"/>
      </w:rPr>
    </w:lvl>
    <w:lvl w:ilvl="6">
      <w:start w:val="1"/>
      <w:numFmt w:val="none"/>
      <w:lvlText w:val=""/>
      <w:lvlJc w:val="left"/>
      <w:pPr>
        <w:ind w:left="0" w:firstLine="0"/>
      </w:pPr>
      <w:rPr>
        <w:rFonts w:asciiTheme="majorHAnsi" w:hAnsiTheme="majorHAnsi" w:hint="default"/>
      </w:rPr>
    </w:lvl>
    <w:lvl w:ilvl="7">
      <w:start w:val="1"/>
      <w:numFmt w:val="none"/>
      <w:lvlText w:val=""/>
      <w:lvlJc w:val="left"/>
      <w:pPr>
        <w:ind w:left="0" w:firstLine="0"/>
      </w:pPr>
      <w:rPr>
        <w:rFonts w:asciiTheme="majorHAnsi" w:hAnsiTheme="majorHAnsi" w:hint="default"/>
      </w:rPr>
    </w:lvl>
    <w:lvl w:ilvl="8">
      <w:start w:val="1"/>
      <w:numFmt w:val="none"/>
      <w:lvlText w:val=""/>
      <w:lvlJc w:val="left"/>
      <w:pPr>
        <w:ind w:left="0" w:firstLine="0"/>
      </w:pPr>
      <w:rPr>
        <w:rFonts w:asciiTheme="majorHAnsi" w:hAnsiTheme="majorHAnsi" w:hint="default"/>
      </w:rPr>
    </w:lvl>
  </w:abstractNum>
  <w:abstractNum w:abstractNumId="15" w15:restartNumberingAfterBreak="0">
    <w:nsid w:val="2AF818D7"/>
    <w:multiLevelType w:val="multilevel"/>
    <w:tmpl w:val="20F84FD4"/>
    <w:lvl w:ilvl="0">
      <w:start w:val="1"/>
      <w:numFmt w:val="upperLetter"/>
      <w:lvlText w:val="%1"/>
      <w:lvlJc w:val="right"/>
      <w:pPr>
        <w:ind w:left="0" w:hanging="284"/>
      </w:pPr>
      <w:rPr>
        <w:rFonts w:hint="default"/>
      </w:rPr>
    </w:lvl>
    <w:lvl w:ilvl="1">
      <w:start w:val="1"/>
      <w:numFmt w:val="decimal"/>
      <w:lvlText w:val="%1.%2"/>
      <w:lvlJc w:val="right"/>
      <w:pPr>
        <w:ind w:left="0" w:hanging="284"/>
      </w:pPr>
      <w:rPr>
        <w:rFonts w:hint="default"/>
      </w:rPr>
    </w:lvl>
    <w:lvl w:ilvl="2">
      <w:start w:val="1"/>
      <w:numFmt w:val="decimal"/>
      <w:lvlText w:val="%1.%2.%3"/>
      <w:lvlJc w:val="right"/>
      <w:pPr>
        <w:ind w:left="0" w:hanging="284"/>
      </w:pPr>
      <w:rPr>
        <w:rFonts w:hint="default"/>
      </w:rPr>
    </w:lvl>
    <w:lvl w:ilvl="3">
      <w:start w:val="1"/>
      <w:numFmt w:val="decimal"/>
      <w:lvlText w:val="%1.%2.%3.%4"/>
      <w:lvlJc w:val="right"/>
      <w:pPr>
        <w:ind w:left="0" w:hanging="284"/>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2DAA1077"/>
    <w:multiLevelType w:val="multilevel"/>
    <w:tmpl w:val="B128FF14"/>
    <w:name w:val="SecHeadList4"/>
    <w:lvl w:ilvl="0">
      <w:start w:val="1"/>
      <w:numFmt w:val="decimal"/>
      <w:lvlRestart w:val="0"/>
      <w:isLgl/>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asciiTheme="majorHAnsi" w:hAnsiTheme="majorHAnsi" w:hint="default"/>
      </w:rPr>
    </w:lvl>
    <w:lvl w:ilvl="5">
      <w:start w:val="1"/>
      <w:numFmt w:val="none"/>
      <w:suff w:val="nothing"/>
      <w:lvlText w:val=""/>
      <w:lvlJc w:val="left"/>
      <w:pPr>
        <w:ind w:left="0" w:firstLine="0"/>
      </w:pPr>
      <w:rPr>
        <w:rFonts w:asciiTheme="majorHAnsi" w:hAnsiTheme="majorHAnsi" w:hint="default"/>
      </w:rPr>
    </w:lvl>
    <w:lvl w:ilvl="6">
      <w:start w:val="1"/>
      <w:numFmt w:val="none"/>
      <w:suff w:val="nothing"/>
      <w:lvlText w:val=""/>
      <w:lvlJc w:val="left"/>
      <w:pPr>
        <w:ind w:left="0" w:firstLine="0"/>
      </w:pPr>
      <w:rPr>
        <w:rFonts w:asciiTheme="majorHAnsi" w:hAnsiTheme="majorHAnsi" w:hint="default"/>
      </w:rPr>
    </w:lvl>
    <w:lvl w:ilvl="7">
      <w:start w:val="1"/>
      <w:numFmt w:val="none"/>
      <w:suff w:val="nothing"/>
      <w:lvlText w:val=""/>
      <w:lvlJc w:val="left"/>
      <w:pPr>
        <w:ind w:left="0" w:firstLine="0"/>
      </w:pPr>
      <w:rPr>
        <w:rFonts w:asciiTheme="majorHAnsi" w:hAnsiTheme="majorHAnsi" w:hint="default"/>
      </w:rPr>
    </w:lvl>
    <w:lvl w:ilvl="8">
      <w:start w:val="1"/>
      <w:numFmt w:val="none"/>
      <w:suff w:val="nothing"/>
      <w:lvlText w:val=""/>
      <w:lvlJc w:val="left"/>
      <w:pPr>
        <w:ind w:left="0" w:firstLine="0"/>
      </w:pPr>
      <w:rPr>
        <w:rFonts w:asciiTheme="majorHAnsi" w:hAnsiTheme="majorHAnsi" w:hint="default"/>
      </w:rPr>
    </w:lvl>
  </w:abstractNum>
  <w:abstractNum w:abstractNumId="17" w15:restartNumberingAfterBreak="0">
    <w:nsid w:val="383B7E6D"/>
    <w:multiLevelType w:val="multilevel"/>
    <w:tmpl w:val="05F86D62"/>
    <w:name w:val="AppHeadList"/>
    <w:styleLink w:val="AppListStyle"/>
    <w:lvl w:ilvl="0">
      <w:start w:val="1"/>
      <w:numFmt w:val="upperLetter"/>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47FB34D5"/>
    <w:multiLevelType w:val="multilevel"/>
    <w:tmpl w:val="EF7C1A16"/>
    <w:name w:val="SecHeadList"/>
    <w:styleLink w:val="SecListStyle"/>
    <w:lvl w:ilvl="0">
      <w:start w:val="1"/>
      <w:numFmt w:val="decimal"/>
      <w:lvlRestart w:val="0"/>
      <w:isLgl/>
      <w:lvlText w:val="%1"/>
      <w:lvlJc w:val="right"/>
      <w:pPr>
        <w:tabs>
          <w:tab w:val="num" w:pos="0"/>
        </w:tabs>
        <w:ind w:left="0" w:hanging="283"/>
      </w:pPr>
      <w:rPr>
        <w:rFonts w:hint="default"/>
      </w:rPr>
    </w:lvl>
    <w:lvl w:ilvl="1">
      <w:start w:val="1"/>
      <w:numFmt w:val="decimal"/>
      <w:isLgl/>
      <w:lvlText w:val="%1.%2"/>
      <w:lvlJc w:val="right"/>
      <w:pPr>
        <w:tabs>
          <w:tab w:val="num" w:pos="0"/>
        </w:tabs>
        <w:ind w:left="0" w:hanging="283"/>
      </w:pPr>
      <w:rPr>
        <w:rFonts w:hint="default"/>
      </w:rPr>
    </w:lvl>
    <w:lvl w:ilvl="2">
      <w:start w:val="1"/>
      <w:numFmt w:val="decimal"/>
      <w:isLgl/>
      <w:lvlText w:val="%1.%2.%3"/>
      <w:lvlJc w:val="right"/>
      <w:pPr>
        <w:tabs>
          <w:tab w:val="num" w:pos="0"/>
        </w:tabs>
        <w:ind w:left="0" w:hanging="283"/>
      </w:pPr>
      <w:rPr>
        <w:rFonts w:hint="default"/>
      </w:rPr>
    </w:lvl>
    <w:lvl w:ilvl="3">
      <w:start w:val="1"/>
      <w:numFmt w:val="decimal"/>
      <w:isLgl/>
      <w:lvlText w:val="%1.%2.%3.%4"/>
      <w:lvlJc w:val="right"/>
      <w:pPr>
        <w:tabs>
          <w:tab w:val="num" w:pos="0"/>
        </w:tabs>
        <w:ind w:left="0" w:hanging="283"/>
      </w:pPr>
      <w:rPr>
        <w:rFonts w:hint="default"/>
      </w:rPr>
    </w:lvl>
    <w:lvl w:ilvl="4">
      <w:start w:val="1"/>
      <w:numFmt w:val="none"/>
      <w:lvlText w:val=""/>
      <w:lvlJc w:val="left"/>
      <w:pPr>
        <w:ind w:left="0" w:firstLine="0"/>
      </w:pPr>
      <w:rPr>
        <w:rFonts w:asciiTheme="majorHAnsi" w:hAnsiTheme="majorHAnsi" w:hint="default"/>
      </w:rPr>
    </w:lvl>
    <w:lvl w:ilvl="5">
      <w:start w:val="1"/>
      <w:numFmt w:val="none"/>
      <w:lvlText w:val=""/>
      <w:lvlJc w:val="left"/>
      <w:pPr>
        <w:ind w:left="0" w:firstLine="0"/>
      </w:pPr>
      <w:rPr>
        <w:rFonts w:asciiTheme="majorHAnsi" w:hAnsiTheme="majorHAnsi" w:hint="default"/>
      </w:rPr>
    </w:lvl>
    <w:lvl w:ilvl="6">
      <w:start w:val="1"/>
      <w:numFmt w:val="none"/>
      <w:lvlText w:val=""/>
      <w:lvlJc w:val="left"/>
      <w:pPr>
        <w:ind w:left="0" w:firstLine="0"/>
      </w:pPr>
      <w:rPr>
        <w:rFonts w:asciiTheme="majorHAnsi" w:hAnsiTheme="majorHAnsi" w:hint="default"/>
      </w:rPr>
    </w:lvl>
    <w:lvl w:ilvl="7">
      <w:start w:val="1"/>
      <w:numFmt w:val="none"/>
      <w:lvlText w:val=""/>
      <w:lvlJc w:val="left"/>
      <w:pPr>
        <w:ind w:left="0" w:firstLine="0"/>
      </w:pPr>
      <w:rPr>
        <w:rFonts w:asciiTheme="majorHAnsi" w:hAnsiTheme="majorHAnsi" w:hint="default"/>
      </w:rPr>
    </w:lvl>
    <w:lvl w:ilvl="8">
      <w:start w:val="1"/>
      <w:numFmt w:val="none"/>
      <w:lvlText w:val=""/>
      <w:lvlJc w:val="left"/>
      <w:pPr>
        <w:ind w:left="0" w:firstLine="0"/>
      </w:pPr>
      <w:rPr>
        <w:rFonts w:asciiTheme="majorHAnsi" w:hAnsiTheme="majorHAnsi" w:hint="default"/>
      </w:rPr>
    </w:lvl>
  </w:abstractNum>
  <w:abstractNum w:abstractNumId="19" w15:restartNumberingAfterBreak="0">
    <w:nsid w:val="48216DAD"/>
    <w:multiLevelType w:val="multilevel"/>
    <w:tmpl w:val="CEB6988C"/>
    <w:lvl w:ilvl="0">
      <w:start w:val="1"/>
      <w:numFmt w:val="bullet"/>
      <w:lvlText w:val="›"/>
      <w:lvlJc w:val="left"/>
      <w:pPr>
        <w:tabs>
          <w:tab w:val="num" w:pos="340"/>
        </w:tabs>
        <w:ind w:left="340" w:hanging="340"/>
      </w:pPr>
      <w:rPr>
        <w:rFonts w:ascii="Calibri" w:hAnsi="Calibri" w:hint="default"/>
        <w:color w:val="FF8200" w:themeColor="text2"/>
      </w:rPr>
    </w:lvl>
    <w:lvl w:ilvl="1">
      <w:start w:val="1"/>
      <w:numFmt w:val="bullet"/>
      <w:lvlText w:val="–"/>
      <w:lvlJc w:val="left"/>
      <w:pPr>
        <w:tabs>
          <w:tab w:val="num" w:pos="680"/>
        </w:tabs>
        <w:ind w:left="680" w:hanging="340"/>
      </w:pPr>
      <w:rPr>
        <w:rFonts w:ascii="(none)" w:hAnsi="(none)" w:hint="default"/>
        <w:color w:val="FF8200" w:themeColor="text2"/>
      </w:rPr>
    </w:lvl>
    <w:lvl w:ilvl="2">
      <w:start w:val="1"/>
      <w:numFmt w:val="bullet"/>
      <w:lvlText w:val="–"/>
      <w:lvlJc w:val="left"/>
      <w:pPr>
        <w:tabs>
          <w:tab w:val="num" w:pos="1021"/>
        </w:tabs>
        <w:ind w:left="1021" w:hanging="341"/>
      </w:pPr>
      <w:rPr>
        <w:rFonts w:ascii="(none)" w:hAnsi="(none)"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4A0744BE"/>
    <w:multiLevelType w:val="multilevel"/>
    <w:tmpl w:val="CEB6988C"/>
    <w:lvl w:ilvl="0">
      <w:start w:val="1"/>
      <w:numFmt w:val="bullet"/>
      <w:pStyle w:val="SymbolBullet1"/>
      <w:lvlText w:val="›"/>
      <w:lvlJc w:val="left"/>
      <w:pPr>
        <w:tabs>
          <w:tab w:val="num" w:pos="340"/>
        </w:tabs>
        <w:ind w:left="340" w:hanging="340"/>
      </w:pPr>
      <w:rPr>
        <w:rFonts w:ascii="Calibri" w:hAnsi="Calibri" w:hint="default"/>
        <w:color w:val="FF8200" w:themeColor="text2"/>
      </w:rPr>
    </w:lvl>
    <w:lvl w:ilvl="1">
      <w:start w:val="1"/>
      <w:numFmt w:val="bullet"/>
      <w:pStyle w:val="SymbolBullet2"/>
      <w:lvlText w:val="–"/>
      <w:lvlJc w:val="left"/>
      <w:pPr>
        <w:tabs>
          <w:tab w:val="num" w:pos="680"/>
        </w:tabs>
        <w:ind w:left="680" w:hanging="340"/>
      </w:pPr>
      <w:rPr>
        <w:rFonts w:ascii="(none)" w:hAnsi="(none)" w:hint="default"/>
        <w:color w:val="FF8200" w:themeColor="text2"/>
      </w:rPr>
    </w:lvl>
    <w:lvl w:ilvl="2">
      <w:start w:val="1"/>
      <w:numFmt w:val="bullet"/>
      <w:pStyle w:val="SymbolBullet3"/>
      <w:lvlText w:val="–"/>
      <w:lvlJc w:val="left"/>
      <w:pPr>
        <w:tabs>
          <w:tab w:val="num" w:pos="1021"/>
        </w:tabs>
        <w:ind w:left="1021" w:hanging="341"/>
      </w:pPr>
      <w:rPr>
        <w:rFonts w:ascii="(none)" w:hAnsi="(none)"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1" w15:restartNumberingAfterBreak="0">
    <w:nsid w:val="4A29459C"/>
    <w:multiLevelType w:val="multilevel"/>
    <w:tmpl w:val="88BE848E"/>
    <w:lvl w:ilvl="0">
      <w:start w:val="1"/>
      <w:numFmt w:val="bullet"/>
      <w:lvlText w:val=""/>
      <w:lvlJc w:val="left"/>
      <w:pPr>
        <w:tabs>
          <w:tab w:val="num" w:pos="170"/>
        </w:tabs>
        <w:ind w:left="170" w:hanging="170"/>
      </w:pPr>
      <w:rPr>
        <w:rFonts w:ascii="Symbol" w:hAnsi="Symbol" w:hint="default"/>
      </w:rPr>
    </w:lvl>
    <w:lvl w:ilvl="1">
      <w:start w:val="1"/>
      <w:numFmt w:val="bullet"/>
      <w:lvlText w:val="–"/>
      <w:lvlJc w:val="left"/>
      <w:pPr>
        <w:tabs>
          <w:tab w:val="num" w:pos="340"/>
        </w:tabs>
        <w:ind w:left="340" w:hanging="170"/>
      </w:pPr>
      <w:rPr>
        <w:rFonts w:hint="default"/>
        <w:color w:val="00A0A4" w:themeColor="accent1"/>
      </w:rPr>
    </w:lvl>
    <w:lvl w:ilvl="2">
      <w:start w:val="1"/>
      <w:numFmt w:val="bullet"/>
      <w:lvlText w:val="–"/>
      <w:lvlJc w:val="left"/>
      <w:pPr>
        <w:tabs>
          <w:tab w:val="num" w:pos="510"/>
        </w:tabs>
        <w:ind w:left="510" w:hanging="170"/>
      </w:pPr>
      <w:rPr>
        <w:rFonts w:hint="default"/>
        <w:color w:val="00A0A4"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22" w15:restartNumberingAfterBreak="0">
    <w:nsid w:val="4BA948EB"/>
    <w:multiLevelType w:val="multilevel"/>
    <w:tmpl w:val="88BE848E"/>
    <w:lvl w:ilvl="0">
      <w:start w:val="1"/>
      <w:numFmt w:val="bullet"/>
      <w:lvlText w:val=""/>
      <w:lvlJc w:val="left"/>
      <w:pPr>
        <w:tabs>
          <w:tab w:val="num" w:pos="170"/>
        </w:tabs>
        <w:ind w:left="170" w:hanging="170"/>
      </w:pPr>
      <w:rPr>
        <w:rFonts w:ascii="Symbol" w:hAnsi="Symbol" w:hint="default"/>
      </w:rPr>
    </w:lvl>
    <w:lvl w:ilvl="1">
      <w:start w:val="1"/>
      <w:numFmt w:val="bullet"/>
      <w:lvlText w:val="–"/>
      <w:lvlJc w:val="left"/>
      <w:pPr>
        <w:tabs>
          <w:tab w:val="num" w:pos="340"/>
        </w:tabs>
        <w:ind w:left="340" w:hanging="170"/>
      </w:pPr>
      <w:rPr>
        <w:rFonts w:hint="default"/>
        <w:color w:val="00A0A4" w:themeColor="accent1"/>
      </w:rPr>
    </w:lvl>
    <w:lvl w:ilvl="2">
      <w:start w:val="1"/>
      <w:numFmt w:val="bullet"/>
      <w:lvlText w:val="–"/>
      <w:lvlJc w:val="left"/>
      <w:pPr>
        <w:tabs>
          <w:tab w:val="num" w:pos="510"/>
        </w:tabs>
        <w:ind w:left="510" w:hanging="170"/>
      </w:pPr>
      <w:rPr>
        <w:rFonts w:hint="default"/>
        <w:color w:val="00A0A4"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23" w15:restartNumberingAfterBreak="0">
    <w:nsid w:val="54685C85"/>
    <w:multiLevelType w:val="multilevel"/>
    <w:tmpl w:val="CEB6988C"/>
    <w:lvl w:ilvl="0">
      <w:start w:val="1"/>
      <w:numFmt w:val="bullet"/>
      <w:lvlText w:val="›"/>
      <w:lvlJc w:val="left"/>
      <w:pPr>
        <w:tabs>
          <w:tab w:val="num" w:pos="340"/>
        </w:tabs>
        <w:ind w:left="340" w:hanging="340"/>
      </w:pPr>
      <w:rPr>
        <w:rFonts w:ascii="Calibri" w:hAnsi="Calibri" w:hint="default"/>
        <w:color w:val="FF8200" w:themeColor="text2"/>
      </w:rPr>
    </w:lvl>
    <w:lvl w:ilvl="1">
      <w:start w:val="1"/>
      <w:numFmt w:val="bullet"/>
      <w:lvlText w:val="–"/>
      <w:lvlJc w:val="left"/>
      <w:pPr>
        <w:tabs>
          <w:tab w:val="num" w:pos="680"/>
        </w:tabs>
        <w:ind w:left="680" w:hanging="340"/>
      </w:pPr>
      <w:rPr>
        <w:rFonts w:ascii="(none)" w:hAnsi="(none)" w:hint="default"/>
        <w:color w:val="FF8200" w:themeColor="text2"/>
      </w:rPr>
    </w:lvl>
    <w:lvl w:ilvl="2">
      <w:start w:val="1"/>
      <w:numFmt w:val="bullet"/>
      <w:lvlText w:val="–"/>
      <w:lvlJc w:val="left"/>
      <w:pPr>
        <w:tabs>
          <w:tab w:val="num" w:pos="1021"/>
        </w:tabs>
        <w:ind w:left="1021" w:hanging="341"/>
      </w:pPr>
      <w:rPr>
        <w:rFonts w:ascii="(none)" w:hAnsi="(none)"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4" w15:restartNumberingAfterBreak="0">
    <w:nsid w:val="6EE3444F"/>
    <w:multiLevelType w:val="multilevel"/>
    <w:tmpl w:val="FA58AE70"/>
    <w:lvl w:ilvl="0">
      <w:start w:val="1"/>
      <w:numFmt w:val="bullet"/>
      <w:pStyle w:val="TableBullet1"/>
      <w:lvlText w:val="›"/>
      <w:lvlJc w:val="left"/>
      <w:pPr>
        <w:tabs>
          <w:tab w:val="num" w:pos="170"/>
        </w:tabs>
        <w:ind w:left="170" w:hanging="170"/>
      </w:pPr>
      <w:rPr>
        <w:rFonts w:ascii="Calibri" w:hAnsi="Calibri" w:hint="default"/>
        <w:color w:val="FF8200" w:themeColor="text2"/>
      </w:rPr>
    </w:lvl>
    <w:lvl w:ilvl="1">
      <w:start w:val="1"/>
      <w:numFmt w:val="bullet"/>
      <w:pStyle w:val="TableBullet2"/>
      <w:lvlText w:val="–"/>
      <w:lvlJc w:val="left"/>
      <w:pPr>
        <w:tabs>
          <w:tab w:val="num" w:pos="340"/>
        </w:tabs>
        <w:ind w:left="340" w:hanging="170"/>
      </w:pPr>
      <w:rPr>
        <w:rFonts w:ascii="Arial" w:hAnsi="Arial" w:hint="default"/>
        <w:color w:val="FF8200" w:themeColor="text2"/>
      </w:rPr>
    </w:lvl>
    <w:lvl w:ilvl="2">
      <w:start w:val="1"/>
      <w:numFmt w:val="bullet"/>
      <w:pStyle w:val="TableBullet3"/>
      <w:lvlText w:val="–"/>
      <w:lvlJc w:val="left"/>
      <w:pPr>
        <w:tabs>
          <w:tab w:val="num" w:pos="510"/>
        </w:tabs>
        <w:ind w:left="510" w:hanging="170"/>
      </w:pPr>
      <w:rPr>
        <w:rFonts w:ascii="Arial" w:hAnsi="Arial"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25" w15:restartNumberingAfterBreak="0">
    <w:nsid w:val="796A3518"/>
    <w:multiLevelType w:val="multilevel"/>
    <w:tmpl w:val="112ABA94"/>
    <w:lvl w:ilvl="0">
      <w:start w:val="1"/>
      <w:numFmt w:val="decimal"/>
      <w:pStyle w:val="AlphaNumBullet1"/>
      <w:lvlText w:val="%1."/>
      <w:lvlJc w:val="left"/>
      <w:pPr>
        <w:tabs>
          <w:tab w:val="num" w:pos="340"/>
        </w:tabs>
        <w:ind w:left="340" w:hanging="340"/>
      </w:pPr>
      <w:rPr>
        <w:rFonts w:hint="default"/>
        <w:color w:val="FF8200" w:themeColor="text2"/>
      </w:rPr>
    </w:lvl>
    <w:lvl w:ilvl="1">
      <w:start w:val="1"/>
      <w:numFmt w:val="lowerLetter"/>
      <w:pStyle w:val="AlphaNumBullet2"/>
      <w:lvlText w:val="%2."/>
      <w:lvlJc w:val="left"/>
      <w:pPr>
        <w:tabs>
          <w:tab w:val="num" w:pos="680"/>
        </w:tabs>
        <w:ind w:left="680" w:hanging="340"/>
      </w:pPr>
      <w:rPr>
        <w:rFonts w:hint="default"/>
        <w:color w:val="FF8200" w:themeColor="text2"/>
      </w:rPr>
    </w:lvl>
    <w:lvl w:ilvl="2">
      <w:start w:val="1"/>
      <w:numFmt w:val="lowerRoman"/>
      <w:pStyle w:val="AlphaNumBullet3"/>
      <w:lvlText w:val="%3."/>
      <w:lvlJc w:val="left"/>
      <w:pPr>
        <w:tabs>
          <w:tab w:val="num" w:pos="1021"/>
        </w:tabs>
        <w:ind w:left="1021" w:hanging="341"/>
      </w:pPr>
      <w:rPr>
        <w:rFonts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6" w15:restartNumberingAfterBreak="0">
    <w:nsid w:val="7A586721"/>
    <w:multiLevelType w:val="multilevel"/>
    <w:tmpl w:val="B0EE10D0"/>
    <w:lvl w:ilvl="0">
      <w:start w:val="1"/>
      <w:numFmt w:val="upperLetter"/>
      <w:pStyle w:val="AppHead1"/>
      <w:lvlText w:val="%1"/>
      <w:lvlJc w:val="right"/>
      <w:pPr>
        <w:tabs>
          <w:tab w:val="num" w:pos="0"/>
        </w:tabs>
        <w:ind w:left="0" w:hanging="142"/>
      </w:pPr>
      <w:rPr>
        <w:rFonts w:hint="default"/>
      </w:rPr>
    </w:lvl>
    <w:lvl w:ilvl="1">
      <w:start w:val="1"/>
      <w:numFmt w:val="decimal"/>
      <w:pStyle w:val="AppHead2"/>
      <w:lvlText w:val="%1.%2"/>
      <w:lvlJc w:val="right"/>
      <w:pPr>
        <w:tabs>
          <w:tab w:val="num" w:pos="0"/>
        </w:tabs>
        <w:ind w:left="0" w:hanging="142"/>
      </w:pPr>
      <w:rPr>
        <w:rFonts w:hint="default"/>
      </w:rPr>
    </w:lvl>
    <w:lvl w:ilvl="2">
      <w:start w:val="1"/>
      <w:numFmt w:val="decimal"/>
      <w:pStyle w:val="AppHead3"/>
      <w:lvlText w:val="%1.%2.%3"/>
      <w:lvlJc w:val="right"/>
      <w:pPr>
        <w:tabs>
          <w:tab w:val="num" w:pos="0"/>
        </w:tabs>
        <w:ind w:left="0" w:hanging="142"/>
      </w:pPr>
      <w:rPr>
        <w:rFonts w:hint="default"/>
      </w:rPr>
    </w:lvl>
    <w:lvl w:ilvl="3">
      <w:start w:val="1"/>
      <w:numFmt w:val="decimal"/>
      <w:pStyle w:val="AppHead4"/>
      <w:lvlText w:val="%1.%2.%3.%4"/>
      <w:lvlJc w:val="right"/>
      <w:pPr>
        <w:tabs>
          <w:tab w:val="num" w:pos="0"/>
        </w:tabs>
        <w:ind w:left="0" w:hanging="142"/>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num w:numId="1">
    <w:abstractNumId w:val="25"/>
  </w:num>
  <w:num w:numId="2">
    <w:abstractNumId w:val="26"/>
  </w:num>
  <w:num w:numId="3">
    <w:abstractNumId w:val="20"/>
  </w:num>
  <w:num w:numId="4">
    <w:abstractNumId w:val="24"/>
  </w:num>
  <w:num w:numId="5">
    <w:abstractNumId w:val="13"/>
  </w:num>
  <w:num w:numId="6">
    <w:abstractNumId w:val="18"/>
  </w:num>
  <w:num w:numId="7">
    <w:abstractNumId w:val="17"/>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23"/>
  </w:num>
  <w:num w:numId="20">
    <w:abstractNumId w:val="10"/>
  </w:num>
  <w:num w:numId="21">
    <w:abstractNumId w:val="21"/>
  </w:num>
  <w:num w:numId="22">
    <w:abstractNumId w:val="19"/>
  </w:num>
  <w:num w:numId="23">
    <w:abstractNumId w:val="22"/>
  </w:num>
  <w:num w:numId="24">
    <w:abstractNumId w:val="13"/>
  </w:num>
  <w:num w:numId="25">
    <w:abstractNumId w:val="13"/>
    <w:lvlOverride w:ilvl="0">
      <w:startOverride w:val="10"/>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0"/>
    </w:lvlOverride>
    <w:lvlOverride w:ilvl="1">
      <w:startOverride w:val="9"/>
    </w:lvlOverride>
    <w:lvlOverride w:ilvl="2">
      <w:startOverride w:val="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num>
  <w:num w:numId="28">
    <w:abstractNumId w:val="1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lvlOverride w:ilvl="0">
      <w:startOverride w:val="9"/>
    </w:lvlOverride>
    <w:lvlOverride w:ilvl="1">
      <w:startOverride w:val="9"/>
    </w:lvlOverride>
    <w:lvlOverride w:ilvl="2">
      <w:startOverride w:val="9"/>
    </w:lvlOverride>
    <w:lvlOverride w:ilvl="3">
      <w:startOverride w:val="9"/>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5"/>
  </w:num>
  <w:num w:numId="31">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updateFields w:val="tru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0B"/>
    <w:rsid w:val="000041CA"/>
    <w:rsid w:val="00004B94"/>
    <w:rsid w:val="0001096A"/>
    <w:rsid w:val="000170EC"/>
    <w:rsid w:val="00026BE9"/>
    <w:rsid w:val="00030618"/>
    <w:rsid w:val="00046172"/>
    <w:rsid w:val="00053504"/>
    <w:rsid w:val="00056A83"/>
    <w:rsid w:val="00065D13"/>
    <w:rsid w:val="000672FB"/>
    <w:rsid w:val="0006764F"/>
    <w:rsid w:val="000711D1"/>
    <w:rsid w:val="0008427B"/>
    <w:rsid w:val="00090127"/>
    <w:rsid w:val="000B7BEB"/>
    <w:rsid w:val="000C7A6F"/>
    <w:rsid w:val="000D055E"/>
    <w:rsid w:val="000D238B"/>
    <w:rsid w:val="000F2D3D"/>
    <w:rsid w:val="000F37FF"/>
    <w:rsid w:val="00112CCB"/>
    <w:rsid w:val="00121210"/>
    <w:rsid w:val="00133664"/>
    <w:rsid w:val="00135A58"/>
    <w:rsid w:val="00136210"/>
    <w:rsid w:val="00141FF2"/>
    <w:rsid w:val="001475B3"/>
    <w:rsid w:val="00153389"/>
    <w:rsid w:val="00162264"/>
    <w:rsid w:val="00162DA4"/>
    <w:rsid w:val="00164315"/>
    <w:rsid w:val="0016532E"/>
    <w:rsid w:val="00172579"/>
    <w:rsid w:val="001769C8"/>
    <w:rsid w:val="00180354"/>
    <w:rsid w:val="00184014"/>
    <w:rsid w:val="001850BD"/>
    <w:rsid w:val="00187190"/>
    <w:rsid w:val="0019565D"/>
    <w:rsid w:val="00196A88"/>
    <w:rsid w:val="001A15EE"/>
    <w:rsid w:val="001B477A"/>
    <w:rsid w:val="001B769D"/>
    <w:rsid w:val="001C4090"/>
    <w:rsid w:val="001D7778"/>
    <w:rsid w:val="001E3E6E"/>
    <w:rsid w:val="001E6E8F"/>
    <w:rsid w:val="001F03E2"/>
    <w:rsid w:val="001F1375"/>
    <w:rsid w:val="001F5965"/>
    <w:rsid w:val="00201F3B"/>
    <w:rsid w:val="0020649B"/>
    <w:rsid w:val="002110DB"/>
    <w:rsid w:val="00224210"/>
    <w:rsid w:val="002368C5"/>
    <w:rsid w:val="00237382"/>
    <w:rsid w:val="002436D2"/>
    <w:rsid w:val="00245E0E"/>
    <w:rsid w:val="00255298"/>
    <w:rsid w:val="00256B2E"/>
    <w:rsid w:val="00264DEB"/>
    <w:rsid w:val="00272BF2"/>
    <w:rsid w:val="002733D0"/>
    <w:rsid w:val="00274BD6"/>
    <w:rsid w:val="00280DAB"/>
    <w:rsid w:val="0028644E"/>
    <w:rsid w:val="00295F89"/>
    <w:rsid w:val="002A7B8C"/>
    <w:rsid w:val="002C482B"/>
    <w:rsid w:val="002E165D"/>
    <w:rsid w:val="002F1B8E"/>
    <w:rsid w:val="002F337F"/>
    <w:rsid w:val="002F4726"/>
    <w:rsid w:val="00301AC8"/>
    <w:rsid w:val="003075C6"/>
    <w:rsid w:val="003166E3"/>
    <w:rsid w:val="0033044F"/>
    <w:rsid w:val="0035554B"/>
    <w:rsid w:val="00364CD8"/>
    <w:rsid w:val="0037161D"/>
    <w:rsid w:val="003855C8"/>
    <w:rsid w:val="003942C3"/>
    <w:rsid w:val="003A0291"/>
    <w:rsid w:val="003B2EB7"/>
    <w:rsid w:val="003B3D63"/>
    <w:rsid w:val="003B47F4"/>
    <w:rsid w:val="003D6ABE"/>
    <w:rsid w:val="003F2A3F"/>
    <w:rsid w:val="00400E40"/>
    <w:rsid w:val="004062F4"/>
    <w:rsid w:val="0044455F"/>
    <w:rsid w:val="004637C9"/>
    <w:rsid w:val="00467260"/>
    <w:rsid w:val="004738A5"/>
    <w:rsid w:val="00481ED0"/>
    <w:rsid w:val="0049056F"/>
    <w:rsid w:val="004A1348"/>
    <w:rsid w:val="004B24CE"/>
    <w:rsid w:val="004B3F40"/>
    <w:rsid w:val="004B4033"/>
    <w:rsid w:val="004B5BD0"/>
    <w:rsid w:val="004B6243"/>
    <w:rsid w:val="004D2F24"/>
    <w:rsid w:val="004D376F"/>
    <w:rsid w:val="004D49C5"/>
    <w:rsid w:val="004E2E9E"/>
    <w:rsid w:val="00500CA7"/>
    <w:rsid w:val="0050571C"/>
    <w:rsid w:val="00505F5C"/>
    <w:rsid w:val="00514A63"/>
    <w:rsid w:val="0052024B"/>
    <w:rsid w:val="005376C0"/>
    <w:rsid w:val="00540F52"/>
    <w:rsid w:val="00574051"/>
    <w:rsid w:val="005820AD"/>
    <w:rsid w:val="00584108"/>
    <w:rsid w:val="00584729"/>
    <w:rsid w:val="0059270B"/>
    <w:rsid w:val="005A706D"/>
    <w:rsid w:val="005D3164"/>
    <w:rsid w:val="005D3453"/>
    <w:rsid w:val="005D79D2"/>
    <w:rsid w:val="005D7F2B"/>
    <w:rsid w:val="00600F08"/>
    <w:rsid w:val="00624D6E"/>
    <w:rsid w:val="00653005"/>
    <w:rsid w:val="00653464"/>
    <w:rsid w:val="00654A00"/>
    <w:rsid w:val="006644CB"/>
    <w:rsid w:val="0066535F"/>
    <w:rsid w:val="006664EB"/>
    <w:rsid w:val="00667906"/>
    <w:rsid w:val="00667BC0"/>
    <w:rsid w:val="00671CB0"/>
    <w:rsid w:val="00673B4F"/>
    <w:rsid w:val="00687B92"/>
    <w:rsid w:val="0069663C"/>
    <w:rsid w:val="0069729D"/>
    <w:rsid w:val="0069774A"/>
    <w:rsid w:val="006B7429"/>
    <w:rsid w:val="006D1E87"/>
    <w:rsid w:val="006D2A52"/>
    <w:rsid w:val="006D7107"/>
    <w:rsid w:val="006E2007"/>
    <w:rsid w:val="006E54BD"/>
    <w:rsid w:val="006E63D9"/>
    <w:rsid w:val="006E6410"/>
    <w:rsid w:val="006F61A4"/>
    <w:rsid w:val="007063F7"/>
    <w:rsid w:val="0072026F"/>
    <w:rsid w:val="00722371"/>
    <w:rsid w:val="007267C1"/>
    <w:rsid w:val="00734564"/>
    <w:rsid w:val="00747667"/>
    <w:rsid w:val="00755DC3"/>
    <w:rsid w:val="007667DF"/>
    <w:rsid w:val="00771F31"/>
    <w:rsid w:val="0077777F"/>
    <w:rsid w:val="00785319"/>
    <w:rsid w:val="00785C42"/>
    <w:rsid w:val="00792560"/>
    <w:rsid w:val="00794CFA"/>
    <w:rsid w:val="007D1CA5"/>
    <w:rsid w:val="007E34AE"/>
    <w:rsid w:val="007E5518"/>
    <w:rsid w:val="007E7EB3"/>
    <w:rsid w:val="007F49EE"/>
    <w:rsid w:val="007F4A0B"/>
    <w:rsid w:val="00801DF6"/>
    <w:rsid w:val="00815032"/>
    <w:rsid w:val="00821203"/>
    <w:rsid w:val="00822AD2"/>
    <w:rsid w:val="0082303C"/>
    <w:rsid w:val="0083070E"/>
    <w:rsid w:val="008339D4"/>
    <w:rsid w:val="00835705"/>
    <w:rsid w:val="00835E4D"/>
    <w:rsid w:val="00837696"/>
    <w:rsid w:val="00844E5D"/>
    <w:rsid w:val="00845E77"/>
    <w:rsid w:val="0086029D"/>
    <w:rsid w:val="00861B99"/>
    <w:rsid w:val="00871823"/>
    <w:rsid w:val="0087488F"/>
    <w:rsid w:val="008805ED"/>
    <w:rsid w:val="00885DBD"/>
    <w:rsid w:val="00890591"/>
    <w:rsid w:val="00896E76"/>
    <w:rsid w:val="00897006"/>
    <w:rsid w:val="008A180C"/>
    <w:rsid w:val="008B148E"/>
    <w:rsid w:val="008B1E9D"/>
    <w:rsid w:val="008D4C24"/>
    <w:rsid w:val="008E10D9"/>
    <w:rsid w:val="008E46E7"/>
    <w:rsid w:val="008F3F87"/>
    <w:rsid w:val="008F78B7"/>
    <w:rsid w:val="00900C1F"/>
    <w:rsid w:val="00923366"/>
    <w:rsid w:val="0092593D"/>
    <w:rsid w:val="00932289"/>
    <w:rsid w:val="009341FA"/>
    <w:rsid w:val="00942272"/>
    <w:rsid w:val="0094513F"/>
    <w:rsid w:val="00950A1D"/>
    <w:rsid w:val="0096771E"/>
    <w:rsid w:val="00973D95"/>
    <w:rsid w:val="00974426"/>
    <w:rsid w:val="00976E24"/>
    <w:rsid w:val="0097713D"/>
    <w:rsid w:val="00984946"/>
    <w:rsid w:val="00985D74"/>
    <w:rsid w:val="009A00D3"/>
    <w:rsid w:val="009A6C58"/>
    <w:rsid w:val="009B34D9"/>
    <w:rsid w:val="009B3626"/>
    <w:rsid w:val="009B5847"/>
    <w:rsid w:val="009C27E4"/>
    <w:rsid w:val="009C3F82"/>
    <w:rsid w:val="009C69BD"/>
    <w:rsid w:val="009E635E"/>
    <w:rsid w:val="00A1136A"/>
    <w:rsid w:val="00A26B89"/>
    <w:rsid w:val="00A41436"/>
    <w:rsid w:val="00A50E6B"/>
    <w:rsid w:val="00A55398"/>
    <w:rsid w:val="00A648BB"/>
    <w:rsid w:val="00A711CD"/>
    <w:rsid w:val="00A732AF"/>
    <w:rsid w:val="00A83E63"/>
    <w:rsid w:val="00A92508"/>
    <w:rsid w:val="00AA3078"/>
    <w:rsid w:val="00AB3E24"/>
    <w:rsid w:val="00AD512C"/>
    <w:rsid w:val="00B048CB"/>
    <w:rsid w:val="00B05655"/>
    <w:rsid w:val="00B06591"/>
    <w:rsid w:val="00B105DC"/>
    <w:rsid w:val="00B266F7"/>
    <w:rsid w:val="00B30E61"/>
    <w:rsid w:val="00B52027"/>
    <w:rsid w:val="00B532E3"/>
    <w:rsid w:val="00B62D46"/>
    <w:rsid w:val="00B81A01"/>
    <w:rsid w:val="00BA4070"/>
    <w:rsid w:val="00BB05CB"/>
    <w:rsid w:val="00BC1803"/>
    <w:rsid w:val="00BC4CA7"/>
    <w:rsid w:val="00BD292E"/>
    <w:rsid w:val="00BD516D"/>
    <w:rsid w:val="00BE1F3A"/>
    <w:rsid w:val="00BF4A69"/>
    <w:rsid w:val="00C0572D"/>
    <w:rsid w:val="00C24991"/>
    <w:rsid w:val="00C302CA"/>
    <w:rsid w:val="00C5034A"/>
    <w:rsid w:val="00C51590"/>
    <w:rsid w:val="00C55E23"/>
    <w:rsid w:val="00C56D53"/>
    <w:rsid w:val="00C57558"/>
    <w:rsid w:val="00C65A9A"/>
    <w:rsid w:val="00C66079"/>
    <w:rsid w:val="00C71875"/>
    <w:rsid w:val="00C71FA9"/>
    <w:rsid w:val="00C753B8"/>
    <w:rsid w:val="00C76153"/>
    <w:rsid w:val="00C76629"/>
    <w:rsid w:val="00C945EA"/>
    <w:rsid w:val="00C94738"/>
    <w:rsid w:val="00C971A1"/>
    <w:rsid w:val="00C979E7"/>
    <w:rsid w:val="00CA669B"/>
    <w:rsid w:val="00CA6E49"/>
    <w:rsid w:val="00CB1E37"/>
    <w:rsid w:val="00CB4384"/>
    <w:rsid w:val="00CF6BE0"/>
    <w:rsid w:val="00D10FFA"/>
    <w:rsid w:val="00D236EC"/>
    <w:rsid w:val="00D353FF"/>
    <w:rsid w:val="00D47DB8"/>
    <w:rsid w:val="00D5396E"/>
    <w:rsid w:val="00D60544"/>
    <w:rsid w:val="00D73E65"/>
    <w:rsid w:val="00D80999"/>
    <w:rsid w:val="00D87F3B"/>
    <w:rsid w:val="00D95195"/>
    <w:rsid w:val="00DA5E8B"/>
    <w:rsid w:val="00DC58D8"/>
    <w:rsid w:val="00E0645B"/>
    <w:rsid w:val="00E1151C"/>
    <w:rsid w:val="00E17BBF"/>
    <w:rsid w:val="00E2259E"/>
    <w:rsid w:val="00E2315D"/>
    <w:rsid w:val="00E23BE6"/>
    <w:rsid w:val="00E762D9"/>
    <w:rsid w:val="00E806CF"/>
    <w:rsid w:val="00E86B42"/>
    <w:rsid w:val="00E967F5"/>
    <w:rsid w:val="00EA5C1A"/>
    <w:rsid w:val="00EB11F7"/>
    <w:rsid w:val="00EB518A"/>
    <w:rsid w:val="00EC004A"/>
    <w:rsid w:val="00EC2484"/>
    <w:rsid w:val="00ED3B88"/>
    <w:rsid w:val="00EE6AA0"/>
    <w:rsid w:val="00F2624A"/>
    <w:rsid w:val="00F368D9"/>
    <w:rsid w:val="00F56589"/>
    <w:rsid w:val="00F62B38"/>
    <w:rsid w:val="00F62E4E"/>
    <w:rsid w:val="00F65E70"/>
    <w:rsid w:val="00F667D6"/>
    <w:rsid w:val="00F71B17"/>
    <w:rsid w:val="00F8527B"/>
    <w:rsid w:val="00FA0B93"/>
    <w:rsid w:val="00FA5B65"/>
    <w:rsid w:val="00FB6B9F"/>
    <w:rsid w:val="00FC18B1"/>
    <w:rsid w:val="00FC3676"/>
    <w:rsid w:val="00FD1DC7"/>
    <w:rsid w:val="00FD4713"/>
    <w:rsid w:val="00FF1456"/>
    <w:rsid w:val="00FF1DCA"/>
    <w:rsid w:val="00FF2A3B"/>
    <w:rsid w:val="00FF6C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B81AC1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3C3C3C" w:themeColor="text1"/>
        <w:sz w:val="21"/>
        <w:szCs w:val="21"/>
        <w:lang w:val="en-GB"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lsdException w:name="heading 4" w:semiHidden="1" w:uiPriority="4" w:unhideWhenUsed="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iPriority="35" w:unhideWhenUsed="1"/>
    <w:lsdException w:name="annotation text" w:semiHidden="1" w:unhideWhenUsed="1"/>
    <w:lsdException w:name="header" w:semiHidden="1" w:uiPriority="36" w:unhideWhenUsed="1"/>
    <w:lsdException w:name="footer" w:semiHidden="1" w:uiPriority="36" w:unhideWhenUsed="1"/>
    <w:lsdException w:name="index heading" w:semiHidden="1"/>
    <w:lsdException w:name="caption" w:semiHidden="1" w:uiPriority="7" w:unhideWhenUsed="1"/>
    <w:lsdException w:name="table of figures" w:semiHidden="1" w:unhideWhenUsed="1"/>
    <w:lsdException w:name="envelope address" w:semiHidden="1"/>
    <w:lsdException w:name="envelope return" w:semiHidden="1"/>
    <w:lsdException w:name="footnote reference" w:semiHidden="1" w:uiPriority="35" w:unhideWhenUsed="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iPriority="37" w:unhideWhenUsed="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lsdException w:name="Intense Reference" w:semiHidden="1" w:uiPriority="32" w:qFormat="1"/>
    <w:lsdException w:name="Book Title" w:semiHidden="1" w:uiPriority="33" w:qFormat="1"/>
    <w:lsdException w:name="Bibliography" w:semiHidden="1" w:uiPriority="37"/>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aliases w:val="±BodyText"/>
    <w:qFormat/>
    <w:rsid w:val="00574051"/>
  </w:style>
  <w:style w:type="paragraph" w:styleId="Heading1">
    <w:name w:val="heading 1"/>
    <w:aliases w:val="±Head1"/>
    <w:basedOn w:val="Head1NonToc"/>
    <w:next w:val="Normal"/>
    <w:link w:val="Heading1Char"/>
    <w:uiPriority w:val="4"/>
    <w:qFormat/>
    <w:rsid w:val="00112CCB"/>
    <w:pPr>
      <w:numPr>
        <w:numId w:val="24"/>
      </w:numPr>
    </w:pPr>
  </w:style>
  <w:style w:type="paragraph" w:styleId="Heading2">
    <w:name w:val="heading 2"/>
    <w:aliases w:val="±Head2"/>
    <w:basedOn w:val="NoNumHead2"/>
    <w:next w:val="Normal"/>
    <w:link w:val="Heading2Char"/>
    <w:uiPriority w:val="4"/>
    <w:qFormat/>
    <w:rsid w:val="00FA0B93"/>
    <w:pPr>
      <w:numPr>
        <w:ilvl w:val="1"/>
        <w:numId w:val="24"/>
      </w:numPr>
    </w:pPr>
  </w:style>
  <w:style w:type="paragraph" w:styleId="Heading3">
    <w:name w:val="heading 3"/>
    <w:aliases w:val="±Head3"/>
    <w:basedOn w:val="NoNumHead2"/>
    <w:next w:val="Normal"/>
    <w:link w:val="Heading3Char"/>
    <w:uiPriority w:val="4"/>
    <w:rsid w:val="0086029D"/>
    <w:pPr>
      <w:numPr>
        <w:ilvl w:val="2"/>
        <w:numId w:val="24"/>
      </w:numPr>
      <w:outlineLvl w:val="2"/>
    </w:pPr>
    <w:rPr>
      <w:sz w:val="24"/>
    </w:rPr>
  </w:style>
  <w:style w:type="paragraph" w:styleId="Heading4">
    <w:name w:val="heading 4"/>
    <w:aliases w:val="±Head4"/>
    <w:basedOn w:val="NoNumHead2"/>
    <w:next w:val="Normal"/>
    <w:link w:val="Heading4Char"/>
    <w:uiPriority w:val="4"/>
    <w:rsid w:val="0086029D"/>
    <w:pPr>
      <w:numPr>
        <w:ilvl w:val="3"/>
        <w:numId w:val="24"/>
      </w:numPr>
      <w:outlineLvl w:val="3"/>
    </w:pPr>
    <w:rPr>
      <w:sz w:val="22"/>
    </w:rPr>
  </w:style>
  <w:style w:type="paragraph" w:styleId="Heading5">
    <w:name w:val="heading 5"/>
    <w:aliases w:val="±Head5"/>
    <w:basedOn w:val="NoNumHead2"/>
    <w:next w:val="Normal"/>
    <w:link w:val="Heading5Char"/>
    <w:uiPriority w:val="4"/>
    <w:semiHidden/>
    <w:rsid w:val="00FA0B93"/>
    <w:pPr>
      <w:keepLines/>
      <w:spacing w:after="0"/>
      <w:outlineLvl w:val="4"/>
    </w:pPr>
    <w:rPr>
      <w:rFonts w:eastAsiaTheme="majorEastAsia" w:cstheme="majorBidi"/>
      <w:b w:val="0"/>
    </w:rPr>
  </w:style>
  <w:style w:type="paragraph" w:styleId="Heading6">
    <w:name w:val="heading 6"/>
    <w:aliases w:val="±Head6"/>
    <w:basedOn w:val="NoNumHead2"/>
    <w:next w:val="Normal"/>
    <w:link w:val="Heading6Char"/>
    <w:uiPriority w:val="4"/>
    <w:semiHidden/>
    <w:rsid w:val="00FA0B93"/>
    <w:pPr>
      <w:keepLines/>
      <w:spacing w:after="0"/>
      <w:outlineLvl w:val="5"/>
    </w:pPr>
    <w:rPr>
      <w:rFonts w:eastAsiaTheme="majorEastAsia" w:cstheme="majorBidi"/>
      <w:b w:val="0"/>
      <w:i/>
      <w:iCs/>
    </w:rPr>
  </w:style>
  <w:style w:type="paragraph" w:styleId="Heading7">
    <w:name w:val="heading 7"/>
    <w:aliases w:val="±Head7"/>
    <w:basedOn w:val="NoNumHead2"/>
    <w:next w:val="Normal"/>
    <w:link w:val="Heading7Char"/>
    <w:uiPriority w:val="4"/>
    <w:semiHidden/>
    <w:rsid w:val="00FA0B93"/>
    <w:pPr>
      <w:keepLines/>
      <w:spacing w:after="0"/>
      <w:outlineLvl w:val="6"/>
    </w:pPr>
    <w:rPr>
      <w:rFonts w:eastAsiaTheme="majorEastAsia" w:cstheme="majorBidi"/>
      <w:b w:val="0"/>
      <w:iCs/>
    </w:rPr>
  </w:style>
  <w:style w:type="paragraph" w:styleId="Heading8">
    <w:name w:val="heading 8"/>
    <w:aliases w:val="±Head8"/>
    <w:basedOn w:val="NoNumHead2"/>
    <w:next w:val="Normal"/>
    <w:link w:val="Heading8Char"/>
    <w:uiPriority w:val="4"/>
    <w:semiHidden/>
    <w:rsid w:val="00FA0B93"/>
    <w:pPr>
      <w:keepLines/>
      <w:spacing w:after="0"/>
      <w:outlineLvl w:val="7"/>
    </w:pPr>
    <w:rPr>
      <w:rFonts w:eastAsiaTheme="majorEastAsia" w:cstheme="majorBidi"/>
    </w:rPr>
  </w:style>
  <w:style w:type="paragraph" w:styleId="Heading9">
    <w:name w:val="heading 9"/>
    <w:aliases w:val="±Head9"/>
    <w:basedOn w:val="NoNumHead2"/>
    <w:next w:val="Normal"/>
    <w:link w:val="Heading9Char"/>
    <w:uiPriority w:val="4"/>
    <w:semiHidden/>
    <w:rsid w:val="00FA0B93"/>
    <w:pPr>
      <w:keepLines/>
      <w:spacing w:after="0"/>
      <w:outlineLvl w:val="8"/>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phaNumBullet1">
    <w:name w:val="±AlphaNumBullet1"/>
    <w:basedOn w:val="Normal"/>
    <w:uiPriority w:val="1"/>
    <w:qFormat/>
    <w:rsid w:val="00FA0B93"/>
    <w:pPr>
      <w:numPr>
        <w:numId w:val="1"/>
      </w:numPr>
      <w:spacing w:before="60" w:after="60"/>
    </w:pPr>
  </w:style>
  <w:style w:type="paragraph" w:customStyle="1" w:styleId="AlphaNumBullet2">
    <w:name w:val="±AlphaNumBullet2"/>
    <w:basedOn w:val="Normal"/>
    <w:uiPriority w:val="1"/>
    <w:rsid w:val="00FA0B93"/>
    <w:pPr>
      <w:numPr>
        <w:ilvl w:val="1"/>
        <w:numId w:val="1"/>
      </w:numPr>
      <w:spacing w:before="60" w:after="60"/>
    </w:pPr>
  </w:style>
  <w:style w:type="paragraph" w:customStyle="1" w:styleId="AlphaNumBullet3">
    <w:name w:val="±AlphaNumBullet3"/>
    <w:basedOn w:val="Normal"/>
    <w:uiPriority w:val="1"/>
    <w:rsid w:val="00FA0B93"/>
    <w:pPr>
      <w:numPr>
        <w:ilvl w:val="2"/>
        <w:numId w:val="1"/>
      </w:numPr>
      <w:spacing w:before="60" w:after="60"/>
    </w:pPr>
  </w:style>
  <w:style w:type="paragraph" w:customStyle="1" w:styleId="AppBodyTextNum">
    <w:name w:val="±AppBodyTextNum"/>
    <w:basedOn w:val="Normal"/>
    <w:uiPriority w:val="28"/>
    <w:semiHidden/>
    <w:qFormat/>
    <w:rsid w:val="00FA0B93"/>
  </w:style>
  <w:style w:type="paragraph" w:customStyle="1" w:styleId="AppAlphaNumBullet1">
    <w:name w:val="±AppAlphaNumBullet1"/>
    <w:basedOn w:val="AppBodyTextNum"/>
    <w:uiPriority w:val="28"/>
    <w:semiHidden/>
    <w:qFormat/>
    <w:rsid w:val="00FA0B93"/>
  </w:style>
  <w:style w:type="paragraph" w:customStyle="1" w:styleId="AppAlphaNumBullet2">
    <w:name w:val="±AppAlphaNumBullet2"/>
    <w:basedOn w:val="AppBodyTextNum"/>
    <w:uiPriority w:val="28"/>
    <w:semiHidden/>
    <w:qFormat/>
    <w:rsid w:val="00FA0B93"/>
  </w:style>
  <w:style w:type="paragraph" w:customStyle="1" w:styleId="AppAlphaNumBullet3">
    <w:name w:val="±AppAlphaNumBullet3"/>
    <w:basedOn w:val="AppBodyTextNum"/>
    <w:uiPriority w:val="28"/>
    <w:semiHidden/>
    <w:qFormat/>
    <w:rsid w:val="00FA0B93"/>
  </w:style>
  <w:style w:type="paragraph" w:styleId="NoSpacing">
    <w:name w:val="No Spacing"/>
    <w:aliases w:val="±BaseStyle"/>
    <w:rsid w:val="00ED3B88"/>
    <w:pPr>
      <w:spacing w:before="0"/>
    </w:pPr>
    <w:rPr>
      <w:rFonts w:cs="Arial"/>
      <w:szCs w:val="20"/>
    </w:rPr>
  </w:style>
  <w:style w:type="paragraph" w:customStyle="1" w:styleId="Head1NonToc">
    <w:name w:val="±Head1NonToc"/>
    <w:basedOn w:val="NoSpacing"/>
    <w:next w:val="Normal"/>
    <w:uiPriority w:val="3"/>
    <w:rsid w:val="00785C42"/>
    <w:pPr>
      <w:keepNext/>
      <w:pageBreakBefore/>
      <w:spacing w:after="360" w:line="216" w:lineRule="auto"/>
      <w:outlineLvl w:val="0"/>
    </w:pPr>
    <w:rPr>
      <w:rFonts w:asciiTheme="majorHAnsi" w:hAnsiTheme="majorHAnsi"/>
      <w:b/>
      <w:color w:val="28465F"/>
      <w:sz w:val="44"/>
    </w:rPr>
  </w:style>
  <w:style w:type="paragraph" w:customStyle="1" w:styleId="Divider">
    <w:name w:val="±Divider"/>
    <w:basedOn w:val="Head1NonToc"/>
    <w:next w:val="Normal"/>
    <w:uiPriority w:val="5"/>
    <w:rsid w:val="00950A1D"/>
    <w:rPr>
      <w:sz w:val="72"/>
    </w:rPr>
  </w:style>
  <w:style w:type="paragraph" w:customStyle="1" w:styleId="AppHead1">
    <w:name w:val="±AppHead1"/>
    <w:basedOn w:val="Head1NonToc"/>
    <w:next w:val="Normal"/>
    <w:uiPriority w:val="6"/>
    <w:rsid w:val="00301AC8"/>
    <w:pPr>
      <w:numPr>
        <w:numId w:val="2"/>
      </w:numPr>
    </w:pPr>
  </w:style>
  <w:style w:type="paragraph" w:customStyle="1" w:styleId="AppHead2">
    <w:name w:val="±AppHead2"/>
    <w:basedOn w:val="Head1NonToc"/>
    <w:next w:val="Normal"/>
    <w:uiPriority w:val="6"/>
    <w:rsid w:val="00301AC8"/>
    <w:pPr>
      <w:pageBreakBefore w:val="0"/>
      <w:numPr>
        <w:ilvl w:val="1"/>
        <w:numId w:val="2"/>
      </w:numPr>
      <w:spacing w:before="480" w:after="120"/>
      <w:outlineLvl w:val="1"/>
    </w:pPr>
    <w:rPr>
      <w:sz w:val="28"/>
    </w:rPr>
  </w:style>
  <w:style w:type="paragraph" w:customStyle="1" w:styleId="AppHead3">
    <w:name w:val="±AppHead3"/>
    <w:basedOn w:val="Head1NonToc"/>
    <w:next w:val="Normal"/>
    <w:uiPriority w:val="6"/>
    <w:rsid w:val="00301AC8"/>
    <w:pPr>
      <w:pageBreakBefore w:val="0"/>
      <w:numPr>
        <w:ilvl w:val="2"/>
        <w:numId w:val="2"/>
      </w:numPr>
      <w:spacing w:before="480" w:after="120"/>
      <w:outlineLvl w:val="2"/>
    </w:pPr>
    <w:rPr>
      <w:sz w:val="24"/>
    </w:rPr>
  </w:style>
  <w:style w:type="paragraph" w:customStyle="1" w:styleId="BodyHeading">
    <w:name w:val="±BodyHeading"/>
    <w:basedOn w:val="Normal"/>
    <w:next w:val="Normal"/>
    <w:uiPriority w:val="2"/>
    <w:qFormat/>
    <w:rsid w:val="00624D6E"/>
    <w:pPr>
      <w:keepNext/>
      <w:spacing w:before="240" w:after="120"/>
    </w:pPr>
    <w:rPr>
      <w:b/>
      <w:color w:val="00A0A4" w:themeColor="accent1"/>
    </w:rPr>
  </w:style>
  <w:style w:type="paragraph" w:customStyle="1" w:styleId="BodyTextNum">
    <w:name w:val="±BodyTextNum"/>
    <w:basedOn w:val="Normal"/>
    <w:uiPriority w:val="28"/>
    <w:semiHidden/>
    <w:rsid w:val="00FA0B93"/>
  </w:style>
  <w:style w:type="paragraph" w:styleId="Caption">
    <w:name w:val="caption"/>
    <w:aliases w:val="±Caption"/>
    <w:basedOn w:val="BodyHeading"/>
    <w:next w:val="Normal"/>
    <w:link w:val="CaptionChar"/>
    <w:uiPriority w:val="7"/>
    <w:rsid w:val="00C5034A"/>
    <w:pPr>
      <w:tabs>
        <w:tab w:val="left" w:pos="1134"/>
      </w:tabs>
      <w:spacing w:after="60"/>
      <w:ind w:left="1134" w:hanging="1134"/>
    </w:pPr>
    <w:rPr>
      <w:rFonts w:eastAsia="Calibri"/>
      <w:color w:val="3C3C3C" w:themeColor="text1"/>
      <w:sz w:val="20"/>
    </w:rPr>
  </w:style>
  <w:style w:type="character" w:customStyle="1" w:styleId="CaptionChar">
    <w:name w:val="Caption Char"/>
    <w:aliases w:val="±Caption Char"/>
    <w:basedOn w:val="DefaultParagraphFont"/>
    <w:link w:val="Caption"/>
    <w:uiPriority w:val="7"/>
    <w:rsid w:val="00C5034A"/>
    <w:rPr>
      <w:rFonts w:eastAsia="Calibri"/>
      <w:b/>
      <w:sz w:val="20"/>
    </w:rPr>
  </w:style>
  <w:style w:type="paragraph" w:customStyle="1" w:styleId="CaptionWide">
    <w:name w:val="±CaptionWide"/>
    <w:basedOn w:val="Caption"/>
    <w:next w:val="Normal"/>
    <w:uiPriority w:val="7"/>
    <w:semiHidden/>
    <w:rsid w:val="00844E5D"/>
    <w:pPr>
      <w:tabs>
        <w:tab w:val="clear" w:pos="1134"/>
        <w:tab w:val="left" w:pos="284"/>
      </w:tabs>
      <w:ind w:left="283"/>
    </w:pPr>
    <w:rPr>
      <w:bCs/>
    </w:rPr>
  </w:style>
  <w:style w:type="paragraph" w:customStyle="1" w:styleId="CoverDepartment">
    <w:name w:val="±CoverDepartment"/>
    <w:basedOn w:val="NoSpacing"/>
    <w:uiPriority w:val="34"/>
    <w:semiHidden/>
    <w:rsid w:val="00D60544"/>
    <w:pPr>
      <w:spacing w:after="1800"/>
    </w:pPr>
    <w:rPr>
      <w:b/>
      <w:color w:val="FFFFFF" w:themeColor="background1"/>
      <w:sz w:val="28"/>
    </w:rPr>
  </w:style>
  <w:style w:type="paragraph" w:customStyle="1" w:styleId="CoverConfi">
    <w:name w:val="±CoverConfi"/>
    <w:basedOn w:val="NoSpacing"/>
    <w:uiPriority w:val="34"/>
    <w:semiHidden/>
    <w:rsid w:val="00FA5B65"/>
    <w:pPr>
      <w:spacing w:before="40" w:after="40"/>
    </w:pPr>
  </w:style>
  <w:style w:type="paragraph" w:customStyle="1" w:styleId="CoverDate">
    <w:name w:val="±CoverDate"/>
    <w:basedOn w:val="NoSpacing"/>
    <w:uiPriority w:val="34"/>
    <w:semiHidden/>
    <w:rsid w:val="00F2624A"/>
    <w:pPr>
      <w:spacing w:before="1200"/>
    </w:pPr>
    <w:rPr>
      <w:color w:val="FFFFFF" w:themeColor="background1"/>
    </w:rPr>
  </w:style>
  <w:style w:type="paragraph" w:customStyle="1" w:styleId="CoverDraft">
    <w:name w:val="±CoverDraft"/>
    <w:basedOn w:val="NoSpacing"/>
    <w:uiPriority w:val="34"/>
    <w:semiHidden/>
    <w:rsid w:val="00FA0B93"/>
  </w:style>
  <w:style w:type="paragraph" w:customStyle="1" w:styleId="CoverSubTitle">
    <w:name w:val="±CoverSubTitle"/>
    <w:basedOn w:val="NoSpacing"/>
    <w:uiPriority w:val="34"/>
    <w:semiHidden/>
    <w:rsid w:val="00C66079"/>
    <w:pPr>
      <w:spacing w:before="300"/>
    </w:pPr>
    <w:rPr>
      <w:b/>
      <w:color w:val="FFFFFF" w:themeColor="background1"/>
      <w:sz w:val="32"/>
    </w:rPr>
  </w:style>
  <w:style w:type="paragraph" w:customStyle="1" w:styleId="CoverTitle">
    <w:name w:val="±CoverTitle"/>
    <w:basedOn w:val="NoSpacing"/>
    <w:uiPriority w:val="34"/>
    <w:semiHidden/>
    <w:rsid w:val="005D79D2"/>
    <w:pPr>
      <w:spacing w:after="300"/>
    </w:pPr>
    <w:rPr>
      <w:b/>
      <w:color w:val="FFFFFF" w:themeColor="background1"/>
      <w:sz w:val="72"/>
    </w:rPr>
  </w:style>
  <w:style w:type="paragraph" w:customStyle="1" w:styleId="CoverType">
    <w:name w:val="±CoverType"/>
    <w:basedOn w:val="NoSpacing"/>
    <w:uiPriority w:val="34"/>
    <w:semiHidden/>
    <w:rsid w:val="00FA0B93"/>
  </w:style>
  <w:style w:type="paragraph" w:customStyle="1" w:styleId="Hidden">
    <w:name w:val="±Hidden"/>
    <w:basedOn w:val="NoSpacing"/>
    <w:uiPriority w:val="33"/>
    <w:semiHidden/>
    <w:rsid w:val="00FA0B93"/>
    <w:pPr>
      <w:framePr w:wrap="around" w:vAnchor="page" w:hAnchor="page" w:xAlign="right" w:yAlign="bottom"/>
    </w:pPr>
    <w:rPr>
      <w:color w:val="C00000"/>
    </w:rPr>
  </w:style>
  <w:style w:type="paragraph" w:customStyle="1" w:styleId="IllustrateLeft">
    <w:name w:val="±IllustrateLeft"/>
    <w:basedOn w:val="NoSpacing"/>
    <w:uiPriority w:val="33"/>
    <w:rsid w:val="00FA0B93"/>
  </w:style>
  <w:style w:type="paragraph" w:customStyle="1" w:styleId="IllustrateCentre">
    <w:name w:val="±IllustrateCentre"/>
    <w:basedOn w:val="IllustrateLeft"/>
    <w:uiPriority w:val="33"/>
    <w:rsid w:val="00D236EC"/>
    <w:pPr>
      <w:spacing w:before="120"/>
      <w:jc w:val="center"/>
    </w:pPr>
  </w:style>
  <w:style w:type="paragraph" w:customStyle="1" w:styleId="IllustrateRight">
    <w:name w:val="±IllustrateRight"/>
    <w:basedOn w:val="IllustrateLeft"/>
    <w:uiPriority w:val="33"/>
    <w:rsid w:val="00FA0B93"/>
    <w:pPr>
      <w:jc w:val="right"/>
    </w:pPr>
  </w:style>
  <w:style w:type="paragraph" w:customStyle="1" w:styleId="KeyMsgText">
    <w:name w:val="±KeyMsgText"/>
    <w:basedOn w:val="Normal"/>
    <w:uiPriority w:val="32"/>
    <w:rsid w:val="00600F08"/>
    <w:rPr>
      <w:sz w:val="24"/>
    </w:rPr>
  </w:style>
  <w:style w:type="paragraph" w:customStyle="1" w:styleId="KeyMsgHead">
    <w:name w:val="±KeyMsgHead"/>
    <w:basedOn w:val="KeyMsgText"/>
    <w:uiPriority w:val="32"/>
    <w:rsid w:val="00FF1456"/>
    <w:pPr>
      <w:keepNext/>
      <w:pBdr>
        <w:bottom w:val="single" w:sz="12" w:space="6" w:color="FF8200" w:themeColor="text2"/>
      </w:pBdr>
      <w:spacing w:before="0" w:after="120"/>
    </w:pPr>
    <w:rPr>
      <w:b/>
      <w:color w:val="28465F"/>
    </w:rPr>
  </w:style>
  <w:style w:type="paragraph" w:customStyle="1" w:styleId="NoNumHead1">
    <w:name w:val="±NoNumHead1"/>
    <w:basedOn w:val="Head1NonToc"/>
    <w:next w:val="Normal"/>
    <w:uiPriority w:val="3"/>
    <w:semiHidden/>
    <w:rsid w:val="00301AC8"/>
  </w:style>
  <w:style w:type="paragraph" w:customStyle="1" w:styleId="NoNumHead2">
    <w:name w:val="±NoNumHead2"/>
    <w:basedOn w:val="NoNumHead1"/>
    <w:next w:val="Normal"/>
    <w:uiPriority w:val="3"/>
    <w:semiHidden/>
    <w:rsid w:val="0086029D"/>
    <w:pPr>
      <w:pageBreakBefore w:val="0"/>
      <w:spacing w:before="360" w:after="120"/>
      <w:outlineLvl w:val="1"/>
    </w:pPr>
    <w:rPr>
      <w:sz w:val="28"/>
    </w:rPr>
  </w:style>
  <w:style w:type="paragraph" w:customStyle="1" w:styleId="QuoteText">
    <w:name w:val="±QuoteText"/>
    <w:basedOn w:val="Normal"/>
    <w:next w:val="QuoteSource"/>
    <w:uiPriority w:val="32"/>
    <w:rsid w:val="00600F08"/>
    <w:pPr>
      <w:keepNext/>
      <w:spacing w:before="240" w:after="240"/>
    </w:pPr>
    <w:rPr>
      <w:b/>
      <w:color w:val="28465F"/>
      <w:sz w:val="24"/>
    </w:rPr>
  </w:style>
  <w:style w:type="paragraph" w:customStyle="1" w:styleId="Source">
    <w:name w:val="±Source"/>
    <w:basedOn w:val="Normal"/>
    <w:next w:val="Normal"/>
    <w:uiPriority w:val="8"/>
    <w:rsid w:val="00004B94"/>
    <w:pPr>
      <w:tabs>
        <w:tab w:val="left" w:pos="851"/>
      </w:tabs>
      <w:spacing w:before="60" w:after="60"/>
      <w:ind w:left="851" w:hanging="851"/>
    </w:pPr>
    <w:rPr>
      <w:rFonts w:eastAsia="Calibri"/>
      <w:i/>
      <w:sz w:val="18"/>
    </w:rPr>
  </w:style>
  <w:style w:type="paragraph" w:customStyle="1" w:styleId="SourceWide">
    <w:name w:val="±SourceWide"/>
    <w:basedOn w:val="Source"/>
    <w:next w:val="Normal"/>
    <w:uiPriority w:val="8"/>
    <w:semiHidden/>
    <w:rsid w:val="00844E5D"/>
    <w:pPr>
      <w:tabs>
        <w:tab w:val="clear" w:pos="851"/>
        <w:tab w:val="left" w:pos="284"/>
      </w:tabs>
      <w:ind w:left="283" w:hanging="1134"/>
    </w:pPr>
  </w:style>
  <w:style w:type="paragraph" w:customStyle="1" w:styleId="Spacer">
    <w:name w:val="±Spacer"/>
    <w:basedOn w:val="NoSpacing"/>
    <w:semiHidden/>
    <w:rsid w:val="00FA0B93"/>
    <w:rPr>
      <w:rFonts w:ascii="Arial" w:hAnsi="Arial"/>
      <w:sz w:val="2"/>
    </w:rPr>
  </w:style>
  <w:style w:type="paragraph" w:customStyle="1" w:styleId="SummaryText">
    <w:name w:val="±SummaryText"/>
    <w:basedOn w:val="Normal"/>
    <w:next w:val="Normal"/>
    <w:uiPriority w:val="28"/>
    <w:qFormat/>
    <w:rsid w:val="00A732AF"/>
    <w:rPr>
      <w:color w:val="28465F"/>
      <w:sz w:val="24"/>
    </w:rPr>
  </w:style>
  <w:style w:type="paragraph" w:customStyle="1" w:styleId="SymbolBullet1">
    <w:name w:val="±SymbolBullet1"/>
    <w:basedOn w:val="Normal"/>
    <w:uiPriority w:val="1"/>
    <w:qFormat/>
    <w:rsid w:val="00FA0B93"/>
    <w:pPr>
      <w:numPr>
        <w:numId w:val="3"/>
      </w:numPr>
      <w:spacing w:before="60" w:after="60"/>
    </w:pPr>
    <w:rPr>
      <w:rFonts w:eastAsia="Calibri"/>
    </w:rPr>
  </w:style>
  <w:style w:type="paragraph" w:customStyle="1" w:styleId="SymbolBullet2">
    <w:name w:val="±SymbolBullet2"/>
    <w:basedOn w:val="Normal"/>
    <w:uiPriority w:val="1"/>
    <w:rsid w:val="00FA0B93"/>
    <w:pPr>
      <w:numPr>
        <w:ilvl w:val="1"/>
        <w:numId w:val="3"/>
      </w:numPr>
      <w:spacing w:before="60" w:after="60"/>
    </w:pPr>
  </w:style>
  <w:style w:type="paragraph" w:customStyle="1" w:styleId="SymbolBullet3">
    <w:name w:val="±SymbolBullet3"/>
    <w:basedOn w:val="Normal"/>
    <w:uiPriority w:val="1"/>
    <w:rsid w:val="00FA0B93"/>
    <w:pPr>
      <w:numPr>
        <w:ilvl w:val="2"/>
        <w:numId w:val="3"/>
      </w:numPr>
      <w:spacing w:before="60" w:after="60"/>
    </w:pPr>
  </w:style>
  <w:style w:type="paragraph" w:customStyle="1" w:styleId="TableTextLeft">
    <w:name w:val="±TableTextLeft"/>
    <w:basedOn w:val="Normal"/>
    <w:uiPriority w:val="31"/>
    <w:rsid w:val="00026BE9"/>
    <w:pPr>
      <w:spacing w:before="60" w:after="60"/>
    </w:pPr>
  </w:style>
  <w:style w:type="paragraph" w:customStyle="1" w:styleId="TableBullet1">
    <w:name w:val="±TableBullet1"/>
    <w:basedOn w:val="TableTextLeft"/>
    <w:uiPriority w:val="31"/>
    <w:rsid w:val="0096771E"/>
    <w:pPr>
      <w:numPr>
        <w:numId w:val="4"/>
      </w:numPr>
      <w:tabs>
        <w:tab w:val="clear" w:pos="170"/>
        <w:tab w:val="left" w:pos="340"/>
      </w:tabs>
      <w:ind w:left="340" w:hanging="340"/>
    </w:pPr>
    <w:rPr>
      <w:rFonts w:eastAsia="Calibri"/>
    </w:rPr>
  </w:style>
  <w:style w:type="paragraph" w:customStyle="1" w:styleId="TableBullet2">
    <w:name w:val="±TableBullet2"/>
    <w:basedOn w:val="TableTextLeft"/>
    <w:uiPriority w:val="31"/>
    <w:rsid w:val="0096771E"/>
    <w:pPr>
      <w:numPr>
        <w:ilvl w:val="1"/>
        <w:numId w:val="4"/>
      </w:numPr>
      <w:tabs>
        <w:tab w:val="clear" w:pos="340"/>
        <w:tab w:val="num" w:pos="680"/>
      </w:tabs>
      <w:ind w:left="680" w:hanging="340"/>
    </w:pPr>
  </w:style>
  <w:style w:type="paragraph" w:customStyle="1" w:styleId="TableBullet3">
    <w:name w:val="±TableBullet3"/>
    <w:basedOn w:val="TableTextLeft"/>
    <w:uiPriority w:val="31"/>
    <w:rsid w:val="0096771E"/>
    <w:pPr>
      <w:numPr>
        <w:ilvl w:val="2"/>
        <w:numId w:val="4"/>
      </w:numPr>
      <w:tabs>
        <w:tab w:val="clear" w:pos="510"/>
        <w:tab w:val="left" w:pos="1021"/>
      </w:tabs>
      <w:ind w:left="1020" w:hanging="340"/>
    </w:pPr>
  </w:style>
  <w:style w:type="paragraph" w:customStyle="1" w:styleId="TableHeadingLeft">
    <w:name w:val="±TableHeadingLeft"/>
    <w:basedOn w:val="TableTextLeft"/>
    <w:uiPriority w:val="31"/>
    <w:semiHidden/>
    <w:rsid w:val="00FA0B93"/>
    <w:pPr>
      <w:keepNext/>
    </w:pPr>
    <w:rPr>
      <w:b/>
      <w:szCs w:val="26"/>
    </w:rPr>
  </w:style>
  <w:style w:type="paragraph" w:customStyle="1" w:styleId="TableHeadingCentre">
    <w:name w:val="±TableHeadingCentre"/>
    <w:basedOn w:val="TableHeadingLeft"/>
    <w:uiPriority w:val="31"/>
    <w:semiHidden/>
    <w:rsid w:val="00FA0B93"/>
    <w:pPr>
      <w:jc w:val="center"/>
    </w:pPr>
  </w:style>
  <w:style w:type="paragraph" w:customStyle="1" w:styleId="TableHeadingRight">
    <w:name w:val="±TableHeadingRight"/>
    <w:basedOn w:val="TableHeadingLeft"/>
    <w:uiPriority w:val="31"/>
    <w:semiHidden/>
    <w:rsid w:val="00FA0B93"/>
    <w:pPr>
      <w:jc w:val="right"/>
    </w:pPr>
  </w:style>
  <w:style w:type="paragraph" w:customStyle="1" w:styleId="TableTextCentre">
    <w:name w:val="±TableTextCentre"/>
    <w:basedOn w:val="TableTextLeft"/>
    <w:uiPriority w:val="31"/>
    <w:rsid w:val="00FA0B93"/>
    <w:pPr>
      <w:jc w:val="center"/>
    </w:pPr>
  </w:style>
  <w:style w:type="paragraph" w:customStyle="1" w:styleId="TableTextRight">
    <w:name w:val="±TableTextRight"/>
    <w:basedOn w:val="TableTextLeft"/>
    <w:uiPriority w:val="31"/>
    <w:rsid w:val="00FA0B93"/>
    <w:pPr>
      <w:jc w:val="right"/>
    </w:pPr>
  </w:style>
  <w:style w:type="paragraph" w:customStyle="1" w:styleId="TableTotalLeft">
    <w:name w:val="±TableTotalLeft"/>
    <w:basedOn w:val="TableTextLeft"/>
    <w:uiPriority w:val="31"/>
    <w:semiHidden/>
    <w:rsid w:val="00FA0B93"/>
    <w:rPr>
      <w:b/>
    </w:rPr>
  </w:style>
  <w:style w:type="paragraph" w:customStyle="1" w:styleId="TableTotalCentre">
    <w:name w:val="±TableTotalCentre"/>
    <w:basedOn w:val="TableTotalLeft"/>
    <w:uiPriority w:val="31"/>
    <w:semiHidden/>
    <w:rsid w:val="00FA0B93"/>
    <w:pPr>
      <w:framePr w:wrap="around" w:vAnchor="page" w:hAnchor="margin" w:y="1135"/>
      <w:suppressOverlap/>
      <w:jc w:val="center"/>
    </w:pPr>
  </w:style>
  <w:style w:type="paragraph" w:customStyle="1" w:styleId="TableTotalRight">
    <w:name w:val="±TableTotalRight"/>
    <w:basedOn w:val="TableTotalLeft"/>
    <w:uiPriority w:val="31"/>
    <w:semiHidden/>
    <w:rsid w:val="00FA0B93"/>
    <w:pPr>
      <w:framePr w:wrap="around" w:vAnchor="page" w:hAnchor="margin" w:y="1135"/>
      <w:suppressOverlap/>
      <w:jc w:val="right"/>
    </w:pPr>
  </w:style>
  <w:style w:type="paragraph" w:styleId="BalloonText">
    <w:name w:val="Balloon Text"/>
    <w:basedOn w:val="Normal"/>
    <w:link w:val="BalloonTextChar"/>
    <w:uiPriority w:val="99"/>
    <w:semiHidden/>
    <w:rsid w:val="00FA0B93"/>
    <w:rPr>
      <w:rFonts w:ascii="Tahoma" w:hAnsi="Tahoma" w:cs="Tahoma"/>
      <w:color w:val="808080" w:themeColor="background1" w:themeShade="80"/>
      <w:sz w:val="16"/>
      <w:szCs w:val="16"/>
    </w:rPr>
  </w:style>
  <w:style w:type="character" w:customStyle="1" w:styleId="BalloonTextChar">
    <w:name w:val="Balloon Text Char"/>
    <w:basedOn w:val="DefaultParagraphFont"/>
    <w:link w:val="BalloonText"/>
    <w:uiPriority w:val="99"/>
    <w:semiHidden/>
    <w:rsid w:val="00785C42"/>
    <w:rPr>
      <w:rFonts w:ascii="Tahoma" w:hAnsi="Tahoma" w:cs="Tahoma"/>
      <w:color w:val="808080" w:themeColor="background1" w:themeShade="80"/>
      <w:sz w:val="16"/>
      <w:szCs w:val="16"/>
    </w:rPr>
  </w:style>
  <w:style w:type="character" w:styleId="CommentReference">
    <w:name w:val="annotation reference"/>
    <w:basedOn w:val="DefaultParagraphFont"/>
    <w:uiPriority w:val="99"/>
    <w:semiHidden/>
    <w:rsid w:val="00FA0B93"/>
    <w:rPr>
      <w:sz w:val="16"/>
      <w:szCs w:val="16"/>
    </w:rPr>
  </w:style>
  <w:style w:type="paragraph" w:styleId="CommentText">
    <w:name w:val="annotation text"/>
    <w:basedOn w:val="Normal"/>
    <w:link w:val="CommentTextChar"/>
    <w:uiPriority w:val="99"/>
    <w:semiHidden/>
    <w:rsid w:val="00FA0B93"/>
    <w:rPr>
      <w:rFonts w:ascii="Arial" w:hAnsi="Arial"/>
      <w:color w:val="auto"/>
    </w:rPr>
  </w:style>
  <w:style w:type="character" w:customStyle="1" w:styleId="CommentTextChar">
    <w:name w:val="Comment Text Char"/>
    <w:basedOn w:val="DefaultParagraphFont"/>
    <w:link w:val="CommentText"/>
    <w:uiPriority w:val="99"/>
    <w:semiHidden/>
    <w:rsid w:val="00785C42"/>
    <w:rPr>
      <w:rFonts w:ascii="Arial" w:hAnsi="Arial"/>
      <w:color w:val="auto"/>
    </w:rPr>
  </w:style>
  <w:style w:type="paragraph" w:styleId="CommentSubject">
    <w:name w:val="annotation subject"/>
    <w:basedOn w:val="CommentText"/>
    <w:next w:val="CommentText"/>
    <w:link w:val="CommentSubjectChar"/>
    <w:uiPriority w:val="99"/>
    <w:semiHidden/>
    <w:rsid w:val="00FA0B93"/>
    <w:rPr>
      <w:b/>
      <w:bCs/>
    </w:rPr>
  </w:style>
  <w:style w:type="character" w:customStyle="1" w:styleId="CommentSubjectChar">
    <w:name w:val="Comment Subject Char"/>
    <w:basedOn w:val="CommentTextChar"/>
    <w:link w:val="CommentSubject"/>
    <w:uiPriority w:val="99"/>
    <w:semiHidden/>
    <w:rsid w:val="00785C42"/>
    <w:rPr>
      <w:rFonts w:ascii="Arial" w:hAnsi="Arial"/>
      <w:b/>
      <w:bCs/>
      <w:color w:val="auto"/>
    </w:rPr>
  </w:style>
  <w:style w:type="character" w:styleId="FollowedHyperlink">
    <w:name w:val="FollowedHyperlink"/>
    <w:aliases w:val="±FollowedHyperlink"/>
    <w:basedOn w:val="DefaultParagraphFont"/>
    <w:uiPriority w:val="37"/>
    <w:semiHidden/>
    <w:rsid w:val="00574051"/>
    <w:rPr>
      <w:b/>
      <w:color w:val="005EA5"/>
      <w:u w:val="none"/>
    </w:rPr>
  </w:style>
  <w:style w:type="paragraph" w:styleId="Footer">
    <w:name w:val="footer"/>
    <w:aliases w:val="±Footer"/>
    <w:basedOn w:val="NoSpacing"/>
    <w:link w:val="FooterChar"/>
    <w:uiPriority w:val="36"/>
    <w:semiHidden/>
    <w:rsid w:val="004B4033"/>
    <w:rPr>
      <w:sz w:val="17"/>
    </w:rPr>
  </w:style>
  <w:style w:type="character" w:customStyle="1" w:styleId="FooterChar">
    <w:name w:val="Footer Char"/>
    <w:aliases w:val="±Footer Char"/>
    <w:basedOn w:val="DefaultParagraphFont"/>
    <w:link w:val="Footer"/>
    <w:uiPriority w:val="36"/>
    <w:semiHidden/>
    <w:rsid w:val="004B4033"/>
    <w:rPr>
      <w:rFonts w:cs="Arial"/>
      <w:sz w:val="17"/>
      <w:szCs w:val="20"/>
    </w:rPr>
  </w:style>
  <w:style w:type="character" w:styleId="FootnoteReference">
    <w:name w:val="footnote reference"/>
    <w:basedOn w:val="DefaultParagraphFont"/>
    <w:uiPriority w:val="35"/>
    <w:semiHidden/>
    <w:rsid w:val="0069663C"/>
    <w:rPr>
      <w:rFonts w:asciiTheme="minorHAnsi" w:hAnsiTheme="minorHAnsi"/>
      <w:color w:val="28465F"/>
      <w:vertAlign w:val="superscript"/>
    </w:rPr>
  </w:style>
  <w:style w:type="paragraph" w:styleId="FootnoteText">
    <w:name w:val="footnote text"/>
    <w:aliases w:val="±FootnoteText"/>
    <w:basedOn w:val="NoSpacing"/>
    <w:link w:val="FootnoteTextChar"/>
    <w:uiPriority w:val="35"/>
    <w:semiHidden/>
    <w:rsid w:val="00FA0B93"/>
    <w:pPr>
      <w:spacing w:before="60"/>
      <w:ind w:left="284" w:hanging="284"/>
    </w:pPr>
    <w:rPr>
      <w:sz w:val="18"/>
    </w:rPr>
  </w:style>
  <w:style w:type="character" w:customStyle="1" w:styleId="FootnoteTextChar">
    <w:name w:val="Footnote Text Char"/>
    <w:aliases w:val="±FootnoteText Char"/>
    <w:basedOn w:val="DefaultParagraphFont"/>
    <w:link w:val="FootnoteText"/>
    <w:uiPriority w:val="35"/>
    <w:semiHidden/>
    <w:rsid w:val="00653464"/>
    <w:rPr>
      <w:rFonts w:cs="Arial"/>
      <w:sz w:val="18"/>
      <w:szCs w:val="20"/>
    </w:rPr>
  </w:style>
  <w:style w:type="paragraph" w:styleId="Header">
    <w:name w:val="header"/>
    <w:aliases w:val="±Header"/>
    <w:basedOn w:val="NoSpacing"/>
    <w:link w:val="HeaderChar"/>
    <w:uiPriority w:val="36"/>
    <w:semiHidden/>
    <w:rsid w:val="004B4033"/>
    <w:rPr>
      <w:b/>
      <w:sz w:val="17"/>
    </w:rPr>
  </w:style>
  <w:style w:type="character" w:customStyle="1" w:styleId="HeaderChar">
    <w:name w:val="Header Char"/>
    <w:aliases w:val="±Header Char"/>
    <w:basedOn w:val="DefaultParagraphFont"/>
    <w:link w:val="Header"/>
    <w:uiPriority w:val="36"/>
    <w:semiHidden/>
    <w:rsid w:val="004B4033"/>
    <w:rPr>
      <w:rFonts w:cs="Arial"/>
      <w:b/>
      <w:sz w:val="17"/>
      <w:szCs w:val="20"/>
    </w:rPr>
  </w:style>
  <w:style w:type="character" w:customStyle="1" w:styleId="Heading1Char">
    <w:name w:val="Heading 1 Char"/>
    <w:aliases w:val="±Head1 Char"/>
    <w:basedOn w:val="DefaultParagraphFont"/>
    <w:link w:val="Heading1"/>
    <w:uiPriority w:val="4"/>
    <w:rsid w:val="003942C3"/>
    <w:rPr>
      <w:rFonts w:asciiTheme="majorHAnsi" w:hAnsiTheme="majorHAnsi" w:cs="Arial"/>
      <w:b/>
      <w:color w:val="28465F"/>
      <w:sz w:val="56"/>
      <w:szCs w:val="20"/>
    </w:rPr>
  </w:style>
  <w:style w:type="character" w:customStyle="1" w:styleId="Heading2Char">
    <w:name w:val="Heading 2 Char"/>
    <w:aliases w:val="±Head2 Char"/>
    <w:basedOn w:val="DefaultParagraphFont"/>
    <w:link w:val="Heading2"/>
    <w:uiPriority w:val="4"/>
    <w:rsid w:val="003942C3"/>
    <w:rPr>
      <w:rFonts w:asciiTheme="majorHAnsi" w:hAnsiTheme="majorHAnsi" w:cs="Arial"/>
      <w:b/>
      <w:color w:val="28465F"/>
      <w:sz w:val="28"/>
      <w:szCs w:val="20"/>
    </w:rPr>
  </w:style>
  <w:style w:type="character" w:customStyle="1" w:styleId="Heading3Char">
    <w:name w:val="Heading 3 Char"/>
    <w:aliases w:val="±Head3 Char"/>
    <w:basedOn w:val="DefaultParagraphFont"/>
    <w:link w:val="Heading3"/>
    <w:uiPriority w:val="4"/>
    <w:rsid w:val="0086029D"/>
    <w:rPr>
      <w:rFonts w:asciiTheme="majorHAnsi" w:hAnsiTheme="majorHAnsi" w:cs="Arial"/>
      <w:b/>
      <w:color w:val="28465F"/>
      <w:sz w:val="24"/>
      <w:szCs w:val="20"/>
    </w:rPr>
  </w:style>
  <w:style w:type="character" w:customStyle="1" w:styleId="Heading4Char">
    <w:name w:val="Heading 4 Char"/>
    <w:aliases w:val="±Head4 Char"/>
    <w:basedOn w:val="DefaultParagraphFont"/>
    <w:link w:val="Heading4"/>
    <w:uiPriority w:val="4"/>
    <w:rsid w:val="0086029D"/>
    <w:rPr>
      <w:rFonts w:asciiTheme="majorHAnsi" w:hAnsiTheme="majorHAnsi" w:cs="Arial"/>
      <w:b/>
      <w:color w:val="28465F"/>
      <w:sz w:val="22"/>
      <w:szCs w:val="20"/>
    </w:rPr>
  </w:style>
  <w:style w:type="character" w:customStyle="1" w:styleId="Heading5Char">
    <w:name w:val="Heading 5 Char"/>
    <w:aliases w:val="±Head5 Char"/>
    <w:basedOn w:val="DefaultParagraphFont"/>
    <w:link w:val="Heading5"/>
    <w:uiPriority w:val="4"/>
    <w:semiHidden/>
    <w:rsid w:val="00653464"/>
    <w:rPr>
      <w:rFonts w:asciiTheme="majorHAnsi" w:eastAsiaTheme="majorEastAsia" w:hAnsiTheme="majorHAnsi" w:cstheme="majorBidi"/>
      <w:color w:val="28465F"/>
      <w:sz w:val="28"/>
      <w:szCs w:val="20"/>
    </w:rPr>
  </w:style>
  <w:style w:type="character" w:customStyle="1" w:styleId="Heading6Char">
    <w:name w:val="Heading 6 Char"/>
    <w:aliases w:val="±Head6 Char"/>
    <w:basedOn w:val="DefaultParagraphFont"/>
    <w:link w:val="Heading6"/>
    <w:uiPriority w:val="4"/>
    <w:semiHidden/>
    <w:rsid w:val="00653464"/>
    <w:rPr>
      <w:rFonts w:asciiTheme="majorHAnsi" w:eastAsiaTheme="majorEastAsia" w:hAnsiTheme="majorHAnsi" w:cstheme="majorBidi"/>
      <w:i/>
      <w:iCs/>
      <w:color w:val="28465F"/>
      <w:sz w:val="28"/>
      <w:szCs w:val="20"/>
    </w:rPr>
  </w:style>
  <w:style w:type="character" w:customStyle="1" w:styleId="Heading7Char">
    <w:name w:val="Heading 7 Char"/>
    <w:aliases w:val="±Head7 Char"/>
    <w:basedOn w:val="DefaultParagraphFont"/>
    <w:link w:val="Heading7"/>
    <w:uiPriority w:val="4"/>
    <w:semiHidden/>
    <w:rsid w:val="00653464"/>
    <w:rPr>
      <w:rFonts w:asciiTheme="majorHAnsi" w:eastAsiaTheme="majorEastAsia" w:hAnsiTheme="majorHAnsi" w:cstheme="majorBidi"/>
      <w:iCs/>
      <w:color w:val="28465F"/>
      <w:sz w:val="28"/>
      <w:szCs w:val="20"/>
    </w:rPr>
  </w:style>
  <w:style w:type="character" w:customStyle="1" w:styleId="Heading8Char">
    <w:name w:val="Heading 8 Char"/>
    <w:aliases w:val="±Head8 Char"/>
    <w:basedOn w:val="DefaultParagraphFont"/>
    <w:link w:val="Heading8"/>
    <w:uiPriority w:val="4"/>
    <w:semiHidden/>
    <w:rsid w:val="00653464"/>
    <w:rPr>
      <w:rFonts w:asciiTheme="majorHAnsi" w:eastAsiaTheme="majorEastAsia" w:hAnsiTheme="majorHAnsi" w:cstheme="majorBidi"/>
      <w:b/>
      <w:color w:val="28465F"/>
      <w:sz w:val="28"/>
      <w:szCs w:val="20"/>
    </w:rPr>
  </w:style>
  <w:style w:type="character" w:customStyle="1" w:styleId="Heading9Char">
    <w:name w:val="Heading 9 Char"/>
    <w:aliases w:val="±Head9 Char"/>
    <w:basedOn w:val="DefaultParagraphFont"/>
    <w:link w:val="Heading9"/>
    <w:uiPriority w:val="4"/>
    <w:semiHidden/>
    <w:rsid w:val="00653464"/>
    <w:rPr>
      <w:rFonts w:asciiTheme="majorHAnsi" w:eastAsiaTheme="majorEastAsia" w:hAnsiTheme="majorHAnsi" w:cstheme="majorBidi"/>
      <w:b/>
      <w:i/>
      <w:iCs/>
      <w:color w:val="28465F"/>
      <w:sz w:val="28"/>
      <w:szCs w:val="20"/>
    </w:rPr>
  </w:style>
  <w:style w:type="character" w:styleId="Hyperlink">
    <w:name w:val="Hyperlink"/>
    <w:aliases w:val="±HyperLink"/>
    <w:basedOn w:val="DefaultParagraphFont"/>
    <w:uiPriority w:val="99"/>
    <w:semiHidden/>
    <w:rsid w:val="00574051"/>
    <w:rPr>
      <w:b/>
      <w:color w:val="005EA5"/>
      <w:u w:val="none"/>
    </w:rPr>
  </w:style>
  <w:style w:type="paragraph" w:styleId="ListParagraph">
    <w:name w:val="List Paragraph"/>
    <w:basedOn w:val="Normal"/>
    <w:uiPriority w:val="34"/>
    <w:semiHidden/>
    <w:rsid w:val="00FA0B93"/>
    <w:pPr>
      <w:ind w:left="720"/>
      <w:contextualSpacing/>
    </w:pPr>
  </w:style>
  <w:style w:type="table" w:styleId="MediumShading2-Accent1">
    <w:name w:val="Medium Shading 2 Accent 1"/>
    <w:basedOn w:val="TableNormal"/>
    <w:uiPriority w:val="64"/>
    <w:rsid w:val="00FA0B93"/>
    <w:rPr>
      <w:rFonts w:cs="Arial"/>
      <w:color w:val="808080" w:themeColor="background1" w:themeShade="8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0A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0A4" w:themeFill="accent1"/>
      </w:tcPr>
    </w:tblStylePr>
    <w:tblStylePr w:type="lastCol">
      <w:rPr>
        <w:b/>
        <w:bCs/>
        <w:color w:val="FFFFFF" w:themeColor="background1"/>
      </w:rPr>
      <w:tblPr/>
      <w:tcPr>
        <w:tcBorders>
          <w:left w:val="nil"/>
          <w:right w:val="nil"/>
          <w:insideH w:val="nil"/>
          <w:insideV w:val="nil"/>
        </w:tcBorders>
        <w:shd w:val="clear" w:color="auto" w:fill="00A0A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FA0B93"/>
    <w:rPr>
      <w:color w:val="808080"/>
    </w:rPr>
  </w:style>
  <w:style w:type="table" w:styleId="TableGrid">
    <w:name w:val="Table Grid"/>
    <w:basedOn w:val="TableNormal"/>
    <w:uiPriority w:val="39"/>
    <w:rsid w:val="00FA0B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rsid w:val="00F71B17"/>
    <w:pPr>
      <w:tabs>
        <w:tab w:val="left" w:pos="1134"/>
        <w:tab w:val="right" w:pos="10535"/>
      </w:tabs>
      <w:spacing w:before="40" w:after="40"/>
      <w:ind w:left="1134" w:right="709" w:hanging="1134"/>
    </w:pPr>
    <w:rPr>
      <w:rFonts w:cs="System"/>
      <w:noProof/>
      <w:color w:val="6E7896"/>
    </w:rPr>
  </w:style>
  <w:style w:type="paragraph" w:styleId="TOC1">
    <w:name w:val="toc 1"/>
    <w:aliases w:val="±Heads1"/>
    <w:basedOn w:val="NoSpacing"/>
    <w:next w:val="Normal"/>
    <w:uiPriority w:val="39"/>
    <w:semiHidden/>
    <w:rsid w:val="00C71FA9"/>
    <w:pPr>
      <w:pBdr>
        <w:top w:val="single" w:sz="2" w:space="4" w:color="E6E3D9"/>
        <w:bottom w:val="single" w:sz="2" w:space="4" w:color="FFFFFF" w:themeColor="background1"/>
        <w:between w:val="single" w:sz="2" w:space="4" w:color="E6E3D9"/>
      </w:pBdr>
      <w:tabs>
        <w:tab w:val="left" w:pos="425"/>
        <w:tab w:val="right" w:pos="10535"/>
      </w:tabs>
      <w:spacing w:before="80" w:after="20"/>
      <w:ind w:left="425" w:hanging="425"/>
    </w:pPr>
    <w:rPr>
      <w:rFonts w:asciiTheme="majorHAnsi" w:eastAsiaTheme="minorEastAsia" w:hAnsiTheme="majorHAnsi"/>
      <w:b/>
      <w:noProof/>
      <w:color w:val="28465F"/>
      <w:lang w:eastAsia="en-GB"/>
    </w:rPr>
  </w:style>
  <w:style w:type="paragraph" w:styleId="TOC2">
    <w:name w:val="toc 2"/>
    <w:aliases w:val="±Heads2"/>
    <w:basedOn w:val="TOC1"/>
    <w:next w:val="Normal"/>
    <w:uiPriority w:val="39"/>
    <w:semiHidden/>
    <w:rsid w:val="00C71FA9"/>
    <w:pPr>
      <w:pBdr>
        <w:top w:val="none" w:sz="0" w:space="0" w:color="auto"/>
        <w:bottom w:val="none" w:sz="0" w:space="0" w:color="auto"/>
        <w:between w:val="none" w:sz="0" w:space="0" w:color="auto"/>
      </w:pBdr>
      <w:tabs>
        <w:tab w:val="clear" w:pos="425"/>
        <w:tab w:val="left" w:pos="992"/>
      </w:tabs>
      <w:spacing w:before="20"/>
      <w:ind w:left="992" w:right="425" w:hanging="567"/>
    </w:pPr>
    <w:rPr>
      <w:b w:val="0"/>
      <w:color w:val="3C3C3C" w:themeColor="text1"/>
    </w:rPr>
  </w:style>
  <w:style w:type="paragraph" w:styleId="TOC3">
    <w:name w:val="toc 3"/>
    <w:aliases w:val="±Heads3"/>
    <w:basedOn w:val="TOC2"/>
    <w:next w:val="Normal"/>
    <w:uiPriority w:val="39"/>
    <w:semiHidden/>
    <w:rsid w:val="00224210"/>
    <w:pPr>
      <w:tabs>
        <w:tab w:val="clear" w:pos="992"/>
        <w:tab w:val="left" w:pos="1701"/>
      </w:tabs>
      <w:ind w:left="1701" w:hanging="709"/>
    </w:pPr>
  </w:style>
  <w:style w:type="paragraph" w:styleId="TOC4">
    <w:name w:val="toc 4"/>
    <w:aliases w:val="±NoNumHead1s"/>
    <w:basedOn w:val="TOC1"/>
    <w:next w:val="Normal"/>
    <w:uiPriority w:val="39"/>
    <w:semiHidden/>
    <w:rsid w:val="0087488F"/>
    <w:pPr>
      <w:tabs>
        <w:tab w:val="clear" w:pos="425"/>
      </w:tabs>
      <w:ind w:left="0" w:firstLine="0"/>
    </w:pPr>
  </w:style>
  <w:style w:type="paragraph" w:styleId="TOC5">
    <w:name w:val="toc 5"/>
    <w:aliases w:val="±NoNumHead2s"/>
    <w:basedOn w:val="TOC2"/>
    <w:next w:val="Normal"/>
    <w:uiPriority w:val="39"/>
    <w:semiHidden/>
    <w:rsid w:val="0087488F"/>
    <w:pPr>
      <w:ind w:left="425" w:firstLine="0"/>
    </w:pPr>
  </w:style>
  <w:style w:type="paragraph" w:styleId="TOC6">
    <w:name w:val="toc 6"/>
    <w:aliases w:val="±Dividers"/>
    <w:basedOn w:val="TOC1"/>
    <w:next w:val="Normal"/>
    <w:uiPriority w:val="39"/>
    <w:semiHidden/>
    <w:rsid w:val="00C71FA9"/>
    <w:pPr>
      <w:pBdr>
        <w:bottom w:val="single" w:sz="2" w:space="1" w:color="FFFFFF" w:themeColor="background1"/>
        <w:between w:val="none" w:sz="0" w:space="0" w:color="auto"/>
      </w:pBdr>
      <w:ind w:left="0" w:firstLine="0"/>
    </w:pPr>
  </w:style>
  <w:style w:type="paragraph" w:styleId="TOC7">
    <w:name w:val="toc 7"/>
    <w:aliases w:val="±AppHeads1"/>
    <w:basedOn w:val="TOC1"/>
    <w:next w:val="Normal"/>
    <w:uiPriority w:val="39"/>
    <w:semiHidden/>
    <w:rsid w:val="00C71FA9"/>
    <w:pPr>
      <w:pBdr>
        <w:top w:val="none" w:sz="0" w:space="0" w:color="auto"/>
        <w:between w:val="none" w:sz="0" w:space="0" w:color="auto"/>
      </w:pBdr>
    </w:pPr>
    <w:rPr>
      <w:b w:val="0"/>
    </w:rPr>
  </w:style>
  <w:style w:type="paragraph" w:styleId="TOC8">
    <w:name w:val="toc 8"/>
    <w:aliases w:val="±AppHeads2"/>
    <w:basedOn w:val="TOC2"/>
    <w:next w:val="Normal"/>
    <w:uiPriority w:val="39"/>
    <w:semiHidden/>
    <w:rsid w:val="00FA0B93"/>
  </w:style>
  <w:style w:type="paragraph" w:styleId="TOC9">
    <w:name w:val="toc 9"/>
    <w:aliases w:val="±AppHeads3"/>
    <w:basedOn w:val="TOC3"/>
    <w:next w:val="Normal"/>
    <w:uiPriority w:val="39"/>
    <w:semiHidden/>
    <w:rsid w:val="00FA0B93"/>
    <w:pPr>
      <w:spacing w:before="120" w:after="100"/>
      <w:ind w:left="1600"/>
    </w:pPr>
    <w:rPr>
      <w:rFonts w:ascii="Arial" w:hAnsi="Arial"/>
    </w:rPr>
  </w:style>
  <w:style w:type="paragraph" w:styleId="TOCHeading">
    <w:name w:val="TOC Heading"/>
    <w:basedOn w:val="Heading1"/>
    <w:next w:val="Normal"/>
    <w:uiPriority w:val="38"/>
    <w:semiHidden/>
    <w:rsid w:val="00EC004A"/>
    <w:pPr>
      <w:keepLines/>
      <w:pageBreakBefore w:val="0"/>
      <w:numPr>
        <w:numId w:val="0"/>
      </w:numPr>
      <w:spacing w:before="480" w:after="120"/>
      <w:jc w:val="both"/>
      <w:outlineLvl w:val="9"/>
    </w:pPr>
    <w:rPr>
      <w:rFonts w:eastAsiaTheme="majorEastAsia" w:cstheme="majorBidi"/>
      <w:bCs/>
      <w:sz w:val="28"/>
      <w:szCs w:val="28"/>
    </w:rPr>
  </w:style>
  <w:style w:type="numbering" w:customStyle="1" w:styleId="AppListStyle">
    <w:name w:val="±AppListStyle"/>
    <w:uiPriority w:val="99"/>
    <w:rsid w:val="00EC004A"/>
    <w:pPr>
      <w:numPr>
        <w:numId w:val="7"/>
      </w:numPr>
    </w:pPr>
  </w:style>
  <w:style w:type="paragraph" w:customStyle="1" w:styleId="QuoteTextWhite">
    <w:name w:val="±QuoteText(White)"/>
    <w:basedOn w:val="QuoteText"/>
    <w:next w:val="QuoteSourceWhite"/>
    <w:uiPriority w:val="32"/>
    <w:rsid w:val="00D353FF"/>
    <w:rPr>
      <w:color w:val="FFFFFF" w:themeColor="background1"/>
    </w:rPr>
  </w:style>
  <w:style w:type="table" w:styleId="TableGridLight">
    <w:name w:val="Grid Table Light"/>
    <w:basedOn w:val="TableNormal"/>
    <w:uiPriority w:val="40"/>
    <w:rsid w:val="00162D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SecListStyle">
    <w:name w:val="±SecListStyle"/>
    <w:uiPriority w:val="99"/>
    <w:rsid w:val="003942C3"/>
    <w:pPr>
      <w:numPr>
        <w:numId w:val="6"/>
      </w:numPr>
    </w:pPr>
  </w:style>
  <w:style w:type="paragraph" w:customStyle="1" w:styleId="AppNumBullet1">
    <w:name w:val="±AppNumBullet1"/>
    <w:basedOn w:val="Normal"/>
    <w:uiPriority w:val="28"/>
    <w:semiHidden/>
    <w:rsid w:val="00C56D53"/>
    <w:pPr>
      <w:spacing w:before="200" w:line="264" w:lineRule="auto"/>
    </w:pPr>
    <w:rPr>
      <w:sz w:val="22"/>
      <w:szCs w:val="24"/>
    </w:rPr>
  </w:style>
  <w:style w:type="table" w:customStyle="1" w:styleId="NestTable1">
    <w:name w:val="Nest_Table 1"/>
    <w:basedOn w:val="TableNormal"/>
    <w:uiPriority w:val="99"/>
    <w:rsid w:val="00026BE9"/>
    <w:pPr>
      <w:spacing w:before="0"/>
    </w:pPr>
    <w:tblPr>
      <w:tblStyleRowBandSize w:val="1"/>
      <w:tblStyleColBandSize w:val="1"/>
      <w:tblBorders>
        <w:top w:val="single" w:sz="2" w:space="0" w:color="FF8200" w:themeColor="text2"/>
        <w:bottom w:val="single" w:sz="2" w:space="0" w:color="FF8200" w:themeColor="text2"/>
        <w:insideH w:val="single" w:sz="2" w:space="0" w:color="FF8200" w:themeColor="text2"/>
      </w:tblBorders>
    </w:tblPr>
    <w:tblStylePr w:type="firstRow">
      <w:pPr>
        <w:jc w:val="left"/>
      </w:pPr>
      <w:rPr>
        <w:b/>
        <w:color w:val="28465F"/>
      </w:rPr>
      <w:tblPr/>
      <w:trPr>
        <w:tblHeader/>
      </w:trPr>
      <w:tcPr>
        <w:tcBorders>
          <w:top w:val="nil"/>
          <w:left w:val="nil"/>
          <w:bottom w:val="nil"/>
          <w:right w:val="nil"/>
          <w:insideH w:val="nil"/>
          <w:insideV w:val="nil"/>
          <w:tl2br w:val="nil"/>
          <w:tr2bl w:val="nil"/>
        </w:tcBorders>
        <w:shd w:val="clear" w:color="auto" w:fill="C8DCFA" w:themeFill="accent3"/>
        <w:vAlign w:val="bottom"/>
      </w:tcPr>
    </w:tblStylePr>
    <w:tblStylePr w:type="lastRow">
      <w:rPr>
        <w:b/>
        <w:color w:val="28465F"/>
      </w:rPr>
      <w:tblPr/>
      <w:tcPr>
        <w:shd w:val="clear" w:color="auto" w:fill="C8DCFA" w:themeFill="accent3"/>
      </w:tcPr>
    </w:tblStylePr>
    <w:tblStylePr w:type="firstCol">
      <w:rPr>
        <w:b/>
      </w:rPr>
      <w:tblPr/>
      <w:tcPr>
        <w:shd w:val="clear" w:color="auto" w:fill="E9F1FD"/>
      </w:tcPr>
    </w:tblStylePr>
    <w:tblStylePr w:type="band2Vert">
      <w:tblPr/>
      <w:tcPr>
        <w:shd w:val="clear" w:color="auto" w:fill="E9F1FD"/>
      </w:tcPr>
    </w:tblStylePr>
    <w:tblStylePr w:type="band2Horz">
      <w:tblPr/>
      <w:tcPr>
        <w:shd w:val="clear" w:color="auto" w:fill="E9F1FD"/>
      </w:tcPr>
    </w:tblStylePr>
  </w:style>
  <w:style w:type="paragraph" w:customStyle="1" w:styleId="KeyMsgTextWhite">
    <w:name w:val="±KeyMsgText(White)"/>
    <w:basedOn w:val="KeyMsgText"/>
    <w:uiPriority w:val="32"/>
    <w:rsid w:val="00201F3B"/>
    <w:rPr>
      <w:color w:val="FFFFFF" w:themeColor="background1"/>
    </w:rPr>
  </w:style>
  <w:style w:type="paragraph" w:customStyle="1" w:styleId="KeyMsgHeadWhite">
    <w:name w:val="±KeyMsgHead(White)"/>
    <w:basedOn w:val="KeyMsgHead"/>
    <w:next w:val="KeyMsgTextWhite"/>
    <w:uiPriority w:val="32"/>
    <w:rsid w:val="00201F3B"/>
    <w:rPr>
      <w:color w:val="FFFFFF" w:themeColor="background1"/>
    </w:rPr>
  </w:style>
  <w:style w:type="paragraph" w:customStyle="1" w:styleId="DividerSubtitle">
    <w:name w:val="±DividerSubtitle"/>
    <w:basedOn w:val="NoNumHead2"/>
    <w:uiPriority w:val="5"/>
    <w:rsid w:val="0096771E"/>
    <w:pPr>
      <w:spacing w:before="0" w:after="0"/>
      <w:outlineLvl w:val="9"/>
    </w:pPr>
    <w:rPr>
      <w:b w:val="0"/>
      <w:color w:val="3C3C3C" w:themeColor="text1"/>
    </w:rPr>
  </w:style>
  <w:style w:type="character" w:styleId="UnresolvedMention">
    <w:name w:val="Unresolved Mention"/>
    <w:basedOn w:val="DefaultParagraphFont"/>
    <w:uiPriority w:val="99"/>
    <w:semiHidden/>
    <w:rsid w:val="00255298"/>
    <w:rPr>
      <w:color w:val="808080"/>
      <w:shd w:val="clear" w:color="auto" w:fill="E6E6E6"/>
    </w:rPr>
  </w:style>
  <w:style w:type="paragraph" w:customStyle="1" w:styleId="AppHead4">
    <w:name w:val="±AppHead4"/>
    <w:basedOn w:val="Head1NonToc"/>
    <w:next w:val="Normal"/>
    <w:uiPriority w:val="6"/>
    <w:rsid w:val="00BD292E"/>
    <w:pPr>
      <w:pageBreakBefore w:val="0"/>
      <w:numPr>
        <w:ilvl w:val="3"/>
        <w:numId w:val="2"/>
      </w:numPr>
      <w:spacing w:before="480" w:after="120"/>
    </w:pPr>
    <w:rPr>
      <w:sz w:val="22"/>
    </w:rPr>
  </w:style>
  <w:style w:type="paragraph" w:customStyle="1" w:styleId="NoNumHead3">
    <w:name w:val="±NoNumHead3"/>
    <w:basedOn w:val="NoNumHead2"/>
    <w:next w:val="Normal"/>
    <w:uiPriority w:val="3"/>
    <w:semiHidden/>
    <w:rsid w:val="0086029D"/>
    <w:pPr>
      <w:outlineLvl w:val="2"/>
    </w:pPr>
    <w:rPr>
      <w:sz w:val="24"/>
    </w:rPr>
  </w:style>
  <w:style w:type="paragraph" w:customStyle="1" w:styleId="NoNumHead4">
    <w:name w:val="±NoNumHead4"/>
    <w:basedOn w:val="NoNumHead3"/>
    <w:next w:val="Normal"/>
    <w:uiPriority w:val="3"/>
    <w:semiHidden/>
    <w:rsid w:val="0086029D"/>
    <w:pPr>
      <w:outlineLvl w:val="3"/>
    </w:pPr>
    <w:rPr>
      <w:sz w:val="22"/>
    </w:rPr>
  </w:style>
  <w:style w:type="paragraph" w:customStyle="1" w:styleId="Head2NonToc">
    <w:name w:val="±Head2NonToc"/>
    <w:basedOn w:val="Head1NonToc"/>
    <w:next w:val="Normal"/>
    <w:uiPriority w:val="3"/>
    <w:rsid w:val="0086029D"/>
    <w:pPr>
      <w:pageBreakBefore w:val="0"/>
      <w:spacing w:before="360" w:after="120"/>
      <w:outlineLvl w:val="1"/>
    </w:pPr>
    <w:rPr>
      <w:sz w:val="28"/>
    </w:rPr>
  </w:style>
  <w:style w:type="table" w:customStyle="1" w:styleId="NestTable2">
    <w:name w:val="Nest_Table 2"/>
    <w:basedOn w:val="TableNormal"/>
    <w:uiPriority w:val="99"/>
    <w:rsid w:val="00D80999"/>
    <w:pPr>
      <w:spacing w:before="0"/>
    </w:pPr>
    <w:tblPr>
      <w:tblStyleRowBandSize w:val="1"/>
      <w:tblStyleColBandSize w:val="1"/>
      <w:tblBorders>
        <w:top w:val="single" w:sz="2" w:space="0" w:color="E6E3D9" w:themeColor="background2"/>
        <w:bottom w:val="single" w:sz="2" w:space="0" w:color="E6E3D9" w:themeColor="background2"/>
        <w:insideH w:val="single" w:sz="2" w:space="0" w:color="E6E3D9" w:themeColor="background2"/>
      </w:tblBorders>
    </w:tblPr>
    <w:tblStylePr w:type="firstRow">
      <w:pPr>
        <w:jc w:val="left"/>
      </w:pPr>
      <w:rPr>
        <w:b/>
        <w:color w:val="28465F"/>
      </w:rPr>
      <w:tblPr/>
      <w:trPr>
        <w:tblHeader/>
      </w:trPr>
      <w:tcPr>
        <w:tcBorders>
          <w:top w:val="nil"/>
          <w:left w:val="nil"/>
          <w:bottom w:val="single" w:sz="2" w:space="0" w:color="FF8200" w:themeColor="text2"/>
          <w:right w:val="nil"/>
          <w:insideH w:val="nil"/>
          <w:insideV w:val="nil"/>
          <w:tl2br w:val="nil"/>
          <w:tr2bl w:val="nil"/>
        </w:tcBorders>
        <w:shd w:val="clear" w:color="auto" w:fill="C8DCFA" w:themeFill="accent3"/>
      </w:tcPr>
    </w:tblStylePr>
    <w:tblStylePr w:type="lastRow">
      <w:rPr>
        <w:b/>
        <w:color w:val="28465F"/>
      </w:rPr>
      <w:tblPr/>
      <w:tcPr>
        <w:tcBorders>
          <w:top w:val="single" w:sz="2" w:space="0" w:color="FF8200" w:themeColor="text2"/>
          <w:left w:val="nil"/>
          <w:bottom w:val="single" w:sz="2" w:space="0" w:color="FF8200" w:themeColor="text2"/>
          <w:right w:val="nil"/>
          <w:insideH w:val="nil"/>
          <w:insideV w:val="nil"/>
          <w:tl2br w:val="nil"/>
          <w:tr2bl w:val="nil"/>
        </w:tcBorders>
        <w:shd w:val="clear" w:color="auto" w:fill="C8DCFA" w:themeFill="accent3"/>
      </w:tcPr>
    </w:tblStylePr>
    <w:tblStylePr w:type="firstCol">
      <w:rPr>
        <w:b/>
      </w:rPr>
      <w:tblPr/>
      <w:tcPr>
        <w:shd w:val="clear" w:color="auto" w:fill="E9F1FD"/>
      </w:tcPr>
    </w:tblStylePr>
    <w:tblStylePr w:type="band2Vert">
      <w:tblPr/>
      <w:tcPr>
        <w:shd w:val="clear" w:color="auto" w:fill="E9F1FD"/>
      </w:tcPr>
    </w:tblStylePr>
    <w:tblStylePr w:type="band2Horz">
      <w:tblPr/>
      <w:tcPr>
        <w:shd w:val="clear" w:color="auto" w:fill="E9F1FD"/>
      </w:tcPr>
    </w:tblStylePr>
  </w:style>
  <w:style w:type="paragraph" w:customStyle="1" w:styleId="QuoteSource">
    <w:name w:val="±QuoteSource"/>
    <w:basedOn w:val="Source"/>
    <w:next w:val="Normal"/>
    <w:uiPriority w:val="32"/>
    <w:rsid w:val="00600F08"/>
    <w:pPr>
      <w:tabs>
        <w:tab w:val="clear" w:pos="851"/>
      </w:tabs>
      <w:spacing w:before="0" w:after="240"/>
      <w:ind w:left="0" w:firstLine="0"/>
    </w:pPr>
    <w:rPr>
      <w:color w:val="28465F"/>
      <w:sz w:val="21"/>
    </w:rPr>
  </w:style>
  <w:style w:type="paragraph" w:customStyle="1" w:styleId="QuoteSourceWhite">
    <w:name w:val="±QuoteSource(White)"/>
    <w:basedOn w:val="QuoteSource"/>
    <w:next w:val="Normal"/>
    <w:uiPriority w:val="32"/>
    <w:rsid w:val="00600F08"/>
    <w:rPr>
      <w:color w:val="FFFFFF" w:themeColor="background1"/>
    </w:rPr>
  </w:style>
  <w:style w:type="paragraph" w:customStyle="1" w:styleId="PublishingNumber">
    <w:name w:val="±PublishingNumber"/>
    <w:basedOn w:val="NoSpacing"/>
    <w:semiHidden/>
    <w:rsid w:val="00C302CA"/>
    <w:pPr>
      <w:framePr w:wrap="around" w:vAnchor="page" w:hAnchor="margin" w:xAlign="right" w:y="16444"/>
      <w:jc w:val="right"/>
    </w:pPr>
    <w:rPr>
      <w:color w:val="FF788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38138">
      <w:bodyDiv w:val="1"/>
      <w:marLeft w:val="0"/>
      <w:marRight w:val="0"/>
      <w:marTop w:val="0"/>
      <w:marBottom w:val="0"/>
      <w:divBdr>
        <w:top w:val="none" w:sz="0" w:space="0" w:color="auto"/>
        <w:left w:val="none" w:sz="0" w:space="0" w:color="auto"/>
        <w:bottom w:val="none" w:sz="0" w:space="0" w:color="auto"/>
        <w:right w:val="none" w:sz="0" w:space="0" w:color="auto"/>
      </w:divBdr>
    </w:div>
    <w:div w:id="270548965">
      <w:bodyDiv w:val="1"/>
      <w:marLeft w:val="0"/>
      <w:marRight w:val="0"/>
      <w:marTop w:val="0"/>
      <w:marBottom w:val="0"/>
      <w:divBdr>
        <w:top w:val="none" w:sz="0" w:space="0" w:color="auto"/>
        <w:left w:val="none" w:sz="0" w:space="0" w:color="auto"/>
        <w:bottom w:val="none" w:sz="0" w:space="0" w:color="auto"/>
        <w:right w:val="none" w:sz="0" w:space="0" w:color="auto"/>
      </w:divBdr>
    </w:div>
    <w:div w:id="938678964">
      <w:bodyDiv w:val="1"/>
      <w:marLeft w:val="0"/>
      <w:marRight w:val="0"/>
      <w:marTop w:val="0"/>
      <w:marBottom w:val="0"/>
      <w:divBdr>
        <w:top w:val="none" w:sz="0" w:space="0" w:color="auto"/>
        <w:left w:val="none" w:sz="0" w:space="0" w:color="auto"/>
        <w:bottom w:val="none" w:sz="0" w:space="0" w:color="auto"/>
        <w:right w:val="none" w:sz="0" w:space="0" w:color="auto"/>
      </w:divBdr>
    </w:div>
    <w:div w:id="1476986590">
      <w:bodyDiv w:val="1"/>
      <w:marLeft w:val="0"/>
      <w:marRight w:val="0"/>
      <w:marTop w:val="0"/>
      <w:marBottom w:val="0"/>
      <w:divBdr>
        <w:top w:val="none" w:sz="0" w:space="0" w:color="auto"/>
        <w:left w:val="none" w:sz="0" w:space="0" w:color="auto"/>
        <w:bottom w:val="none" w:sz="0" w:space="0" w:color="auto"/>
        <w:right w:val="none" w:sz="0" w:space="0" w:color="auto"/>
      </w:divBdr>
    </w:div>
    <w:div w:id="184432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estpensions.org.uk/schemeweb/nest.html" TargetMode="Externa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customXml" Target="../customXml/item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nestpensions.org.uk/schemeweb/nest.html" TargetMode="Externa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www.nestpensions.org.uk/schemeweb/nest.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_rels/header6.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9C93399E4594D49A1F56270034FE865"/>
        <w:category>
          <w:name w:val="General"/>
          <w:gallery w:val="placeholder"/>
        </w:category>
        <w:types>
          <w:type w:val="bbPlcHdr"/>
        </w:types>
        <w:behaviors>
          <w:behavior w:val="content"/>
        </w:behaviors>
        <w:guid w:val="{6F50FAE7-94FC-4FBD-AB14-69FC29D20A2C}"/>
      </w:docPartPr>
      <w:docPartBody>
        <w:p w:rsidR="002571C7" w:rsidRDefault="002571C7">
          <w:pPr>
            <w:pStyle w:val="79C93399E4594D49A1F56270034FE865"/>
          </w:pPr>
          <w:r w:rsidRPr="00C8259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B401A158-089D-4A6B-A7AE-B63EFB296443}"/>
      </w:docPartPr>
      <w:docPartBody>
        <w:p w:rsidR="00937F7A" w:rsidRDefault="006407C4">
          <w:r w:rsidRPr="004B2219">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4464" w:rsidRDefault="00CE4464">
      <w:pPr>
        <w:spacing w:after="0" w:line="240" w:lineRule="auto"/>
      </w:pPr>
      <w:r>
        <w:separator/>
      </w:r>
    </w:p>
  </w:endnote>
  <w:endnote w:type="continuationSeparator" w:id="0">
    <w:p w:rsidR="00CE4464" w:rsidRDefault="00CE4464">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n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4464" w:rsidRDefault="00CE4464">
      <w:pPr>
        <w:spacing w:after="0" w:line="240" w:lineRule="auto"/>
      </w:pPr>
      <w:r>
        <w:separator/>
      </w:r>
    </w:p>
  </w:footnote>
  <w:footnote w:type="continuationSeparator" w:id="0">
    <w:p w:rsidR="00CE4464" w:rsidRDefault="00CE4464">
      <w:pPr>
        <w:spacing w:after="0" w:line="240" w:lineRule="auto"/>
      </w:pPr>
      <w:r>
        <w:continuationSeparator/>
      </w:r>
    </w:p>
  </w:footnote>
</w:footnote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0744BE"/>
    <w:multiLevelType w:val="multilevel"/>
    <w:tmpl w:val="CEB6988C"/>
    <w:lvl w:ilvl="0">
      <w:start w:val="1"/>
      <w:numFmt w:val="bullet"/>
      <w:pStyle w:val="SymbolBullet1"/>
      <w:lvlText w:val="›"/>
      <w:lvlJc w:val="left"/>
      <w:pPr>
        <w:tabs>
          <w:tab w:val="num" w:pos="340"/>
        </w:tabs>
        <w:ind w:left="340" w:hanging="340"/>
      </w:pPr>
      <w:rPr>
        <w:rFonts w:ascii="Calibri" w:hAnsi="Calibri" w:hint="default"/>
        <w:color w:val="44546A" w:themeColor="text2"/>
      </w:rPr>
    </w:lvl>
    <w:lvl w:ilvl="1">
      <w:start w:val="1"/>
      <w:numFmt w:val="bullet"/>
      <w:lvlText w:val="–"/>
      <w:lvlJc w:val="left"/>
      <w:pPr>
        <w:tabs>
          <w:tab w:val="num" w:pos="680"/>
        </w:tabs>
        <w:ind w:left="680" w:hanging="340"/>
      </w:pPr>
      <w:rPr>
        <w:rFonts w:ascii="(none)" w:hAnsi="(none)" w:hint="default"/>
        <w:color w:val="44546A" w:themeColor="text2"/>
      </w:rPr>
    </w:lvl>
    <w:lvl w:ilvl="2">
      <w:start w:val="1"/>
      <w:numFmt w:val="bullet"/>
      <w:lvlText w:val="–"/>
      <w:lvlJc w:val="left"/>
      <w:pPr>
        <w:tabs>
          <w:tab w:val="num" w:pos="1021"/>
        </w:tabs>
        <w:ind w:left="1021" w:hanging="341"/>
      </w:pPr>
      <w:rPr>
        <w:rFonts w:ascii="(none)" w:hAnsi="(none)" w:hint="default"/>
        <w:color w:val="44546A"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796A3518"/>
    <w:multiLevelType w:val="multilevel"/>
    <w:tmpl w:val="112ABA94"/>
    <w:lvl w:ilvl="0">
      <w:start w:val="1"/>
      <w:numFmt w:val="decimal"/>
      <w:lvlText w:val="%1."/>
      <w:lvlJc w:val="left"/>
      <w:pPr>
        <w:tabs>
          <w:tab w:val="num" w:pos="340"/>
        </w:tabs>
        <w:ind w:left="340" w:hanging="340"/>
      </w:pPr>
      <w:rPr>
        <w:rFonts w:hint="default"/>
        <w:color w:val="44546A" w:themeColor="text2"/>
      </w:rPr>
    </w:lvl>
    <w:lvl w:ilvl="1">
      <w:start w:val="1"/>
      <w:numFmt w:val="lowerLetter"/>
      <w:lvlText w:val="%2."/>
      <w:lvlJc w:val="left"/>
      <w:pPr>
        <w:tabs>
          <w:tab w:val="num" w:pos="680"/>
        </w:tabs>
        <w:ind w:left="680" w:hanging="340"/>
      </w:pPr>
      <w:rPr>
        <w:rFonts w:hint="default"/>
        <w:color w:val="44546A" w:themeColor="text2"/>
      </w:rPr>
    </w:lvl>
    <w:lvl w:ilvl="2">
      <w:start w:val="1"/>
      <w:numFmt w:val="lowerRoman"/>
      <w:lvlText w:val="%3."/>
      <w:lvlJc w:val="left"/>
      <w:pPr>
        <w:tabs>
          <w:tab w:val="num" w:pos="1021"/>
        </w:tabs>
        <w:ind w:left="1021" w:hanging="341"/>
      </w:pPr>
      <w:rPr>
        <w:rFonts w:hint="default"/>
        <w:color w:val="44546A"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7A586721"/>
    <w:multiLevelType w:val="multilevel"/>
    <w:tmpl w:val="B0EE10D0"/>
    <w:lvl w:ilvl="0">
      <w:start w:val="1"/>
      <w:numFmt w:val="upperLetter"/>
      <w:pStyle w:val="AppHead1"/>
      <w:lvlText w:val="%1"/>
      <w:lvlJc w:val="right"/>
      <w:pPr>
        <w:tabs>
          <w:tab w:val="num" w:pos="0"/>
        </w:tabs>
        <w:ind w:left="0" w:hanging="142"/>
      </w:pPr>
      <w:rPr>
        <w:rFonts w:hint="default"/>
      </w:rPr>
    </w:lvl>
    <w:lvl w:ilvl="1">
      <w:start w:val="1"/>
      <w:numFmt w:val="decimal"/>
      <w:lvlText w:val="%1.%2"/>
      <w:lvlJc w:val="right"/>
      <w:pPr>
        <w:tabs>
          <w:tab w:val="num" w:pos="0"/>
        </w:tabs>
        <w:ind w:left="0" w:hanging="142"/>
      </w:pPr>
      <w:rPr>
        <w:rFonts w:hint="default"/>
      </w:rPr>
    </w:lvl>
    <w:lvl w:ilvl="2">
      <w:start w:val="1"/>
      <w:numFmt w:val="decimal"/>
      <w:lvlText w:val="%1.%2.%3"/>
      <w:lvlJc w:val="right"/>
      <w:pPr>
        <w:tabs>
          <w:tab w:val="num" w:pos="0"/>
        </w:tabs>
        <w:ind w:left="0" w:hanging="142"/>
      </w:pPr>
      <w:rPr>
        <w:rFonts w:hint="default"/>
      </w:rPr>
    </w:lvl>
    <w:lvl w:ilvl="3">
      <w:start w:val="1"/>
      <w:numFmt w:val="decimal"/>
      <w:lvlText w:val="%1.%2.%3.%4"/>
      <w:lvlJc w:val="right"/>
      <w:pPr>
        <w:tabs>
          <w:tab w:val="num" w:pos="0"/>
        </w:tabs>
        <w:ind w:left="0" w:hanging="142"/>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num w:numId="1">
    <w:abstractNumId w:val="0"/>
  </w:num>
  <w:num w:numId="2">
    <w:abstractNumId w:val="1"/>
  </w:num>
  <w:num w:numId="3">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C7"/>
    <w:rsid w:val="00021D7B"/>
    <w:rsid w:val="001E7D4E"/>
    <w:rsid w:val="001F31D3"/>
    <w:rsid w:val="00250695"/>
    <w:rsid w:val="002571C7"/>
    <w:rsid w:val="0037346B"/>
    <w:rsid w:val="00455247"/>
    <w:rsid w:val="004E5886"/>
    <w:rsid w:val="0057334B"/>
    <w:rsid w:val="0058050C"/>
    <w:rsid w:val="005A03C1"/>
    <w:rsid w:val="005B0053"/>
    <w:rsid w:val="006407C4"/>
    <w:rsid w:val="00672C82"/>
    <w:rsid w:val="0068298B"/>
    <w:rsid w:val="006A2843"/>
    <w:rsid w:val="00746EC0"/>
    <w:rsid w:val="00815685"/>
    <w:rsid w:val="00871ED9"/>
    <w:rsid w:val="008C2BDF"/>
    <w:rsid w:val="008E2076"/>
    <w:rsid w:val="00913501"/>
    <w:rsid w:val="00937F7A"/>
    <w:rsid w:val="00AE15BB"/>
    <w:rsid w:val="00B34862"/>
    <w:rsid w:val="00BC00D6"/>
    <w:rsid w:val="00CE4464"/>
    <w:rsid w:val="00CF45EE"/>
    <w:rsid w:val="00D25D79"/>
    <w:rsid w:val="00DA34BF"/>
    <w:rsid w:val="00DB3D09"/>
    <w:rsid w:val="00DF2DC6"/>
    <w:rsid w:val="00DF3D9F"/>
    <w:rsid w:val="00E12B24"/>
    <w:rsid w:val="00E25D08"/>
    <w:rsid w:val="00E7738B"/>
    <w:rsid w:val="00EC59A2"/>
    <w:rsid w:val="00EE63C2"/>
    <w:rsid w:val="00EF5F1A"/>
    <w:rsid w:val="00F13488"/>
    <w:rsid w:val="00F81C50"/>
    <w:rsid w:val="00F912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6" w:unhideWhenUsed="1"/>
    <w:lsdException w:name="footer" w:semiHidden="1" w:uiPriority="36" w:unhideWhenUsed="1"/>
    <w:lsdException w:name="index heading" w:semiHidden="1" w:unhideWhenUsed="1"/>
    <w:lsdException w:name="caption" w:semiHidden="1" w:uiPriority="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03C1"/>
    <w:rPr>
      <w:color w:val="808080"/>
    </w:rPr>
  </w:style>
  <w:style w:type="paragraph" w:customStyle="1" w:styleId="79C93399E4594D49A1F56270034FE865">
    <w:name w:val="79C93399E4594D49A1F56270034FE865"/>
  </w:style>
  <w:style w:type="paragraph" w:customStyle="1" w:styleId="E9CEF7D3AB604BD78CF5136C2528C039">
    <w:name w:val="E9CEF7D3AB604BD78CF5136C2528C039"/>
  </w:style>
  <w:style w:type="paragraph" w:customStyle="1" w:styleId="QuoteText">
    <w:name w:val="±QuoteText"/>
    <w:basedOn w:val="Normal"/>
    <w:next w:val="QuoteSource"/>
    <w:uiPriority w:val="32"/>
    <w:rsid w:val="00EF5F1A"/>
    <w:pPr>
      <w:keepNext/>
      <w:spacing w:before="240" w:after="240" w:line="240" w:lineRule="auto"/>
    </w:pPr>
    <w:rPr>
      <w:rFonts w:eastAsiaTheme="minorHAnsi"/>
      <w:b/>
      <w:color w:val="28465F"/>
      <w:sz w:val="24"/>
      <w:szCs w:val="21"/>
      <w:lang w:eastAsia="en-US"/>
    </w:rPr>
  </w:style>
  <w:style w:type="paragraph" w:customStyle="1" w:styleId="TableTextLeft">
    <w:name w:val="±TableTextLeft"/>
    <w:basedOn w:val="Normal"/>
    <w:uiPriority w:val="31"/>
    <w:rsid w:val="008E2076"/>
    <w:pPr>
      <w:spacing w:before="60" w:after="60" w:line="240" w:lineRule="auto"/>
    </w:pPr>
    <w:rPr>
      <w:rFonts w:eastAsiaTheme="minorHAnsi"/>
      <w:color w:val="000000" w:themeColor="text1"/>
      <w:sz w:val="21"/>
      <w:szCs w:val="21"/>
      <w:lang w:eastAsia="en-US"/>
    </w:rPr>
  </w:style>
  <w:style w:type="table" w:customStyle="1" w:styleId="NestTable">
    <w:name w:val="Nest Table"/>
    <w:basedOn w:val="TableNormal"/>
    <w:uiPriority w:val="99"/>
    <w:rsid w:val="00AE15BB"/>
    <w:pPr>
      <w:spacing w:after="0" w:line="240" w:lineRule="auto"/>
    </w:pPr>
    <w:rPr>
      <w:rFonts w:eastAsiaTheme="minorHAnsi"/>
      <w:color w:val="000000" w:themeColor="text1"/>
      <w:sz w:val="21"/>
      <w:szCs w:val="21"/>
      <w:lang w:eastAsia="en-US"/>
    </w:rPr>
    <w:tblPr>
      <w:tblStyleRowBandSize w:val="1"/>
      <w:tblStyleColBandSize w:val="1"/>
      <w:tblBorders>
        <w:top w:val="single" w:sz="2" w:space="0" w:color="44546A" w:themeColor="text2"/>
        <w:bottom w:val="single" w:sz="2" w:space="0" w:color="44546A" w:themeColor="text2"/>
        <w:insideH w:val="single" w:sz="2" w:space="0" w:color="44546A" w:themeColor="text2"/>
      </w:tblBorders>
    </w:tblPr>
    <w:tblStylePr w:type="firstRow">
      <w:pPr>
        <w:jc w:val="left"/>
      </w:pPr>
      <w:rPr>
        <w:b/>
        <w:color w:val="28465F"/>
      </w:rPr>
      <w:tblPr/>
      <w:trPr>
        <w:tblHeader/>
      </w:trPr>
      <w:tcPr>
        <w:tcBorders>
          <w:top w:val="nil"/>
          <w:left w:val="nil"/>
          <w:bottom w:val="nil"/>
          <w:right w:val="nil"/>
          <w:insideH w:val="nil"/>
          <w:insideV w:val="nil"/>
          <w:tl2br w:val="nil"/>
          <w:tr2bl w:val="nil"/>
        </w:tcBorders>
        <w:shd w:val="clear" w:color="auto" w:fill="A5A5A5" w:themeFill="accent3"/>
        <w:vAlign w:val="bottom"/>
      </w:tcPr>
    </w:tblStylePr>
    <w:tblStylePr w:type="lastRow">
      <w:rPr>
        <w:b/>
        <w:color w:val="28465F"/>
      </w:rPr>
    </w:tblStylePr>
    <w:tblStylePr w:type="firstCol">
      <w:rPr>
        <w:b/>
      </w:rPr>
    </w:tblStylePr>
    <w:tblStylePr w:type="band2Vert">
      <w:tblPr/>
      <w:tcPr>
        <w:shd w:val="clear" w:color="auto" w:fill="E9F1FD"/>
      </w:tcPr>
    </w:tblStylePr>
    <w:tblStylePr w:type="band2Horz">
      <w:tblPr/>
      <w:tcPr>
        <w:shd w:val="clear" w:color="auto" w:fill="E9F1FD"/>
      </w:tcPr>
    </w:tblStylePr>
  </w:style>
  <w:style w:type="paragraph" w:styleId="Caption">
    <w:name w:val="caption"/>
    <w:aliases w:val="±Caption"/>
    <w:basedOn w:val="Normal"/>
    <w:next w:val="Normal"/>
    <w:link w:val="CaptionChar"/>
    <w:uiPriority w:val="7"/>
    <w:rsid w:val="00EF5F1A"/>
    <w:pPr>
      <w:keepNext/>
      <w:tabs>
        <w:tab w:val="left" w:pos="1134"/>
      </w:tabs>
      <w:spacing w:before="240" w:after="60" w:line="240" w:lineRule="auto"/>
      <w:ind w:left="1134" w:hanging="1134"/>
    </w:pPr>
    <w:rPr>
      <w:rFonts w:eastAsia="Calibri"/>
      <w:b/>
      <w:color w:val="000000" w:themeColor="text1"/>
      <w:sz w:val="20"/>
      <w:szCs w:val="21"/>
      <w:lang w:eastAsia="en-US"/>
    </w:rPr>
  </w:style>
  <w:style w:type="character" w:customStyle="1" w:styleId="CaptionChar">
    <w:name w:val="Caption Char"/>
    <w:aliases w:val="±Caption Char"/>
    <w:basedOn w:val="DefaultParagraphFont"/>
    <w:link w:val="Caption"/>
    <w:uiPriority w:val="7"/>
    <w:rsid w:val="00EF5F1A"/>
    <w:rPr>
      <w:rFonts w:eastAsia="Calibri"/>
      <w:b/>
      <w:color w:val="000000" w:themeColor="text1"/>
      <w:sz w:val="20"/>
      <w:szCs w:val="21"/>
      <w:lang w:eastAsia="en-US"/>
    </w:rPr>
  </w:style>
  <w:style w:type="paragraph" w:customStyle="1" w:styleId="Source">
    <w:name w:val="±Source"/>
    <w:basedOn w:val="Normal"/>
    <w:next w:val="Normal"/>
    <w:uiPriority w:val="8"/>
    <w:rsid w:val="00EF5F1A"/>
    <w:pPr>
      <w:tabs>
        <w:tab w:val="left" w:pos="851"/>
      </w:tabs>
      <w:spacing w:before="60" w:after="60" w:line="240" w:lineRule="auto"/>
      <w:ind w:left="851" w:hanging="851"/>
    </w:pPr>
    <w:rPr>
      <w:rFonts w:eastAsia="Calibri"/>
      <w:i/>
      <w:color w:val="000000" w:themeColor="text1"/>
      <w:sz w:val="18"/>
      <w:szCs w:val="21"/>
      <w:lang w:eastAsia="en-US"/>
    </w:rPr>
  </w:style>
  <w:style w:type="paragraph" w:styleId="NoSpacing">
    <w:name w:val="No Spacing"/>
    <w:aliases w:val="±BaseStyle"/>
    <w:rsid w:val="00EF5F1A"/>
    <w:pPr>
      <w:spacing w:after="0" w:line="240" w:lineRule="auto"/>
    </w:pPr>
    <w:rPr>
      <w:rFonts w:eastAsiaTheme="minorHAnsi" w:cs="Arial"/>
      <w:color w:val="000000" w:themeColor="text1"/>
      <w:sz w:val="21"/>
      <w:szCs w:val="20"/>
      <w:lang w:eastAsia="en-US"/>
    </w:rPr>
  </w:style>
  <w:style w:type="paragraph" w:customStyle="1" w:styleId="KeyMsgTextWhite">
    <w:name w:val="±KeyMsgText(White)"/>
    <w:basedOn w:val="KeyMsgText"/>
    <w:uiPriority w:val="32"/>
    <w:rsid w:val="00EF5F1A"/>
    <w:rPr>
      <w:color w:val="FFFFFF" w:themeColor="background1"/>
    </w:rPr>
  </w:style>
  <w:style w:type="paragraph" w:customStyle="1" w:styleId="KeyMsgHeadWhite">
    <w:name w:val="±KeyMsgHead(White)"/>
    <w:basedOn w:val="KeyMsgHead"/>
    <w:next w:val="KeyMsgTextWhite"/>
    <w:uiPriority w:val="32"/>
    <w:rsid w:val="00EF5F1A"/>
    <w:rPr>
      <w:color w:val="FFFFFF" w:themeColor="background1"/>
    </w:rPr>
  </w:style>
  <w:style w:type="paragraph" w:styleId="Footer">
    <w:name w:val="footer"/>
    <w:aliases w:val="±Footer"/>
    <w:basedOn w:val="NoSpacing"/>
    <w:link w:val="FooterChar"/>
    <w:uiPriority w:val="36"/>
    <w:semiHidden/>
    <w:rsid w:val="00913501"/>
    <w:rPr>
      <w:sz w:val="17"/>
    </w:rPr>
  </w:style>
  <w:style w:type="character" w:customStyle="1" w:styleId="FooterChar">
    <w:name w:val="Footer Char"/>
    <w:aliases w:val="±Footer Char"/>
    <w:basedOn w:val="DefaultParagraphFont"/>
    <w:link w:val="Footer"/>
    <w:uiPriority w:val="36"/>
    <w:semiHidden/>
    <w:rsid w:val="00913501"/>
    <w:rPr>
      <w:rFonts w:eastAsiaTheme="minorHAnsi" w:cs="Arial"/>
      <w:color w:val="000000" w:themeColor="text1"/>
      <w:sz w:val="17"/>
      <w:szCs w:val="20"/>
      <w:lang w:eastAsia="en-US"/>
    </w:rPr>
  </w:style>
  <w:style w:type="paragraph" w:styleId="Header">
    <w:name w:val="header"/>
    <w:aliases w:val="±Header"/>
    <w:basedOn w:val="NoSpacing"/>
    <w:link w:val="HeaderChar"/>
    <w:uiPriority w:val="36"/>
    <w:semiHidden/>
    <w:rsid w:val="00913501"/>
    <w:rPr>
      <w:b/>
      <w:sz w:val="17"/>
    </w:rPr>
  </w:style>
  <w:style w:type="character" w:customStyle="1" w:styleId="HeaderChar">
    <w:name w:val="Header Char"/>
    <w:aliases w:val="±Header Char"/>
    <w:basedOn w:val="DefaultParagraphFont"/>
    <w:link w:val="Header"/>
    <w:uiPriority w:val="36"/>
    <w:semiHidden/>
    <w:rsid w:val="00913501"/>
    <w:rPr>
      <w:rFonts w:eastAsiaTheme="minorHAnsi" w:cs="Arial"/>
      <w:b/>
      <w:color w:val="000000" w:themeColor="text1"/>
      <w:sz w:val="17"/>
      <w:szCs w:val="20"/>
      <w:lang w:eastAsia="en-US"/>
    </w:rPr>
  </w:style>
  <w:style w:type="paragraph" w:customStyle="1" w:styleId="Divider">
    <w:name w:val="±Divider"/>
    <w:basedOn w:val="Normal"/>
    <w:next w:val="Normal"/>
    <w:uiPriority w:val="5"/>
    <w:rsid w:val="00913501"/>
    <w:pPr>
      <w:keepNext/>
      <w:pageBreakBefore/>
      <w:spacing w:after="360" w:line="216" w:lineRule="auto"/>
      <w:outlineLvl w:val="0"/>
    </w:pPr>
    <w:rPr>
      <w:rFonts w:asciiTheme="majorHAnsi" w:eastAsiaTheme="minorHAnsi" w:hAnsiTheme="majorHAnsi" w:cs="Arial"/>
      <w:b/>
      <w:color w:val="28465F"/>
      <w:sz w:val="72"/>
      <w:szCs w:val="20"/>
      <w:lang w:eastAsia="en-US"/>
    </w:rPr>
  </w:style>
  <w:style w:type="paragraph" w:customStyle="1" w:styleId="DividerSubtitle">
    <w:name w:val="±DividerSubtitle"/>
    <w:basedOn w:val="Normal"/>
    <w:uiPriority w:val="5"/>
    <w:rsid w:val="00913501"/>
    <w:pPr>
      <w:keepNext/>
      <w:spacing w:after="0" w:line="216" w:lineRule="auto"/>
    </w:pPr>
    <w:rPr>
      <w:rFonts w:asciiTheme="majorHAnsi" w:eastAsiaTheme="minorHAnsi" w:hAnsiTheme="majorHAnsi" w:cs="Arial"/>
      <w:color w:val="000000" w:themeColor="text1"/>
      <w:sz w:val="28"/>
      <w:szCs w:val="20"/>
      <w:lang w:eastAsia="en-US"/>
    </w:rPr>
  </w:style>
  <w:style w:type="character" w:styleId="Hyperlink">
    <w:name w:val="Hyperlink"/>
    <w:aliases w:val="±HyperLink"/>
    <w:basedOn w:val="DefaultParagraphFont"/>
    <w:uiPriority w:val="99"/>
    <w:semiHidden/>
    <w:rsid w:val="00455247"/>
    <w:rPr>
      <w:b/>
      <w:color w:val="005EA5"/>
      <w:u w:val="single"/>
    </w:rPr>
  </w:style>
  <w:style w:type="paragraph" w:customStyle="1" w:styleId="QuoteTextWhite">
    <w:name w:val="±QuoteText(White)"/>
    <w:basedOn w:val="QuoteText"/>
    <w:next w:val="Normal"/>
    <w:uiPriority w:val="32"/>
    <w:rsid w:val="00EF5F1A"/>
    <w:rPr>
      <w:color w:val="FFFFFF" w:themeColor="background1"/>
    </w:rPr>
  </w:style>
  <w:style w:type="paragraph" w:customStyle="1" w:styleId="SymbolBullet1">
    <w:name w:val="±SymbolBullet1"/>
    <w:basedOn w:val="Normal"/>
    <w:uiPriority w:val="1"/>
    <w:qFormat/>
    <w:rsid w:val="008E2076"/>
    <w:pPr>
      <w:numPr>
        <w:numId w:val="1"/>
      </w:numPr>
      <w:spacing w:before="60" w:after="60" w:line="240" w:lineRule="auto"/>
    </w:pPr>
    <w:rPr>
      <w:rFonts w:eastAsia="Calibri"/>
      <w:color w:val="000000" w:themeColor="text1"/>
      <w:sz w:val="21"/>
      <w:szCs w:val="21"/>
      <w:lang w:eastAsia="en-US"/>
    </w:rPr>
  </w:style>
  <w:style w:type="paragraph" w:customStyle="1" w:styleId="KeyMsgText">
    <w:name w:val="±KeyMsgText"/>
    <w:basedOn w:val="Normal"/>
    <w:uiPriority w:val="32"/>
    <w:rsid w:val="00EF5F1A"/>
    <w:pPr>
      <w:spacing w:before="120" w:after="0" w:line="240" w:lineRule="auto"/>
    </w:pPr>
    <w:rPr>
      <w:rFonts w:eastAsiaTheme="minorHAnsi"/>
      <w:color w:val="000000" w:themeColor="text1"/>
      <w:sz w:val="24"/>
      <w:szCs w:val="21"/>
      <w:lang w:eastAsia="en-US"/>
    </w:rPr>
  </w:style>
  <w:style w:type="paragraph" w:customStyle="1" w:styleId="KeyMsgHead">
    <w:name w:val="±KeyMsgHead"/>
    <w:basedOn w:val="KeyMsgText"/>
    <w:uiPriority w:val="32"/>
    <w:rsid w:val="00EF5F1A"/>
    <w:pPr>
      <w:keepNext/>
      <w:pBdr>
        <w:bottom w:val="single" w:sz="12" w:space="6" w:color="44546A" w:themeColor="text2"/>
      </w:pBdr>
      <w:spacing w:before="0" w:after="120"/>
    </w:pPr>
    <w:rPr>
      <w:b/>
      <w:color w:val="28465F"/>
    </w:rPr>
  </w:style>
  <w:style w:type="paragraph" w:customStyle="1" w:styleId="93BC9A1445834DF982E715711EB3FB77">
    <w:name w:val="93BC9A1445834DF982E715711EB3FB77"/>
    <w:rsid w:val="00455247"/>
  </w:style>
  <w:style w:type="paragraph" w:customStyle="1" w:styleId="7712CC48F4D44515804539EB2A9969A5">
    <w:name w:val="7712CC48F4D44515804539EB2A9969A5"/>
    <w:rsid w:val="00DF3D9F"/>
  </w:style>
  <w:style w:type="paragraph" w:customStyle="1" w:styleId="2BA3C2173A5E47AE845D0923BB75FB23">
    <w:name w:val="2BA3C2173A5E47AE845D0923BB75FB23"/>
    <w:rsid w:val="00DF3D9F"/>
  </w:style>
  <w:style w:type="paragraph" w:customStyle="1" w:styleId="IllustrateRight">
    <w:name w:val="±IllustrateRight"/>
    <w:basedOn w:val="Normal"/>
    <w:uiPriority w:val="33"/>
    <w:rsid w:val="00913501"/>
    <w:pPr>
      <w:spacing w:after="0" w:line="240" w:lineRule="auto"/>
      <w:jc w:val="right"/>
    </w:pPr>
    <w:rPr>
      <w:rFonts w:eastAsiaTheme="minorHAnsi" w:cs="Arial"/>
      <w:color w:val="000000" w:themeColor="text1"/>
      <w:sz w:val="21"/>
      <w:szCs w:val="20"/>
      <w:lang w:eastAsia="en-US"/>
    </w:rPr>
  </w:style>
  <w:style w:type="paragraph" w:customStyle="1" w:styleId="QuoteSourceWhite">
    <w:name w:val="±QuoteSource(White)"/>
    <w:basedOn w:val="QuoteSource"/>
    <w:next w:val="Normal"/>
    <w:uiPriority w:val="32"/>
    <w:rsid w:val="00EF5F1A"/>
    <w:rPr>
      <w:color w:val="FFFFFF" w:themeColor="background1"/>
    </w:rPr>
  </w:style>
  <w:style w:type="paragraph" w:customStyle="1" w:styleId="AppHead1">
    <w:name w:val="±AppHead1"/>
    <w:basedOn w:val="Normal"/>
    <w:next w:val="Normal"/>
    <w:uiPriority w:val="6"/>
    <w:rsid w:val="00913501"/>
    <w:pPr>
      <w:keepNext/>
      <w:pageBreakBefore/>
      <w:numPr>
        <w:numId w:val="3"/>
      </w:numPr>
      <w:spacing w:after="360" w:line="216" w:lineRule="auto"/>
      <w:outlineLvl w:val="0"/>
    </w:pPr>
    <w:rPr>
      <w:rFonts w:asciiTheme="majorHAnsi" w:eastAsiaTheme="minorHAnsi" w:hAnsiTheme="majorHAnsi" w:cs="Arial"/>
      <w:b/>
      <w:color w:val="28465F"/>
      <w:sz w:val="48"/>
      <w:szCs w:val="20"/>
      <w:lang w:eastAsia="en-US"/>
    </w:rPr>
  </w:style>
  <w:style w:type="paragraph" w:customStyle="1" w:styleId="QuoteSource">
    <w:name w:val="±QuoteSource"/>
    <w:basedOn w:val="Source"/>
    <w:next w:val="Normal"/>
    <w:uiPriority w:val="32"/>
    <w:rsid w:val="00EF5F1A"/>
    <w:pPr>
      <w:tabs>
        <w:tab w:val="clear" w:pos="851"/>
      </w:tabs>
      <w:spacing w:before="0" w:after="240"/>
      <w:ind w:left="0" w:firstLine="0"/>
    </w:pPr>
    <w:rPr>
      <w:color w:val="28465F"/>
      <w:sz w:val="21"/>
    </w:rPr>
  </w:style>
  <w:style w:type="table" w:customStyle="1" w:styleId="NestTable1">
    <w:name w:val="Nest_Table 1"/>
    <w:basedOn w:val="TableNormal"/>
    <w:uiPriority w:val="99"/>
    <w:rsid w:val="008E2076"/>
    <w:pPr>
      <w:spacing w:after="0" w:line="240" w:lineRule="auto"/>
    </w:pPr>
    <w:rPr>
      <w:rFonts w:eastAsiaTheme="minorHAnsi"/>
      <w:color w:val="000000" w:themeColor="text1"/>
      <w:sz w:val="21"/>
      <w:szCs w:val="21"/>
      <w:lang w:eastAsia="en-US"/>
    </w:rPr>
    <w:tblPr>
      <w:tblStyleRowBandSize w:val="1"/>
      <w:tblStyleColBandSize w:val="1"/>
      <w:tblBorders>
        <w:top w:val="single" w:sz="2" w:space="0" w:color="44546A" w:themeColor="text2"/>
        <w:bottom w:val="single" w:sz="2" w:space="0" w:color="44546A" w:themeColor="text2"/>
        <w:insideH w:val="single" w:sz="2" w:space="0" w:color="44546A" w:themeColor="text2"/>
      </w:tblBorders>
    </w:tblPr>
    <w:tblStylePr w:type="firstRow">
      <w:pPr>
        <w:jc w:val="left"/>
      </w:pPr>
      <w:rPr>
        <w:b/>
        <w:color w:val="28465F"/>
      </w:rPr>
      <w:tblPr/>
      <w:trPr>
        <w:tblHeader/>
      </w:trPr>
      <w:tcPr>
        <w:tcBorders>
          <w:top w:val="nil"/>
          <w:left w:val="nil"/>
          <w:bottom w:val="nil"/>
          <w:right w:val="nil"/>
          <w:insideH w:val="nil"/>
          <w:insideV w:val="nil"/>
          <w:tl2br w:val="nil"/>
          <w:tr2bl w:val="nil"/>
        </w:tcBorders>
        <w:shd w:val="clear" w:color="auto" w:fill="A5A5A5" w:themeFill="accent3"/>
        <w:vAlign w:val="bottom"/>
      </w:tcPr>
    </w:tblStylePr>
    <w:tblStylePr w:type="lastRow">
      <w:rPr>
        <w:b/>
        <w:color w:val="28465F"/>
      </w:rPr>
      <w:tblPr/>
      <w:tcPr>
        <w:shd w:val="clear" w:color="auto" w:fill="A5A5A5" w:themeFill="accent3"/>
      </w:tcPr>
    </w:tblStylePr>
    <w:tblStylePr w:type="firstCol">
      <w:rPr>
        <w:b/>
      </w:rPr>
      <w:tblPr/>
      <w:tcPr>
        <w:shd w:val="clear" w:color="auto" w:fill="E9F1FD"/>
      </w:tcPr>
    </w:tblStylePr>
    <w:tblStylePr w:type="band2Vert">
      <w:tblPr/>
      <w:tcPr>
        <w:shd w:val="clear" w:color="auto" w:fill="E9F1FD"/>
      </w:tcPr>
    </w:tblStylePr>
    <w:tblStylePr w:type="band2Horz">
      <w:tblPr/>
      <w:tcPr>
        <w:shd w:val="clear" w:color="auto" w:fill="E9F1FD"/>
      </w:tcPr>
    </w:tblStylePr>
  </w:style>
  <w:style w:type="table" w:customStyle="1" w:styleId="NestTable2">
    <w:name w:val="Nest_Table 2"/>
    <w:basedOn w:val="TableNormal"/>
    <w:uiPriority w:val="99"/>
    <w:rsid w:val="008E2076"/>
    <w:pPr>
      <w:spacing w:after="0" w:line="240" w:lineRule="auto"/>
    </w:pPr>
    <w:rPr>
      <w:rFonts w:eastAsiaTheme="minorHAnsi"/>
      <w:color w:val="000000" w:themeColor="text1"/>
      <w:sz w:val="21"/>
      <w:szCs w:val="21"/>
      <w:lang w:eastAsia="en-US"/>
    </w:rPr>
    <w:tblPr>
      <w:tblStyleRowBandSize w:val="1"/>
      <w:tblStyleColBandSize w:val="1"/>
      <w:tblBorders>
        <w:top w:val="single" w:sz="2" w:space="0" w:color="E7E6E6" w:themeColor="background2"/>
        <w:bottom w:val="single" w:sz="2" w:space="0" w:color="E7E6E6" w:themeColor="background2"/>
        <w:insideH w:val="single" w:sz="2" w:space="0" w:color="E7E6E6" w:themeColor="background2"/>
      </w:tblBorders>
    </w:tblPr>
    <w:tblStylePr w:type="firstRow">
      <w:pPr>
        <w:jc w:val="left"/>
      </w:pPr>
      <w:rPr>
        <w:b/>
        <w:color w:val="28465F"/>
      </w:rPr>
      <w:tblPr/>
      <w:trPr>
        <w:tblHeader/>
      </w:trPr>
      <w:tcPr>
        <w:tcBorders>
          <w:top w:val="nil"/>
          <w:left w:val="nil"/>
          <w:bottom w:val="single" w:sz="2" w:space="0" w:color="44546A" w:themeColor="text2"/>
          <w:right w:val="nil"/>
          <w:insideH w:val="nil"/>
          <w:insideV w:val="nil"/>
          <w:tl2br w:val="nil"/>
          <w:tr2bl w:val="nil"/>
        </w:tcBorders>
        <w:shd w:val="clear" w:color="auto" w:fill="A5A5A5" w:themeFill="accent3"/>
      </w:tcPr>
    </w:tblStylePr>
    <w:tblStylePr w:type="lastRow">
      <w:rPr>
        <w:b/>
        <w:color w:val="28465F"/>
      </w:rPr>
      <w:tblPr/>
      <w:tcPr>
        <w:tcBorders>
          <w:top w:val="single" w:sz="2" w:space="0" w:color="44546A" w:themeColor="text2"/>
          <w:left w:val="nil"/>
          <w:bottom w:val="single" w:sz="2" w:space="0" w:color="44546A" w:themeColor="text2"/>
          <w:right w:val="nil"/>
          <w:insideH w:val="nil"/>
          <w:insideV w:val="nil"/>
          <w:tl2br w:val="nil"/>
          <w:tr2bl w:val="nil"/>
        </w:tcBorders>
        <w:shd w:val="clear" w:color="auto" w:fill="A5A5A5" w:themeFill="accent3"/>
      </w:tcPr>
    </w:tblStylePr>
    <w:tblStylePr w:type="firstCol">
      <w:rPr>
        <w:b/>
      </w:rPr>
      <w:tblPr/>
      <w:tcPr>
        <w:shd w:val="clear" w:color="auto" w:fill="E9F1FD"/>
      </w:tcPr>
    </w:tblStylePr>
    <w:tblStylePr w:type="band2Vert">
      <w:tblPr/>
      <w:tcPr>
        <w:shd w:val="clear" w:color="auto" w:fill="E9F1FD"/>
      </w:tcPr>
    </w:tblStylePr>
    <w:tblStylePr w:type="band2Horz">
      <w:tblPr/>
      <w:tcPr>
        <w:shd w:val="clear" w:color="auto" w:fill="E9F1FD"/>
      </w:tcPr>
    </w:tblStylePr>
  </w:style>
  <w:style w:type="paragraph" w:customStyle="1" w:styleId="03AAFC5EDDBF43CFB4AD211E3EB73B7A">
    <w:name w:val="03AAFC5EDDBF43CFB4AD211E3EB73B7A"/>
    <w:rsid w:val="005A03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Nest">
      <a:dk1>
        <a:srgbClr val="3C3C3C"/>
      </a:dk1>
      <a:lt1>
        <a:srgbClr val="FFFFFF"/>
      </a:lt1>
      <a:dk2>
        <a:srgbClr val="FF8200"/>
      </a:dk2>
      <a:lt2>
        <a:srgbClr val="E6E3D9"/>
      </a:lt2>
      <a:accent1>
        <a:srgbClr val="00A0A4"/>
      </a:accent1>
      <a:accent2>
        <a:srgbClr val="00515F"/>
      </a:accent2>
      <a:accent3>
        <a:srgbClr val="C8DCFA"/>
      </a:accent3>
      <a:accent4>
        <a:srgbClr val="FF7882"/>
      </a:accent4>
      <a:accent5>
        <a:srgbClr val="792A86"/>
      </a:accent5>
      <a:accent6>
        <a:srgbClr val="E71F69"/>
      </a:accent6>
      <a:hlink>
        <a:srgbClr val="005EA5"/>
      </a:hlink>
      <a:folHlink>
        <a:srgbClr val="005EA5"/>
      </a:folHlink>
    </a:clrScheme>
    <a:fontScheme name="Nes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D28A7EAB855D49B641CF8435B4400A" ma:contentTypeVersion="6" ma:contentTypeDescription="Create a new document." ma:contentTypeScope="" ma:versionID="50e1476e1b200dfb1d273cd7442c3c7a">
  <xsd:schema xmlns:xsd="http://www.w3.org/2001/XMLSchema" xmlns:xs="http://www.w3.org/2001/XMLSchema" xmlns:p="http://schemas.microsoft.com/office/2006/metadata/properties" xmlns:ns2="2911f059-9837-4af0-b3f4-3d9811d47245" xmlns:ns3="90c795a2-8a48-4162-9c69-8876db2fe0fe" xmlns:ns4="b8589f52-9e98-4347-8738-8f3876027534" targetNamespace="http://schemas.microsoft.com/office/2006/metadata/properties" ma:root="true" ma:fieldsID="281d3f952b11631e59ff79ecd48f5282" ns2:_="" ns3:_="" ns4:_="">
    <xsd:import namespace="2911f059-9837-4af0-b3f4-3d9811d47245"/>
    <xsd:import namespace="90c795a2-8a48-4162-9c69-8876db2fe0fe"/>
    <xsd:import namespace="b8589f52-9e98-4347-8738-8f3876027534"/>
    <xsd:element name="properties">
      <xsd:complexType>
        <xsd:sequence>
          <xsd:element name="documentManagement">
            <xsd:complexType>
              <xsd:all>
                <xsd:element ref="ns2:TaxCatchAll" minOccurs="0"/>
                <xsd:element ref="ns2:TaxCatchAllLabel" minOccurs="0"/>
                <xsd:element ref="ns3:SharedWithDetails" minOccurs="0"/>
                <xsd:element ref="ns4:MediaServiceObjectDetectorVersions" minOccurs="0"/>
                <xsd:element ref="ns4:MediaServiceSearchProperties" minOccurs="0"/>
                <xsd:element ref="ns4:MediaServiceMetadata" minOccurs="0"/>
                <xsd:element ref="ns4:MediaServiceFastMetadata"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11f059-9837-4af0-b3f4-3d9811d47245"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d0c1ea0f-a7c5-4b9e-825b-c3054f1de741}" ma:internalName="TaxCatchAll" ma:showField="CatchAllData" ma:web="90c795a2-8a48-4162-9c69-8876db2fe0fe">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d0c1ea0f-a7c5-4b9e-825b-c3054f1de741}" ma:internalName="TaxCatchAllLabel" ma:readOnly="true" ma:showField="CatchAllDataLabel" ma:web="90c795a2-8a48-4162-9c69-8876db2fe0f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0c795a2-8a48-4162-9c69-8876db2fe0fe" elementFormDefault="qualified">
    <xsd:import namespace="http://schemas.microsoft.com/office/2006/documentManagement/types"/>
    <xsd:import namespace="http://schemas.microsoft.com/office/infopath/2007/PartnerControls"/>
    <xsd:element name="SharedWithDetails" ma:index="10" nillable="true" ma:displayName="Shared With Details" ma:internalName="SharedWithDetails" ma:readOnly="true">
      <xsd:simpleType>
        <xsd:restriction base="dms:Note">
          <xsd:maxLength value="255"/>
        </xsd:restrictio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8589f52-9e98-4347-8738-8f3876027534" elementFormDefault="qualified">
    <xsd:import namespace="http://schemas.microsoft.com/office/2006/documentManagement/types"/>
    <xsd:import namespace="http://schemas.microsoft.com/office/infopath/2007/PartnerControls"/>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911f059-9837-4af0-b3f4-3d9811d47245" xsi:nil="true"/>
  </documentManagement>
</p:properties>
</file>

<file path=customXml/item5.xml><?xml version="1.0" encoding="utf-8"?>
<?mso-contentType ?>
<SharedContentType xmlns="Microsoft.SharePoint.Taxonomy.ContentTypeSync" SourceId="29ff4300-d6b9-4a57-b3ce-a8129b7e1b5f" ContentTypeId="0x0101" PreviousValue="false"/>
</file>

<file path=customXml/itemProps1.xml><?xml version="1.0" encoding="utf-8"?>
<ds:datastoreItem xmlns:ds="http://schemas.openxmlformats.org/officeDocument/2006/customXml" ds:itemID="{BDDDE291-F01A-4A10-B0FB-328E93B79AC5}">
  <ds:schemaRefs>
    <ds:schemaRef ds:uri="http://schemas.openxmlformats.org/officeDocument/2006/bibliography"/>
  </ds:schemaRefs>
</ds:datastoreItem>
</file>

<file path=customXml/itemProps2.xml><?xml version="1.0" encoding="utf-8"?>
<ds:datastoreItem xmlns:ds="http://schemas.openxmlformats.org/officeDocument/2006/customXml" ds:itemID="{3BE58B03-7E42-44E9-9F0F-D96F778DD5D0}"/>
</file>

<file path=customXml/itemProps3.xml><?xml version="1.0" encoding="utf-8"?>
<ds:datastoreItem xmlns:ds="http://schemas.openxmlformats.org/officeDocument/2006/customXml" ds:itemID="{45FAB958-9591-4DCC-A271-7D1F8A2659AC}">
  <ds:schemaRefs>
    <ds:schemaRef ds:uri="http://schemas.microsoft.com/sharepoint/v3/contenttype/forms"/>
  </ds:schemaRefs>
</ds:datastoreItem>
</file>

<file path=customXml/itemProps4.xml><?xml version="1.0" encoding="utf-8"?>
<ds:datastoreItem xmlns:ds="http://schemas.openxmlformats.org/officeDocument/2006/customXml" ds:itemID="{BB5E363B-E1FF-43D7-BDA2-2BE79101BD1D}">
  <ds:schemaRefs>
    <ds:schemaRef ds:uri="http://schemas.microsoft.com/office/2006/metadata/properties"/>
    <ds:schemaRef ds:uri="http://schemas.microsoft.com/office/infopath/2007/PartnerControls"/>
    <ds:schemaRef ds:uri="3536591e-ddd0-4762-b8be-acd1c007e3bc"/>
  </ds:schemaRefs>
</ds:datastoreItem>
</file>

<file path=customXml/itemProps5.xml><?xml version="1.0" encoding="utf-8"?>
<ds:datastoreItem xmlns:ds="http://schemas.openxmlformats.org/officeDocument/2006/customXml" ds:itemID="{CEA67A9F-EA87-4641-A023-BDD3BBEB2E4F}"/>
</file>

<file path=docMetadata/LabelInfo.xml><?xml version="1.0" encoding="utf-8"?>
<clbl:labelList xmlns:clbl="http://schemas.microsoft.com/office/2020/mipLabelMetadata">
  <clbl:label id="{644d755e-ad32-4fd1-9937-ecdb21254c0c}" enabled="1" method="Privileged" siteId="{0a72f032-1d09-457e-ba02-e565695486cf}" removed="0"/>
</clbl:labelList>
</file>

<file path=docProps/app.xml><?xml version="1.0" encoding="utf-8"?>
<Properties xmlns="http://schemas.openxmlformats.org/officeDocument/2006/extended-properties" xmlns:vt="http://schemas.openxmlformats.org/officeDocument/2006/docPropsVTypes">
  <Template>Long Report Template.dotx</Template>
  <TotalTime>1481</TotalTime>
  <Pages>7</Pages>
  <Words>391</Words>
  <Characters>2229</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Key document details</vt:lpstr>
      <vt:lpstr>Document history</vt:lpstr>
      <vt:lpstr>    Reviewers</vt:lpstr>
      <vt:lpstr>Contents</vt:lpstr>
      <vt:lpstr>Executive Summary</vt:lpstr>
      <vt:lpstr>&lt;Click here and insert first Section Heading&gt;</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Lakhi, Shoeb</dc:creator>
  <cp:keywords/>
  <dc:description/>
  <cp:lastModifiedBy>Lakhi, Shoeb</cp:lastModifiedBy>
  <cp:revision>100</cp:revision>
  <cp:lastPrinted>2020-05-20T11:22:00Z</cp:lastPrinted>
  <dcterms:created xsi:type="dcterms:W3CDTF">2019-03-15T17:19:00Z</dcterms:created>
  <dcterms:modified xsi:type="dcterms:W3CDTF">2022-09-26T11:33:00Z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1.00</vt:lpwstr>
  </property>
  <property fmtid="{D5CDD505-2E9C-101B-9397-08002B2CF9AE}" pid="3" name="Date Published">
    <vt:lpwstr>05.02.2019</vt:lpwstr>
  </property>
  <property fmtid="{D5CDD505-2E9C-101B-9397-08002B2CF9AE}" pid="4" name="MSIP_Label_644d755e-ad32-4fd1-9937-ecdb21254c0c_Enabled">
    <vt:lpwstr>True</vt:lpwstr>
  </property>
  <property fmtid="{D5CDD505-2E9C-101B-9397-08002B2CF9AE}" pid="5" name="MSIP_Label_644d755e-ad32-4fd1-9937-ecdb21254c0c_SiteId">
    <vt:lpwstr>0a72f032-1d09-457e-ba02-e565695486cf</vt:lpwstr>
  </property>
  <property fmtid="{D5CDD505-2E9C-101B-9397-08002B2CF9AE}" pid="6" name="MSIP_Label_644d755e-ad32-4fd1-9937-ecdb21254c0c_SetDate">
    <vt:lpwstr>2019-02-05T12:17:49.5607947Z</vt:lpwstr>
  </property>
  <property fmtid="{D5CDD505-2E9C-101B-9397-08002B2CF9AE}" pid="7" name="MSIP_Label_644d755e-ad32-4fd1-9937-ecdb21254c0c_Name">
    <vt:lpwstr>NEST Internal</vt:lpwstr>
  </property>
  <property fmtid="{D5CDD505-2E9C-101B-9397-08002B2CF9AE}" pid="8" name="MSIP_Label_644d755e-ad32-4fd1-9937-ecdb21254c0c_Extended_MSFT_Method">
    <vt:lpwstr>Automatic</vt:lpwstr>
  </property>
  <property fmtid="{D5CDD505-2E9C-101B-9397-08002B2CF9AE}" pid="9" name="NEST Classification">
    <vt:lpwstr>NEST Internal</vt:lpwstr>
  </property>
  <property fmtid="{D5CDD505-2E9C-101B-9397-08002B2CF9AE}" pid="10" name="ContentTypeId">
    <vt:lpwstr>0x010100FED28A7EAB855D49B641CF8435B4400A</vt:lpwstr>
  </property>
</Properties>
</file>