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iTrent RESTful Web Services</w:t>
      </w:r>
    </w:p>
    <w:p>
      <w:pPr>
        <w:spacing w:after="300"/>
      </w:pPr>
      <w:r>
        <w:rPr>
          <w:b/>
          <w:bCs/>
          <w:color w:val="1F3864"/>
          <w:sz w:val="30"/>
          <w:szCs w:val="30"/>
        </w:rPr>
        <w:t xml:space="preserve">Table Inspection - Findings &amp; Question Log</w:t>
      </w:r>
    </w:p>
    <w:p>
      <w:pPr>
        <w:spacing w:after="120"/>
      </w:pPr>
      <w:r>
        <w:t xml:space="preserve">Prepared by: Aman Kohli - Data Analyst, Sonesta Select Boston Foxborough (Harbour View Hospitality)</w:t>
      </w:r>
    </w:p>
    <w:p>
      <w:pPr>
        <w:spacing w:after="120"/>
      </w:pPr>
      <w:r>
        <w:t xml:space="preserve">Reference documents: iTrent RESTful Web Services Guide (MHR International, May 2025) - 150 pages; Table_Inspection.xlsx (20-service test log); 8 masked sample responses (7.1, 7.3, 7.6, 7.7, 7.9, 7.11, 7.14, 7.15)</w:t>
      </w:r>
    </w:p>
    <w:p>
      <w:pPr>
        <w:pStyle w:val="Heading1"/>
        <w:spacing w:after="160" w:before="280"/>
      </w:pPr>
      <w:r>
        <w:t xml:space="preserve">1. Purpose &amp; Scope</w:t>
      </w:r>
    </w:p>
    <w:p>
      <w:pPr>
        <w:spacing w:after="120"/>
      </w:pPr>
      <w:r>
        <w:t xml:space="preserve">This document consolidates the results of testing all 20 pre-publish data services listed in Section 7 of the iTrent RESTful Web Services Guide against our environment, and compares the 8 services that did return data against the field mappings and example outputs documented in the Guide. The objective is to produce a single list of questions to raise with (a) the internal/concerned team and (b) the API provider (MHR / iTrent), so that gaps between documentation and actual behaviour can be resolved before these services are relied on for integration work.</w:t>
      </w:r>
    </w:p>
    <w:p>
      <w:pPr>
        <w:spacing w:after="120"/>
      </w:pPr>
      <w:r>
        <w:t xml:space="preserve">Of the 20 services tested: 8 returned data, 11 returned a generic 404 "Page Not Found" response, and 1 (7.19 - UDF) was logged by the tester as having no findable documentation, which this review found is inaccurate - see Section 3.</w:t>
      </w:r>
    </w:p>
    <w:p>
      <w:pPr>
        <w:pStyle w:val="Heading1"/>
        <w:spacing w:after="160" w:before="280"/>
      </w:pPr>
      <w:r>
        <w:t xml:space="preserve">2. Service Inventory - All 20 Services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1400"/>
        <w:gridCol w:w="4300"/>
      </w:tblGrid>
      <w:tr>
        <w:trPr>
          <w:tblHeader/>
        </w:trPr>
        <w:tc>
          <w:tcPr>
            <w:tcW w:type="dxa" w:w="700"/>
            <w:shd w:fill="1F3864" w:val="clear"/>
            <w:tcMar>
              <w:top w:type="dxa" w:w="60"/>
              <w:left w:type="dxa" w:w="100"/>
              <w:bottom w:type="dxa" w:w="60"/>
              <w:right w:type="dxa" w:w="100"/>
            </w:tcMar>
            <w:vAlign w:val="center"/>
          </w:tcPr>
          <w:p>
            <w:r>
              <w:rPr>
                <w:b/>
                <w:bCs/>
                <w:color w:val="FFFFFF"/>
                <w:sz w:val="20"/>
                <w:szCs w:val="20"/>
              </w:rPr>
              <w:t xml:space="preserve">#</w:t>
            </w:r>
          </w:p>
        </w:tc>
        <w:tc>
          <w:tcPr>
            <w:tcW w:type="dxa" w:w="3200"/>
            <w:shd w:fill="1F3864" w:val="clear"/>
            <w:tcMar>
              <w:top w:type="dxa" w:w="60"/>
              <w:left w:type="dxa" w:w="100"/>
              <w:bottom w:type="dxa" w:w="60"/>
              <w:right w:type="dxa" w:w="100"/>
            </w:tcMar>
            <w:vAlign w:val="center"/>
          </w:tcPr>
          <w:p>
            <w:r>
              <w:rPr>
                <w:b/>
                <w:bCs/>
                <w:color w:val="FFFFFF"/>
                <w:sz w:val="20"/>
                <w:szCs w:val="20"/>
              </w:rPr>
              <w:t xml:space="preserve">Service Name</w:t>
            </w:r>
          </w:p>
        </w:tc>
        <w:tc>
          <w:tcPr>
            <w:tcW w:type="dxa" w:w="1400"/>
            <w:shd w:fill="1F3864" w:val="clear"/>
            <w:tcMar>
              <w:top w:type="dxa" w:w="60"/>
              <w:left w:type="dxa" w:w="100"/>
              <w:bottom w:type="dxa" w:w="60"/>
              <w:right w:type="dxa" w:w="100"/>
            </w:tcMar>
            <w:vAlign w:val="center"/>
          </w:tcPr>
          <w:p>
            <w:r>
              <w:rPr>
                <w:b/>
                <w:bCs/>
                <w:color w:val="FFFFFF"/>
                <w:sz w:val="20"/>
                <w:szCs w:val="20"/>
              </w:rPr>
              <w:t xml:space="preserve">Returns Data?</w:t>
            </w:r>
          </w:p>
        </w:tc>
        <w:tc>
          <w:tcPr>
            <w:tcW w:type="dxa" w:w="4300"/>
            <w:shd w:fill="1F3864" w:val="clear"/>
            <w:tcMar>
              <w:top w:type="dxa" w:w="60"/>
              <w:left w:type="dxa" w:w="100"/>
              <w:bottom w:type="dxa" w:w="60"/>
              <w:right w:type="dxa" w:w="100"/>
            </w:tcMar>
            <w:vAlign w:val="center"/>
          </w:tcPr>
          <w:p>
            <w:r>
              <w:rPr>
                <w:b/>
                <w:bCs/>
                <w:color w:val="FFFFFF"/>
                <w:sz w:val="20"/>
                <w:szCs w:val="20"/>
              </w:rPr>
              <w:t xml:space="preserve">Notes</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7.1</w:t>
            </w:r>
          </w:p>
        </w:tc>
        <w:tc>
          <w:tcPr>
            <w:tcW w:type="dxa" w:w="3200"/>
            <w:tcMar>
              <w:top w:type="dxa" w:w="60"/>
              <w:left w:type="dxa" w:w="100"/>
              <w:bottom w:type="dxa" w:w="60"/>
              <w:right w:type="dxa" w:w="100"/>
            </w:tcMar>
            <w:vAlign w:val="center"/>
          </w:tcPr>
          <w:p>
            <w:r>
              <w:rPr>
                <w:b w:val="false"/>
                <w:bCs w:val="false"/>
                <w:color w:val="000000"/>
                <w:sz w:val="20"/>
                <w:szCs w:val="20"/>
              </w:rPr>
              <w:t xml:space="preserve">HR Core Data</w:t>
            </w:r>
          </w:p>
        </w:tc>
        <w:tc>
          <w:tcPr>
            <w:tcW w:type="dxa" w:w="1400"/>
            <w:tcMar>
              <w:top w:type="dxa" w:w="60"/>
              <w:left w:type="dxa" w:w="100"/>
              <w:bottom w:type="dxa" w:w="60"/>
              <w:right w:type="dxa" w:w="100"/>
            </w:tcMar>
            <w:vAlign w:val="center"/>
          </w:tcPr>
          <w:p>
            <w:r>
              <w:rPr>
                <w:b w:val="false"/>
                <w:bCs w:val="false"/>
                <w:color w:val="000000"/>
                <w:sz w:val="20"/>
                <w:szCs w:val="20"/>
              </w:rPr>
              <w:t xml:space="preserve">Yes</w:t>
            </w:r>
          </w:p>
        </w:tc>
        <w:tc>
          <w:tcPr>
            <w:tcW w:type="dxa" w:w="4300"/>
            <w:tcMar>
              <w:top w:type="dxa" w:w="60"/>
              <w:left w:type="dxa" w:w="100"/>
              <w:bottom w:type="dxa" w:w="60"/>
              <w:right w:type="dxa" w:w="100"/>
            </w:tcMar>
            <w:vAlign w:val="center"/>
          </w:tcPr>
          <w:p>
            <w:r>
              <w:rPr>
                <w:b w:val="false"/>
                <w:bCs w:val="false"/>
                <w:color w:val="000000"/>
                <w:sz w:val="20"/>
                <w:szCs w:val="20"/>
              </w:rPr>
              <w:t xml:space="preserve">Data returned; matches guide structure with some gaps (see Section 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7.2</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Skills and Qualifications</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7.3</w:t>
            </w:r>
          </w:p>
        </w:tc>
        <w:tc>
          <w:tcPr>
            <w:tcW w:type="dxa" w:w="3200"/>
            <w:tcMar>
              <w:top w:type="dxa" w:w="60"/>
              <w:left w:type="dxa" w:w="100"/>
              <w:bottom w:type="dxa" w:w="60"/>
              <w:right w:type="dxa" w:w="100"/>
            </w:tcMar>
            <w:vAlign w:val="center"/>
          </w:tcPr>
          <w:p>
            <w:r>
              <w:rPr>
                <w:b w:val="false"/>
                <w:bCs w:val="false"/>
                <w:color w:val="000000"/>
                <w:sz w:val="20"/>
                <w:szCs w:val="20"/>
              </w:rPr>
              <w:t xml:space="preserve">Position Data Service</w:t>
            </w:r>
          </w:p>
        </w:tc>
        <w:tc>
          <w:tcPr>
            <w:tcW w:type="dxa" w:w="1400"/>
            <w:tcMar>
              <w:top w:type="dxa" w:w="60"/>
              <w:left w:type="dxa" w:w="100"/>
              <w:bottom w:type="dxa" w:w="60"/>
              <w:right w:type="dxa" w:w="100"/>
            </w:tcMar>
            <w:vAlign w:val="center"/>
          </w:tcPr>
          <w:p>
            <w:r>
              <w:rPr>
                <w:b w:val="false"/>
                <w:bCs w:val="false"/>
                <w:color w:val="000000"/>
                <w:sz w:val="20"/>
                <w:szCs w:val="20"/>
              </w:rPr>
              <w:t xml:space="preserve">Yes</w:t>
            </w:r>
          </w:p>
        </w:tc>
        <w:tc>
          <w:tcPr>
            <w:tcW w:type="dxa" w:w="4300"/>
            <w:tcMar>
              <w:top w:type="dxa" w:w="60"/>
              <w:left w:type="dxa" w:w="100"/>
              <w:bottom w:type="dxa" w:w="60"/>
              <w:right w:type="dxa" w:w="100"/>
            </w:tcMar>
            <w:vAlign w:val="center"/>
          </w:tcPr>
          <w:p>
            <w:r>
              <w:rPr>
                <w:b w:val="false"/>
                <w:bCs w:val="false"/>
                <w:color w:val="000000"/>
                <w:sz w:val="20"/>
                <w:szCs w:val="20"/>
              </w:rPr>
              <w:t xml:space="preserve">Clean match against guide</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7.4</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Absence Data Service</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7.5</w:t>
            </w:r>
          </w:p>
        </w:tc>
        <w:tc>
          <w:tcPr>
            <w:tcW w:type="dxa" w:w="3200"/>
            <w:tcMar>
              <w:top w:type="dxa" w:w="60"/>
              <w:left w:type="dxa" w:w="100"/>
              <w:bottom w:type="dxa" w:w="60"/>
              <w:right w:type="dxa" w:w="100"/>
            </w:tcMar>
            <w:vAlign w:val="center"/>
          </w:tcPr>
          <w:p>
            <w:r>
              <w:rPr>
                <w:b w:val="false"/>
                <w:bCs w:val="false"/>
                <w:color w:val="000000"/>
                <w:sz w:val="20"/>
                <w:szCs w:val="20"/>
              </w:rPr>
              <w:t xml:space="preserve">Attendance Data Service</w:t>
            </w:r>
          </w:p>
        </w:tc>
        <w:tc>
          <w:tcPr>
            <w:tcW w:type="dxa" w:w="1400"/>
            <w:tcMar>
              <w:top w:type="dxa" w:w="60"/>
              <w:left w:type="dxa" w:w="100"/>
              <w:bottom w:type="dxa" w:w="60"/>
              <w:right w:type="dxa" w:w="100"/>
            </w:tcMar>
            <w:vAlign w:val="center"/>
          </w:tcPr>
          <w:p>
            <w:r>
              <w:rPr>
                <w:b w:val="false"/>
                <w:bCs w:val="false"/>
                <w:color w:val="000000"/>
                <w:sz w:val="20"/>
                <w:szCs w:val="20"/>
              </w:rPr>
              <w:t xml:space="preserve">No</w:t>
            </w:r>
          </w:p>
        </w:tc>
        <w:tc>
          <w:tcPr>
            <w:tcW w:type="dxa" w:w="4300"/>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7.6</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Daily Pattern Service</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Clean structural match; stray characters in raw capture</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7.7</w:t>
            </w:r>
          </w:p>
        </w:tc>
        <w:tc>
          <w:tcPr>
            <w:tcW w:type="dxa" w:w="3200"/>
            <w:tcMar>
              <w:top w:type="dxa" w:w="60"/>
              <w:left w:type="dxa" w:w="100"/>
              <w:bottom w:type="dxa" w:w="60"/>
              <w:right w:type="dxa" w:w="100"/>
            </w:tcMar>
            <w:vAlign w:val="center"/>
          </w:tcPr>
          <w:p>
            <w:r>
              <w:rPr>
                <w:b w:val="false"/>
                <w:bCs w:val="false"/>
                <w:color w:val="000000"/>
                <w:sz w:val="20"/>
                <w:szCs w:val="20"/>
              </w:rPr>
              <w:t xml:space="preserve">HR Core Data and Structure Service</w:t>
            </w:r>
          </w:p>
        </w:tc>
        <w:tc>
          <w:tcPr>
            <w:tcW w:type="dxa" w:w="1400"/>
            <w:tcMar>
              <w:top w:type="dxa" w:w="60"/>
              <w:left w:type="dxa" w:w="100"/>
              <w:bottom w:type="dxa" w:w="60"/>
              <w:right w:type="dxa" w:w="100"/>
            </w:tcMar>
            <w:vAlign w:val="center"/>
          </w:tcPr>
          <w:p>
            <w:r>
              <w:rPr>
                <w:b w:val="false"/>
                <w:bCs w:val="false"/>
                <w:color w:val="000000"/>
                <w:sz w:val="20"/>
                <w:szCs w:val="20"/>
              </w:rPr>
              <w:t xml:space="preserve">Yes</w:t>
            </w:r>
          </w:p>
        </w:tc>
        <w:tc>
          <w:tcPr>
            <w:tcW w:type="dxa" w:w="4300"/>
            <w:tcMar>
              <w:top w:type="dxa" w:w="60"/>
              <w:left w:type="dxa" w:w="100"/>
              <w:bottom w:type="dxa" w:w="60"/>
              <w:right w:type="dxa" w:w="100"/>
            </w:tcMar>
            <w:vAlign w:val="center"/>
          </w:tcPr>
          <w:p>
            <w:r>
              <w:rPr>
                <w:b w:val="false"/>
                <w:bCs w:val="false"/>
                <w:color w:val="000000"/>
                <w:sz w:val="20"/>
                <w:szCs w:val="20"/>
              </w:rPr>
              <w:t xml:space="preserve">Data returned; structural gaps in unit hierarchy (see Section 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7.8</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HR Core Data &amp; Structure (Transfers)</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7.9</w:t>
            </w:r>
          </w:p>
        </w:tc>
        <w:tc>
          <w:tcPr>
            <w:tcW w:type="dxa" w:w="3200"/>
            <w:tcMar>
              <w:top w:type="dxa" w:w="60"/>
              <w:left w:type="dxa" w:w="100"/>
              <w:bottom w:type="dxa" w:w="60"/>
              <w:right w:type="dxa" w:w="100"/>
            </w:tcMar>
            <w:vAlign w:val="center"/>
          </w:tcPr>
          <w:p>
            <w:r>
              <w:rPr>
                <w:b w:val="false"/>
                <w:bCs w:val="false"/>
                <w:color w:val="000000"/>
                <w:sz w:val="20"/>
                <w:szCs w:val="20"/>
              </w:rPr>
              <w:t xml:space="preserve">People Structure</w:t>
            </w:r>
          </w:p>
        </w:tc>
        <w:tc>
          <w:tcPr>
            <w:tcW w:type="dxa" w:w="1400"/>
            <w:tcMar>
              <w:top w:type="dxa" w:w="60"/>
              <w:left w:type="dxa" w:w="100"/>
              <w:bottom w:type="dxa" w:w="60"/>
              <w:right w:type="dxa" w:w="100"/>
            </w:tcMar>
            <w:vAlign w:val="center"/>
          </w:tcPr>
          <w:p>
            <w:r>
              <w:rPr>
                <w:b w:val="false"/>
                <w:bCs w:val="false"/>
                <w:color w:val="000000"/>
                <w:sz w:val="20"/>
                <w:szCs w:val="20"/>
              </w:rPr>
              <w:t xml:space="preserve">Yes</w:t>
            </w:r>
          </w:p>
        </w:tc>
        <w:tc>
          <w:tcPr>
            <w:tcW w:type="dxa" w:w="4300"/>
            <w:tcMar>
              <w:top w:type="dxa" w:w="60"/>
              <w:left w:type="dxa" w:w="100"/>
              <w:bottom w:type="dxa" w:w="60"/>
              <w:right w:type="dxa" w:w="100"/>
            </w:tcMar>
            <w:vAlign w:val="center"/>
          </w:tcPr>
          <w:p>
            <w:r>
              <w:rPr>
                <w:b w:val="false"/>
                <w:bCs w:val="false"/>
                <w:color w:val="000000"/>
                <w:sz w:val="20"/>
                <w:szCs w:val="20"/>
              </w:rPr>
              <w:t xml:space="preserve">Data returned; unit hierarchy deeper than documented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7.10</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WMS People</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7.11</w:t>
            </w:r>
          </w:p>
        </w:tc>
        <w:tc>
          <w:tcPr>
            <w:tcW w:type="dxa" w:w="3200"/>
            <w:tcMar>
              <w:top w:type="dxa" w:w="60"/>
              <w:left w:type="dxa" w:w="100"/>
              <w:bottom w:type="dxa" w:w="60"/>
              <w:right w:type="dxa" w:w="100"/>
            </w:tcMar>
            <w:vAlign w:val="center"/>
          </w:tcPr>
          <w:p>
            <w:r>
              <w:rPr>
                <w:b w:val="false"/>
                <w:bCs w:val="false"/>
                <w:color w:val="000000"/>
                <w:sz w:val="20"/>
                <w:szCs w:val="20"/>
              </w:rPr>
              <w:t xml:space="preserve">Elite3E (DAC3E)</w:t>
            </w:r>
          </w:p>
        </w:tc>
        <w:tc>
          <w:tcPr>
            <w:tcW w:type="dxa" w:w="1400"/>
            <w:tcMar>
              <w:top w:type="dxa" w:w="60"/>
              <w:left w:type="dxa" w:w="100"/>
              <w:bottom w:type="dxa" w:w="60"/>
              <w:right w:type="dxa" w:w="100"/>
            </w:tcMar>
            <w:vAlign w:val="center"/>
          </w:tcPr>
          <w:p>
            <w:r>
              <w:rPr>
                <w:b w:val="false"/>
                <w:bCs w:val="false"/>
                <w:color w:val="000000"/>
                <w:sz w:val="20"/>
                <w:szCs w:val="20"/>
              </w:rPr>
              <w:t xml:space="preserve">Yes</w:t>
            </w:r>
          </w:p>
        </w:tc>
        <w:tc>
          <w:tcPr>
            <w:tcW w:type="dxa" w:w="4300"/>
            <w:tcMar>
              <w:top w:type="dxa" w:w="60"/>
              <w:left w:type="dxa" w:w="100"/>
              <w:bottom w:type="dxa" w:w="60"/>
              <w:right w:type="dxa" w:w="100"/>
            </w:tcMar>
            <w:vAlign w:val="center"/>
          </w:tcPr>
          <w:p>
            <w:r>
              <w:rPr>
                <w:b w:val="false"/>
                <w:bCs w:val="false"/>
                <w:color w:val="000000"/>
                <w:sz w:val="20"/>
                <w:szCs w:val="20"/>
              </w:rPr>
              <w:t xml:space="preserve">Clean match against guide</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7.12</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WFM Person (Grosvenor)</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7.13</w:t>
            </w:r>
          </w:p>
        </w:tc>
        <w:tc>
          <w:tcPr>
            <w:tcW w:type="dxa" w:w="3200"/>
            <w:tcMar>
              <w:top w:type="dxa" w:w="60"/>
              <w:left w:type="dxa" w:w="100"/>
              <w:bottom w:type="dxa" w:w="60"/>
              <w:right w:type="dxa" w:w="100"/>
            </w:tcMar>
            <w:vAlign w:val="center"/>
          </w:tcPr>
          <w:p>
            <w:r>
              <w:rPr>
                <w:b w:val="false"/>
                <w:bCs w:val="false"/>
                <w:color w:val="000000"/>
                <w:sz w:val="20"/>
                <w:szCs w:val="20"/>
              </w:rPr>
              <w:t xml:space="preserve">WFM Shifts (Grosvenor)</w:t>
            </w:r>
          </w:p>
        </w:tc>
        <w:tc>
          <w:tcPr>
            <w:tcW w:type="dxa" w:w="1400"/>
            <w:tcMar>
              <w:top w:type="dxa" w:w="60"/>
              <w:left w:type="dxa" w:w="100"/>
              <w:bottom w:type="dxa" w:w="60"/>
              <w:right w:type="dxa" w:w="100"/>
            </w:tcMar>
            <w:vAlign w:val="center"/>
          </w:tcPr>
          <w:p>
            <w:r>
              <w:rPr>
                <w:b w:val="false"/>
                <w:bCs w:val="false"/>
                <w:color w:val="000000"/>
                <w:sz w:val="20"/>
                <w:szCs w:val="20"/>
              </w:rPr>
              <w:t xml:space="preserve">No</w:t>
            </w:r>
          </w:p>
        </w:tc>
        <w:tc>
          <w:tcPr>
            <w:tcW w:type="dxa" w:w="4300"/>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7.14</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Employee Record</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Yes</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Data returned; many optional sub-blocks not present</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7.15</w:t>
            </w:r>
          </w:p>
        </w:tc>
        <w:tc>
          <w:tcPr>
            <w:tcW w:type="dxa" w:w="3200"/>
            <w:tcMar>
              <w:top w:type="dxa" w:w="60"/>
              <w:left w:type="dxa" w:w="100"/>
              <w:bottom w:type="dxa" w:w="60"/>
              <w:right w:type="dxa" w:w="100"/>
            </w:tcMar>
            <w:vAlign w:val="center"/>
          </w:tcPr>
          <w:p>
            <w:r>
              <w:rPr>
                <w:b w:val="false"/>
                <w:bCs w:val="false"/>
                <w:color w:val="000000"/>
                <w:sz w:val="20"/>
                <w:szCs w:val="20"/>
              </w:rPr>
              <w:t xml:space="preserve">Employee Record (date effective)</w:t>
            </w:r>
          </w:p>
        </w:tc>
        <w:tc>
          <w:tcPr>
            <w:tcW w:type="dxa" w:w="1400"/>
            <w:tcMar>
              <w:top w:type="dxa" w:w="60"/>
              <w:left w:type="dxa" w:w="100"/>
              <w:bottom w:type="dxa" w:w="60"/>
              <w:right w:type="dxa" w:w="100"/>
            </w:tcMar>
            <w:vAlign w:val="center"/>
          </w:tcPr>
          <w:p>
            <w:r>
              <w:rPr>
                <w:b w:val="false"/>
                <w:bCs w:val="false"/>
                <w:color w:val="000000"/>
                <w:sz w:val="20"/>
                <w:szCs w:val="20"/>
              </w:rPr>
              <w:t xml:space="preserve">Yes</w:t>
            </w:r>
          </w:p>
        </w:tc>
        <w:tc>
          <w:tcPr>
            <w:tcW w:type="dxa" w:w="4300"/>
            <w:tcMar>
              <w:top w:type="dxa" w:w="60"/>
              <w:left w:type="dxa" w:w="100"/>
              <w:bottom w:type="dxa" w:w="60"/>
              <w:right w:type="dxa" w:w="100"/>
            </w:tcMar>
            <w:vAlign w:val="center"/>
          </w:tcPr>
          <w:p>
            <w:r>
              <w:rPr>
                <w:b w:val="false"/>
                <w:bCs w:val="false"/>
                <w:color w:val="000000"/>
                <w:sz w:val="20"/>
                <w:szCs w:val="20"/>
              </w:rPr>
              <w:t xml:space="preserve">Data returned; missing WDP header fields (see Section 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7.16</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Employee Work Schedule</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7.17</w:t>
            </w:r>
          </w:p>
        </w:tc>
        <w:tc>
          <w:tcPr>
            <w:tcW w:type="dxa" w:w="3200"/>
            <w:tcMar>
              <w:top w:type="dxa" w:w="60"/>
              <w:left w:type="dxa" w:w="100"/>
              <w:bottom w:type="dxa" w:w="60"/>
              <w:right w:type="dxa" w:w="100"/>
            </w:tcMar>
            <w:vAlign w:val="center"/>
          </w:tcPr>
          <w:p>
            <w:r>
              <w:rPr>
                <w:b w:val="false"/>
                <w:bCs w:val="false"/>
                <w:color w:val="000000"/>
                <w:sz w:val="20"/>
                <w:szCs w:val="20"/>
              </w:rPr>
              <w:t xml:space="preserve">Requisition Data Service</w:t>
            </w:r>
          </w:p>
        </w:tc>
        <w:tc>
          <w:tcPr>
            <w:tcW w:type="dxa" w:w="1400"/>
            <w:tcMar>
              <w:top w:type="dxa" w:w="60"/>
              <w:left w:type="dxa" w:w="100"/>
              <w:bottom w:type="dxa" w:w="60"/>
              <w:right w:type="dxa" w:w="100"/>
            </w:tcMar>
            <w:vAlign w:val="center"/>
          </w:tcPr>
          <w:p>
            <w:r>
              <w:rPr>
                <w:b w:val="false"/>
                <w:bCs w:val="false"/>
                <w:color w:val="000000"/>
                <w:sz w:val="20"/>
                <w:szCs w:val="20"/>
              </w:rPr>
              <w:t xml:space="preserve">No</w:t>
            </w:r>
          </w:p>
        </w:tc>
        <w:tc>
          <w:tcPr>
            <w:tcW w:type="dxa" w:w="4300"/>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7.18</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Requisition Data Service Version 2</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r>
        <w:tc>
          <w:tcPr>
            <w:tcW w:type="dxa" w:w="700"/>
            <w:tcMar>
              <w:top w:type="dxa" w:w="60"/>
              <w:left w:type="dxa" w:w="100"/>
              <w:bottom w:type="dxa" w:w="60"/>
              <w:right w:type="dxa" w:w="100"/>
            </w:tcMar>
            <w:vAlign w:val="center"/>
          </w:tcPr>
          <w:p>
            <w:r>
              <w:rPr>
                <w:b w:val="false"/>
                <w:bCs w:val="false"/>
                <w:color w:val="000000"/>
                <w:sz w:val="20"/>
                <w:szCs w:val="20"/>
              </w:rPr>
              <w:t xml:space="preserve">7.19</w:t>
            </w:r>
          </w:p>
        </w:tc>
        <w:tc>
          <w:tcPr>
            <w:tcW w:type="dxa" w:w="3200"/>
            <w:tcMar>
              <w:top w:type="dxa" w:w="60"/>
              <w:left w:type="dxa" w:w="100"/>
              <w:bottom w:type="dxa" w:w="60"/>
              <w:right w:type="dxa" w:w="100"/>
            </w:tcMar>
            <w:vAlign w:val="center"/>
          </w:tcPr>
          <w:p>
            <w:r>
              <w:rPr>
                <w:b w:val="false"/>
                <w:bCs w:val="false"/>
                <w:color w:val="000000"/>
                <w:sz w:val="20"/>
                <w:szCs w:val="20"/>
              </w:rPr>
              <w:t xml:space="preserve">User Defined Fields (UDF)</w:t>
            </w:r>
          </w:p>
        </w:tc>
        <w:tc>
          <w:tcPr>
            <w:tcW w:type="dxa" w:w="1400"/>
            <w:tcMar>
              <w:top w:type="dxa" w:w="60"/>
              <w:left w:type="dxa" w:w="100"/>
              <w:bottom w:type="dxa" w:w="60"/>
              <w:right w:type="dxa" w:w="100"/>
            </w:tcMar>
            <w:vAlign w:val="center"/>
          </w:tcPr>
          <w:p>
            <w:r>
              <w:rPr>
                <w:b w:val="false"/>
                <w:bCs w:val="false"/>
                <w:color w:val="000000"/>
                <w:sz w:val="20"/>
                <w:szCs w:val="20"/>
              </w:rPr>
              <w:t xml:space="preserve">Unclear</w:t>
            </w:r>
          </w:p>
        </w:tc>
        <w:tc>
          <w:tcPr>
            <w:tcW w:type="dxa" w:w="4300"/>
            <w:tcMar>
              <w:top w:type="dxa" w:w="60"/>
              <w:left w:type="dxa" w:w="100"/>
              <w:bottom w:type="dxa" w:w="60"/>
              <w:right w:type="dxa" w:w="100"/>
            </w:tcMar>
            <w:vAlign w:val="center"/>
          </w:tcPr>
          <w:p>
            <w:r>
              <w:rPr>
                <w:b w:val="false"/>
                <w:bCs w:val="false"/>
                <w:color w:val="000000"/>
                <w:sz w:val="20"/>
                <w:szCs w:val="20"/>
              </w:rPr>
              <w:t xml:space="preserve">Tester noted 'no documentation found' - guide DOES document this at p.144</w:t>
            </w:r>
          </w:p>
        </w:tc>
      </w:tr>
      <w:tr>
        <w:tc>
          <w:tcPr>
            <w:tcW w:type="dxa" w:w="700"/>
            <w:shd w:fill="F2F2F2" w:val="clear"/>
            <w:tcMar>
              <w:top w:type="dxa" w:w="60"/>
              <w:left w:type="dxa" w:w="100"/>
              <w:bottom w:type="dxa" w:w="60"/>
              <w:right w:type="dxa" w:w="100"/>
            </w:tcMar>
            <w:vAlign w:val="center"/>
          </w:tcPr>
          <w:p>
            <w:r>
              <w:rPr>
                <w:b w:val="false"/>
                <w:bCs w:val="false"/>
                <w:color w:val="000000"/>
                <w:sz w:val="20"/>
                <w:szCs w:val="20"/>
              </w:rPr>
              <w:t xml:space="preserve">7.20</w:t>
            </w:r>
          </w:p>
        </w:tc>
        <w:tc>
          <w:tcPr>
            <w:tcW w:type="dxa" w:w="3200"/>
            <w:shd w:fill="F2F2F2" w:val="clear"/>
            <w:tcMar>
              <w:top w:type="dxa" w:w="60"/>
              <w:left w:type="dxa" w:w="100"/>
              <w:bottom w:type="dxa" w:w="60"/>
              <w:right w:type="dxa" w:w="100"/>
            </w:tcMar>
            <w:vAlign w:val="center"/>
          </w:tcPr>
          <w:p>
            <w:r>
              <w:rPr>
                <w:b w:val="false"/>
                <w:bCs w:val="false"/>
                <w:color w:val="000000"/>
                <w:sz w:val="20"/>
                <w:szCs w:val="20"/>
              </w:rPr>
              <w:t xml:space="preserve">Grade and Payscale Details</w:t>
            </w:r>
          </w:p>
        </w:tc>
        <w:tc>
          <w:tcPr>
            <w:tcW w:type="dxa" w:w="1400"/>
            <w:shd w:fill="F2F2F2" w:val="clear"/>
            <w:tcMar>
              <w:top w:type="dxa" w:w="60"/>
              <w:left w:type="dxa" w:w="100"/>
              <w:bottom w:type="dxa" w:w="60"/>
              <w:right w:type="dxa" w:w="100"/>
            </w:tcMar>
            <w:vAlign w:val="center"/>
          </w:tcPr>
          <w:p>
            <w:r>
              <w:rPr>
                <w:b w:val="false"/>
                <w:bCs w:val="false"/>
                <w:color w:val="000000"/>
                <w:sz w:val="20"/>
                <w:szCs w:val="20"/>
              </w:rPr>
              <w:t xml:space="preserve">No</w:t>
            </w:r>
          </w:p>
        </w:tc>
        <w:tc>
          <w:tcPr>
            <w:tcW w:type="dxa" w:w="4300"/>
            <w:shd w:fill="F2F2F2" w:val="clear"/>
            <w:tcMar>
              <w:top w:type="dxa" w:w="60"/>
              <w:left w:type="dxa" w:w="100"/>
              <w:bottom w:type="dxa" w:w="60"/>
              <w:right w:type="dxa" w:w="100"/>
            </w:tcMar>
            <w:vAlign w:val="center"/>
          </w:tcPr>
          <w:p>
            <w:r>
              <w:rPr>
                <w:b w:val="false"/>
                <w:bCs w:val="false"/>
                <w:color w:val="000000"/>
                <w:sz w:val="20"/>
                <w:szCs w:val="20"/>
              </w:rPr>
              <w:t xml:space="preserve">404 Page Not Found</w:t>
            </w:r>
          </w:p>
        </w:tc>
      </w:tr>
    </w:tbl>
    <w:p>
      <w:pPr>
        <w:pStyle w:val="Heading1"/>
        <w:spacing w:after="160" w:before="280"/>
      </w:pPr>
      <w:r>
        <w:t xml:space="preserve">3. Services Returning "Page Not Found" (11 of 20)</w:t>
      </w:r>
    </w:p>
    <w:p>
      <w:pPr>
        <w:spacing w:after="120"/>
      </w:pPr>
      <w:r>
        <w:t xml:space="preserve">The following 11 services all returned an identical generic HTML 404 response rather than a JSON/XML API error:</w:t>
      </w:r>
    </w:p>
    <w:p>
      <w:pPr>
        <w:pStyle w:val="ListParagraph"/>
        <w:numPr>
          <w:ilvl w:val="0"/>
          <w:numId w:val="1"/>
        </w:numPr>
        <w:spacing w:after="60"/>
      </w:pPr>
      <w:r>
        <w:rPr>
          <w:i/>
          <w:iCs/>
        </w:rPr>
        <w:t xml:space="preserve">&lt;!DOCTYPE html&gt;&lt;html lang="en"&gt;...&lt;h1&gt;Page Not Found&lt;/h1&gt; This page cannot be displayed&lt;/html&gt;</w:t>
      </w:r>
    </w:p>
    <w:p>
      <w:pPr>
        <w:spacing w:after="120"/>
      </w:pPr>
      <w:r>
        <w:t xml:space="preserve">This is a plain web-server 404, not an iTrent application-level error - it gives no indication of why the service is unavailable (wrong URL, service not licensed, service not enabled for our environment, or wrong HTTP method). The affected services are: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900"/>
        <w:gridCol w:w="6700"/>
      </w:tblGrid>
      <w:tr>
        <w:trPr>
          <w:tblHeader/>
        </w:trPr>
        <w:tc>
          <w:tcPr>
            <w:tcW w:type="dxa" w:w="900"/>
            <w:shd w:fill="1F3864" w:val="clear"/>
            <w:tcMar>
              <w:top w:type="dxa" w:w="60"/>
              <w:left w:type="dxa" w:w="100"/>
              <w:bottom w:type="dxa" w:w="60"/>
              <w:right w:type="dxa" w:w="100"/>
            </w:tcMar>
            <w:vAlign w:val="center"/>
          </w:tcPr>
          <w:p>
            <w:r>
              <w:rPr>
                <w:b/>
                <w:bCs/>
                <w:color w:val="FFFFFF"/>
                <w:sz w:val="20"/>
                <w:szCs w:val="20"/>
              </w:rPr>
              <w:t xml:space="preserve">#</w:t>
            </w:r>
          </w:p>
        </w:tc>
        <w:tc>
          <w:tcPr>
            <w:tcW w:type="dxa" w:w="6700"/>
            <w:shd w:fill="1F3864" w:val="clear"/>
            <w:tcMar>
              <w:top w:type="dxa" w:w="60"/>
              <w:left w:type="dxa" w:w="100"/>
              <w:bottom w:type="dxa" w:w="60"/>
              <w:right w:type="dxa" w:w="100"/>
            </w:tcMar>
            <w:vAlign w:val="center"/>
          </w:tcPr>
          <w:p>
            <w:r>
              <w:rPr>
                <w:b/>
                <w:bCs/>
                <w:color w:val="FFFFFF"/>
                <w:sz w:val="20"/>
                <w:szCs w:val="20"/>
              </w:rPr>
              <w:t xml:space="preserve">Service Name</w:t>
            </w:r>
          </w:p>
        </w:tc>
      </w:tr>
      <w:tr>
        <w:tc>
          <w:tcPr>
            <w:tcW w:type="dxa" w:w="900"/>
            <w:tcMar>
              <w:top w:type="dxa" w:w="60"/>
              <w:left w:type="dxa" w:w="100"/>
              <w:bottom w:type="dxa" w:w="60"/>
              <w:right w:type="dxa" w:w="100"/>
            </w:tcMar>
            <w:vAlign w:val="center"/>
          </w:tcPr>
          <w:p>
            <w:r>
              <w:rPr>
                <w:b w:val="false"/>
                <w:bCs w:val="false"/>
                <w:color w:val="000000"/>
                <w:sz w:val="20"/>
                <w:szCs w:val="20"/>
              </w:rPr>
              <w:t xml:space="preserve">7.2</w:t>
            </w:r>
          </w:p>
        </w:tc>
        <w:tc>
          <w:tcPr>
            <w:tcW w:type="dxa" w:w="6700"/>
            <w:tcMar>
              <w:top w:type="dxa" w:w="60"/>
              <w:left w:type="dxa" w:w="100"/>
              <w:bottom w:type="dxa" w:w="60"/>
              <w:right w:type="dxa" w:w="100"/>
            </w:tcMar>
            <w:vAlign w:val="center"/>
          </w:tcPr>
          <w:p>
            <w:r>
              <w:rPr>
                <w:b w:val="false"/>
                <w:bCs w:val="false"/>
                <w:color w:val="000000"/>
                <w:sz w:val="20"/>
                <w:szCs w:val="20"/>
              </w:rPr>
              <w:t xml:space="preserve">Skills and Qualifications</w:t>
            </w:r>
          </w:p>
        </w:tc>
      </w:tr>
      <w:tr>
        <w:tc>
          <w:tcPr>
            <w:tcW w:type="dxa" w:w="900"/>
            <w:shd w:fill="F2F2F2" w:val="clear"/>
            <w:tcMar>
              <w:top w:type="dxa" w:w="60"/>
              <w:left w:type="dxa" w:w="100"/>
              <w:bottom w:type="dxa" w:w="60"/>
              <w:right w:type="dxa" w:w="100"/>
            </w:tcMar>
            <w:vAlign w:val="center"/>
          </w:tcPr>
          <w:p>
            <w:r>
              <w:rPr>
                <w:b w:val="false"/>
                <w:bCs w:val="false"/>
                <w:color w:val="000000"/>
                <w:sz w:val="20"/>
                <w:szCs w:val="20"/>
              </w:rPr>
              <w:t xml:space="preserve">7.4</w:t>
            </w:r>
          </w:p>
        </w:tc>
        <w:tc>
          <w:tcPr>
            <w:tcW w:type="dxa" w:w="6700"/>
            <w:shd w:fill="F2F2F2" w:val="clear"/>
            <w:tcMar>
              <w:top w:type="dxa" w:w="60"/>
              <w:left w:type="dxa" w:w="100"/>
              <w:bottom w:type="dxa" w:w="60"/>
              <w:right w:type="dxa" w:w="100"/>
            </w:tcMar>
            <w:vAlign w:val="center"/>
          </w:tcPr>
          <w:p>
            <w:r>
              <w:rPr>
                <w:b w:val="false"/>
                <w:bCs w:val="false"/>
                <w:color w:val="000000"/>
                <w:sz w:val="20"/>
                <w:szCs w:val="20"/>
              </w:rPr>
              <w:t xml:space="preserve">Absence Data Service</w:t>
            </w:r>
          </w:p>
        </w:tc>
      </w:tr>
      <w:tr>
        <w:tc>
          <w:tcPr>
            <w:tcW w:type="dxa" w:w="900"/>
            <w:tcMar>
              <w:top w:type="dxa" w:w="60"/>
              <w:left w:type="dxa" w:w="100"/>
              <w:bottom w:type="dxa" w:w="60"/>
              <w:right w:type="dxa" w:w="100"/>
            </w:tcMar>
            <w:vAlign w:val="center"/>
          </w:tcPr>
          <w:p>
            <w:r>
              <w:rPr>
                <w:b w:val="false"/>
                <w:bCs w:val="false"/>
                <w:color w:val="000000"/>
                <w:sz w:val="20"/>
                <w:szCs w:val="20"/>
              </w:rPr>
              <w:t xml:space="preserve">7.5</w:t>
            </w:r>
          </w:p>
        </w:tc>
        <w:tc>
          <w:tcPr>
            <w:tcW w:type="dxa" w:w="6700"/>
            <w:tcMar>
              <w:top w:type="dxa" w:w="60"/>
              <w:left w:type="dxa" w:w="100"/>
              <w:bottom w:type="dxa" w:w="60"/>
              <w:right w:type="dxa" w:w="100"/>
            </w:tcMar>
            <w:vAlign w:val="center"/>
          </w:tcPr>
          <w:p>
            <w:r>
              <w:rPr>
                <w:b w:val="false"/>
                <w:bCs w:val="false"/>
                <w:color w:val="000000"/>
                <w:sz w:val="20"/>
                <w:szCs w:val="20"/>
              </w:rPr>
              <w:t xml:space="preserve">Attendance Data Service</w:t>
            </w:r>
          </w:p>
        </w:tc>
      </w:tr>
      <w:tr>
        <w:tc>
          <w:tcPr>
            <w:tcW w:type="dxa" w:w="900"/>
            <w:shd w:fill="F2F2F2" w:val="clear"/>
            <w:tcMar>
              <w:top w:type="dxa" w:w="60"/>
              <w:left w:type="dxa" w:w="100"/>
              <w:bottom w:type="dxa" w:w="60"/>
              <w:right w:type="dxa" w:w="100"/>
            </w:tcMar>
            <w:vAlign w:val="center"/>
          </w:tcPr>
          <w:p>
            <w:r>
              <w:rPr>
                <w:b w:val="false"/>
                <w:bCs w:val="false"/>
                <w:color w:val="000000"/>
                <w:sz w:val="20"/>
                <w:szCs w:val="20"/>
              </w:rPr>
              <w:t xml:space="preserve">7.8</w:t>
            </w:r>
          </w:p>
        </w:tc>
        <w:tc>
          <w:tcPr>
            <w:tcW w:type="dxa" w:w="6700"/>
            <w:shd w:fill="F2F2F2" w:val="clear"/>
            <w:tcMar>
              <w:top w:type="dxa" w:w="60"/>
              <w:left w:type="dxa" w:w="100"/>
              <w:bottom w:type="dxa" w:w="60"/>
              <w:right w:type="dxa" w:w="100"/>
            </w:tcMar>
            <w:vAlign w:val="center"/>
          </w:tcPr>
          <w:p>
            <w:r>
              <w:rPr>
                <w:b w:val="false"/>
                <w:bCs w:val="false"/>
                <w:color w:val="000000"/>
                <w:sz w:val="20"/>
                <w:szCs w:val="20"/>
              </w:rPr>
              <w:t xml:space="preserve">HR Core Data &amp; Structure (Transfers)</w:t>
            </w:r>
          </w:p>
        </w:tc>
      </w:tr>
      <w:tr>
        <w:tc>
          <w:tcPr>
            <w:tcW w:type="dxa" w:w="900"/>
            <w:tcMar>
              <w:top w:type="dxa" w:w="60"/>
              <w:left w:type="dxa" w:w="100"/>
              <w:bottom w:type="dxa" w:w="60"/>
              <w:right w:type="dxa" w:w="100"/>
            </w:tcMar>
            <w:vAlign w:val="center"/>
          </w:tcPr>
          <w:p>
            <w:r>
              <w:rPr>
                <w:b w:val="false"/>
                <w:bCs w:val="false"/>
                <w:color w:val="000000"/>
                <w:sz w:val="20"/>
                <w:szCs w:val="20"/>
              </w:rPr>
              <w:t xml:space="preserve">7.10</w:t>
            </w:r>
          </w:p>
        </w:tc>
        <w:tc>
          <w:tcPr>
            <w:tcW w:type="dxa" w:w="6700"/>
            <w:tcMar>
              <w:top w:type="dxa" w:w="60"/>
              <w:left w:type="dxa" w:w="100"/>
              <w:bottom w:type="dxa" w:w="60"/>
              <w:right w:type="dxa" w:w="100"/>
            </w:tcMar>
            <w:vAlign w:val="center"/>
          </w:tcPr>
          <w:p>
            <w:r>
              <w:rPr>
                <w:b w:val="false"/>
                <w:bCs w:val="false"/>
                <w:color w:val="000000"/>
                <w:sz w:val="20"/>
                <w:szCs w:val="20"/>
              </w:rPr>
              <w:t xml:space="preserve">WMS People</w:t>
            </w:r>
          </w:p>
        </w:tc>
      </w:tr>
      <w:tr>
        <w:tc>
          <w:tcPr>
            <w:tcW w:type="dxa" w:w="900"/>
            <w:shd w:fill="F2F2F2" w:val="clear"/>
            <w:tcMar>
              <w:top w:type="dxa" w:w="60"/>
              <w:left w:type="dxa" w:w="100"/>
              <w:bottom w:type="dxa" w:w="60"/>
              <w:right w:type="dxa" w:w="100"/>
            </w:tcMar>
            <w:vAlign w:val="center"/>
          </w:tcPr>
          <w:p>
            <w:r>
              <w:rPr>
                <w:b w:val="false"/>
                <w:bCs w:val="false"/>
                <w:color w:val="000000"/>
                <w:sz w:val="20"/>
                <w:szCs w:val="20"/>
              </w:rPr>
              <w:t xml:space="preserve">7.12</w:t>
            </w:r>
          </w:p>
        </w:tc>
        <w:tc>
          <w:tcPr>
            <w:tcW w:type="dxa" w:w="6700"/>
            <w:shd w:fill="F2F2F2" w:val="clear"/>
            <w:tcMar>
              <w:top w:type="dxa" w:w="60"/>
              <w:left w:type="dxa" w:w="100"/>
              <w:bottom w:type="dxa" w:w="60"/>
              <w:right w:type="dxa" w:w="100"/>
            </w:tcMar>
            <w:vAlign w:val="center"/>
          </w:tcPr>
          <w:p>
            <w:r>
              <w:rPr>
                <w:b w:val="false"/>
                <w:bCs w:val="false"/>
                <w:color w:val="000000"/>
                <w:sz w:val="20"/>
                <w:szCs w:val="20"/>
              </w:rPr>
              <w:t xml:space="preserve">WFM Person (Grosvenor)</w:t>
            </w:r>
          </w:p>
        </w:tc>
      </w:tr>
      <w:tr>
        <w:tc>
          <w:tcPr>
            <w:tcW w:type="dxa" w:w="900"/>
            <w:tcMar>
              <w:top w:type="dxa" w:w="60"/>
              <w:left w:type="dxa" w:w="100"/>
              <w:bottom w:type="dxa" w:w="60"/>
              <w:right w:type="dxa" w:w="100"/>
            </w:tcMar>
            <w:vAlign w:val="center"/>
          </w:tcPr>
          <w:p>
            <w:r>
              <w:rPr>
                <w:b w:val="false"/>
                <w:bCs w:val="false"/>
                <w:color w:val="000000"/>
                <w:sz w:val="20"/>
                <w:szCs w:val="20"/>
              </w:rPr>
              <w:t xml:space="preserve">7.13</w:t>
            </w:r>
          </w:p>
        </w:tc>
        <w:tc>
          <w:tcPr>
            <w:tcW w:type="dxa" w:w="6700"/>
            <w:tcMar>
              <w:top w:type="dxa" w:w="60"/>
              <w:left w:type="dxa" w:w="100"/>
              <w:bottom w:type="dxa" w:w="60"/>
              <w:right w:type="dxa" w:w="100"/>
            </w:tcMar>
            <w:vAlign w:val="center"/>
          </w:tcPr>
          <w:p>
            <w:r>
              <w:rPr>
                <w:b w:val="false"/>
                <w:bCs w:val="false"/>
                <w:color w:val="000000"/>
                <w:sz w:val="20"/>
                <w:szCs w:val="20"/>
              </w:rPr>
              <w:t xml:space="preserve">WFM Shifts (Grosvenor)</w:t>
            </w:r>
          </w:p>
        </w:tc>
      </w:tr>
      <w:tr>
        <w:tc>
          <w:tcPr>
            <w:tcW w:type="dxa" w:w="900"/>
            <w:shd w:fill="F2F2F2" w:val="clear"/>
            <w:tcMar>
              <w:top w:type="dxa" w:w="60"/>
              <w:left w:type="dxa" w:w="100"/>
              <w:bottom w:type="dxa" w:w="60"/>
              <w:right w:type="dxa" w:w="100"/>
            </w:tcMar>
            <w:vAlign w:val="center"/>
          </w:tcPr>
          <w:p>
            <w:r>
              <w:rPr>
                <w:b w:val="false"/>
                <w:bCs w:val="false"/>
                <w:color w:val="000000"/>
                <w:sz w:val="20"/>
                <w:szCs w:val="20"/>
              </w:rPr>
              <w:t xml:space="preserve">7.16</w:t>
            </w:r>
          </w:p>
        </w:tc>
        <w:tc>
          <w:tcPr>
            <w:tcW w:type="dxa" w:w="6700"/>
            <w:shd w:fill="F2F2F2" w:val="clear"/>
            <w:tcMar>
              <w:top w:type="dxa" w:w="60"/>
              <w:left w:type="dxa" w:w="100"/>
              <w:bottom w:type="dxa" w:w="60"/>
              <w:right w:type="dxa" w:w="100"/>
            </w:tcMar>
            <w:vAlign w:val="center"/>
          </w:tcPr>
          <w:p>
            <w:r>
              <w:rPr>
                <w:b w:val="false"/>
                <w:bCs w:val="false"/>
                <w:color w:val="000000"/>
                <w:sz w:val="20"/>
                <w:szCs w:val="20"/>
              </w:rPr>
              <w:t xml:space="preserve">Employee Work Schedule</w:t>
            </w:r>
          </w:p>
        </w:tc>
      </w:tr>
      <w:tr>
        <w:tc>
          <w:tcPr>
            <w:tcW w:type="dxa" w:w="900"/>
            <w:tcMar>
              <w:top w:type="dxa" w:w="60"/>
              <w:left w:type="dxa" w:w="100"/>
              <w:bottom w:type="dxa" w:w="60"/>
              <w:right w:type="dxa" w:w="100"/>
            </w:tcMar>
            <w:vAlign w:val="center"/>
          </w:tcPr>
          <w:p>
            <w:r>
              <w:rPr>
                <w:b w:val="false"/>
                <w:bCs w:val="false"/>
                <w:color w:val="000000"/>
                <w:sz w:val="20"/>
                <w:szCs w:val="20"/>
              </w:rPr>
              <w:t xml:space="preserve">7.17</w:t>
            </w:r>
          </w:p>
        </w:tc>
        <w:tc>
          <w:tcPr>
            <w:tcW w:type="dxa" w:w="6700"/>
            <w:tcMar>
              <w:top w:type="dxa" w:w="60"/>
              <w:left w:type="dxa" w:w="100"/>
              <w:bottom w:type="dxa" w:w="60"/>
              <w:right w:type="dxa" w:w="100"/>
            </w:tcMar>
            <w:vAlign w:val="center"/>
          </w:tcPr>
          <w:p>
            <w:r>
              <w:rPr>
                <w:b w:val="false"/>
                <w:bCs w:val="false"/>
                <w:color w:val="000000"/>
                <w:sz w:val="20"/>
                <w:szCs w:val="20"/>
              </w:rPr>
              <w:t xml:space="preserve">Requisition Data Service</w:t>
            </w:r>
          </w:p>
        </w:tc>
      </w:tr>
      <w:tr>
        <w:tc>
          <w:tcPr>
            <w:tcW w:type="dxa" w:w="900"/>
            <w:shd w:fill="F2F2F2" w:val="clear"/>
            <w:tcMar>
              <w:top w:type="dxa" w:w="60"/>
              <w:left w:type="dxa" w:w="100"/>
              <w:bottom w:type="dxa" w:w="60"/>
              <w:right w:type="dxa" w:w="100"/>
            </w:tcMar>
            <w:vAlign w:val="center"/>
          </w:tcPr>
          <w:p>
            <w:r>
              <w:rPr>
                <w:b w:val="false"/>
                <w:bCs w:val="false"/>
                <w:color w:val="000000"/>
                <w:sz w:val="20"/>
                <w:szCs w:val="20"/>
              </w:rPr>
              <w:t xml:space="preserve">7.18</w:t>
            </w:r>
          </w:p>
        </w:tc>
        <w:tc>
          <w:tcPr>
            <w:tcW w:type="dxa" w:w="6700"/>
            <w:shd w:fill="F2F2F2" w:val="clear"/>
            <w:tcMar>
              <w:top w:type="dxa" w:w="60"/>
              <w:left w:type="dxa" w:w="100"/>
              <w:bottom w:type="dxa" w:w="60"/>
              <w:right w:type="dxa" w:w="100"/>
            </w:tcMar>
            <w:vAlign w:val="center"/>
          </w:tcPr>
          <w:p>
            <w:r>
              <w:rPr>
                <w:b w:val="false"/>
                <w:bCs w:val="false"/>
                <w:color w:val="000000"/>
                <w:sz w:val="20"/>
                <w:szCs w:val="20"/>
              </w:rPr>
              <w:t xml:space="preserve">Requisition Data Service Version 2</w:t>
            </w:r>
          </w:p>
        </w:tc>
      </w:tr>
      <w:tr>
        <w:tc>
          <w:tcPr>
            <w:tcW w:type="dxa" w:w="900"/>
            <w:tcMar>
              <w:top w:type="dxa" w:w="60"/>
              <w:left w:type="dxa" w:w="100"/>
              <w:bottom w:type="dxa" w:w="60"/>
              <w:right w:type="dxa" w:w="100"/>
            </w:tcMar>
            <w:vAlign w:val="center"/>
          </w:tcPr>
          <w:p>
            <w:r>
              <w:rPr>
                <w:b w:val="false"/>
                <w:bCs w:val="false"/>
                <w:color w:val="000000"/>
                <w:sz w:val="20"/>
                <w:szCs w:val="20"/>
              </w:rPr>
              <w:t xml:space="preserve">7.20</w:t>
            </w:r>
          </w:p>
        </w:tc>
        <w:tc>
          <w:tcPr>
            <w:tcW w:type="dxa" w:w="6700"/>
            <w:tcMar>
              <w:top w:type="dxa" w:w="60"/>
              <w:left w:type="dxa" w:w="100"/>
              <w:bottom w:type="dxa" w:w="60"/>
              <w:right w:type="dxa" w:w="100"/>
            </w:tcMar>
            <w:vAlign w:val="center"/>
          </w:tcPr>
          <w:p>
            <w:r>
              <w:rPr>
                <w:b w:val="false"/>
                <w:bCs w:val="false"/>
                <w:color w:val="000000"/>
                <w:sz w:val="20"/>
                <w:szCs w:val="20"/>
              </w:rPr>
              <w:t xml:space="preserve">Grade and Payscale Details</w:t>
            </w:r>
          </w:p>
        </w:tc>
      </w:tr>
    </w:tbl>
    <w:p>
      <w:pPr>
        <w:spacing w:after="120"/>
      </w:pPr>
      <w:r>
        <w:t xml:space="preserve">Notably, four of these - WMS People (7.10), Elite3E/DAC3E (7.11 is Yes, but 7.12/7.13 are Grosvenor variants), WFM Person (Grosvenor) (7.12) and WFM Shifts (Grosvenor) (7.13) - are named after specific third-party workforce management systems (Grosvenor, WMS). This suggests they may be connector-specific services that only activate when that specific downstream partner integration is configured/licensed, rather than general-purpose services we should expect to work out of the box.</w:t>
      </w:r>
    </w:p>
    <w:p>
      <w:pPr>
        <w:spacing w:after="120"/>
      </w:pPr>
      <w:r>
        <w:rPr>
          <w:i w:val="false"/>
          <w:iCs w:val="false"/>
        </w:rPr>
        <w:t xml:space="preserve">The Guide's own introduction states: </w:t>
      </w:r>
    </w:p>
    <w:p>
      <w:pPr>
        <w:pStyle w:val="ListParagraph"/>
        <w:numPr>
          <w:ilvl w:val="0"/>
          <w:numId w:val="1"/>
        </w:numPr>
        <w:spacing w:after="60"/>
      </w:pPr>
      <w:r>
        <w:rPr>
          <w:i/>
          <w:iCs/>
        </w:rPr>
        <w:t xml:space="preserve">"This functionality is only available to licensed users. Please contact your Account Manager or Customer Care Executive to obtain further details."</w:t>
      </w:r>
    </w:p>
    <w:p>
      <w:pPr>
        <w:spacing w:after="120"/>
      </w:pPr>
      <w:r>
        <w:t xml:space="preserve">This licensing gate is the most likely explanation for most of the 404s and should be the first thing confirmed with the provider.</w:t>
      </w:r>
    </w:p>
    <w:p>
      <w:r>
        <w:br w:type="page"/>
      </w:r>
    </w:p>
    <w:p>
      <w:pPr>
        <w:pStyle w:val="Heading1"/>
        <w:spacing w:after="160" w:before="280"/>
      </w:pPr>
      <w:r>
        <w:t xml:space="preserve">4. Service 7.19 (User Defined Fields) - Documentation Discrepancy</w:t>
      </w:r>
    </w:p>
    <w:p>
      <w:pPr>
        <w:spacing w:after="120"/>
      </w:pPr>
      <w:r>
        <w:t xml:space="preserve">The test log records 7.19 as "Couldn't find any documentation." This review found that Section 7.19 ("User Defined Fields") is in fact documented in the Guide, with a field table and an example output under heading 7.19.1 ("UDF Example Output") on page 144. This needs to be reconciled - either the tester was working from a different/older version of the guide, was looking under a different section name (e.g. searching for "UDF" instead of "User Defined Fields"), or the document version has since been updated. Recommend re-checking 7.19 against page 144 of this guide (dated 13 May 2025) before concluding it is undocumented.</w:t>
      </w:r>
    </w:p>
    <w:p>
      <w:pPr>
        <w:pStyle w:val="Heading1"/>
        <w:spacing w:after="160" w:before="280"/>
      </w:pPr>
      <w:r>
        <w:t xml:space="preserve">5. Field-Level Comparison - Services That Returned Data</w:t>
      </w:r>
    </w:p>
    <w:p>
      <w:pPr>
        <w:spacing w:after="120"/>
      </w:pPr>
      <w:r>
        <w:t xml:space="preserve">For each of the 8 services below, the masked sample response was compared field-by-field and structurally against the corresponding field-mapping table and "Example Output" in the Guide.</w:t>
      </w:r>
    </w:p>
    <w:p>
      <w:pPr>
        <w:pStyle w:val="Heading2"/>
        <w:spacing w:after="120" w:before="240"/>
      </w:pPr>
      <w:r>
        <w:t xml:space="preserve">5.1  7.1 - HR Core Data</w:t>
      </w:r>
    </w:p>
    <w:p>
      <w:pPr>
        <w:pStyle w:val="ListParagraph"/>
        <w:numPr>
          <w:ilvl w:val="0"/>
          <w:numId w:val="1"/>
        </w:numPr>
        <w:spacing w:after="60"/>
      </w:pPr>
      <w:r>
        <w:t xml:space="preserve">Root wrapper ("itrent.Person"), and all top-level personal fields (Title, Initials, Forename1-3, Surname, PreviousSurname, PreferredName, PreferredSurname, FormattedName, BirthDate, MaritalStatus, Gender, NInumber, AddressLine1-6, Country, OrganisationStartDate/EndDate) match the documented order and names exactly.</w:t>
      </w:r>
    </w:p>
    <w:p>
      <w:pPr>
        <w:pStyle w:val="ListParagraph"/>
        <w:numPr>
          <w:ilvl w:val="0"/>
          <w:numId w:val="1"/>
        </w:numPr>
        <w:spacing w:after="60"/>
      </w:pPr>
      <w:r>
        <w:t xml:space="preserve">EmergencyContact block matches the documented structure and field names exactly.</w:t>
      </w:r>
    </w:p>
    <w:p>
      <w:pPr>
        <w:pStyle w:val="ListParagraph"/>
        <w:numPr>
          <w:ilvl w:val="0"/>
          <w:numId w:val="1"/>
        </w:numPr>
        <w:spacing w:after="60"/>
      </w:pPr>
      <w:r>
        <w:rPr>
          <w:b/>
          <w:bCs/>
        </w:rPr>
        <w:t xml:space="preserve">Missing entirely (not even blank/empty): </w:t>
      </w:r>
      <w:r>
        <w:t xml:space="preserve">the documented "Student" field, the whole "NextOfKin" object, and the whole "OtherAddress" object. None of the 7 sample records contain these keys at all.</w:t>
      </w:r>
    </w:p>
    <w:p>
      <w:pPr>
        <w:pStyle w:val="ListParagraph"/>
        <w:numPr>
          <w:ilvl w:val="0"/>
          <w:numId w:val="1"/>
        </w:numPr>
        <w:spacing w:after="60"/>
      </w:pPr>
      <w:r>
        <w:rPr>
          <w:b/>
          <w:bCs/>
        </w:rPr>
        <w:t xml:space="preserve">Missing inside Position: </w:t>
      </w:r>
      <w:r>
        <w:t xml:space="preserve">documented "PositionContacts" and "PositionAddresses" objects are absent from every record.</w:t>
      </w:r>
    </w:p>
    <w:p>
      <w:pPr>
        <w:pStyle w:val="ListParagraph"/>
        <w:numPr>
          <w:ilvl w:val="0"/>
          <w:numId w:val="1"/>
        </w:numPr>
        <w:spacing w:after="60"/>
      </w:pPr>
      <w:r>
        <w:rPr>
          <w:b/>
          <w:bCs/>
        </w:rPr>
        <w:t xml:space="preserve">Present but undocumented: </w:t>
      </w:r>
      <w:r>
        <w:t xml:space="preserve">"PositionStartDate" and "PositionEndDate" appear inside the Position object in the actual response but do not appear anywhere in the Guide's HR Core Data field table or example output.</w:t>
      </w:r>
    </w:p>
    <w:p>
      <w:pPr>
        <w:pStyle w:val="ListParagraph"/>
        <w:numPr>
          <w:ilvl w:val="0"/>
          <w:numId w:val="1"/>
        </w:numPr>
        <w:spacing w:after="60"/>
      </w:pPr>
      <w:r>
        <w:t xml:space="preserve">The tester's existing theory that NI number is only present for UK/NEST-relevant staff is reasonable and consistent with the Guide's note that NInumber is a "UK legislation value" - recommend confirming this with the provider/HR team rather than treating it as a data defect.</w:t>
      </w:r>
    </w:p>
    <w:p>
      <w:pPr>
        <w:pStyle w:val="Heading2"/>
        <w:spacing w:after="120" w:before="240"/>
      </w:pPr>
      <w:r>
        <w:t xml:space="preserve">5.2  7.3 - Position Data Service</w:t>
      </w:r>
    </w:p>
    <w:p>
      <w:pPr>
        <w:pStyle w:val="ListParagraph"/>
        <w:numPr>
          <w:ilvl w:val="0"/>
          <w:numId w:val="1"/>
        </w:numPr>
        <w:spacing w:after="60"/>
      </w:pPr>
      <w:r>
        <w:t xml:space="preserve">Field names, order and nesting ("itrent.Position[]": PositionID...EmploymentType) match the Guide's example output exactly - no field name mismatches found.</w:t>
      </w:r>
    </w:p>
    <w:p>
      <w:pPr>
        <w:pStyle w:val="ListParagraph"/>
        <w:numPr>
          <w:ilvl w:val="0"/>
          <w:numId w:val="1"/>
        </w:numPr>
        <w:spacing w:after="60"/>
      </w:pPr>
      <w:r>
        <w:rPr>
          <w:b/>
          <w:bCs/>
        </w:rPr>
        <w:t xml:space="preserve">Present but undocumented: </w:t>
      </w:r>
      <w:r>
        <w:t xml:space="preserve">as with 7.1, every record includes trailing "PositionStartDate" and "PositionEndDate" fields that are not part of the documented schema for this service.</w:t>
      </w:r>
    </w:p>
    <w:p>
      <w:pPr>
        <w:pStyle w:val="Heading2"/>
        <w:spacing w:after="120" w:before="240"/>
      </w:pPr>
      <w:r>
        <w:t xml:space="preserve">5.3  7.6 - Daily Pattern Service</w:t>
      </w:r>
    </w:p>
    <w:p>
      <w:pPr>
        <w:pStyle w:val="ListParagraph"/>
        <w:numPr>
          <w:ilvl w:val="0"/>
          <w:numId w:val="1"/>
        </w:numPr>
        <w:spacing w:after="60"/>
      </w:pPr>
      <w:r>
        <w:t xml:space="preserve">Structure matches the Guide exactly: itrent.Person.PersonID -&gt; Position.PositionID/PositionName -&gt; Pattern.EffectiveDate/WorkingPattern.</w:t>
      </w:r>
    </w:p>
    <w:p>
      <w:pPr>
        <w:pStyle w:val="ListParagraph"/>
        <w:numPr>
          <w:ilvl w:val="0"/>
          <w:numId w:val="1"/>
        </w:numPr>
        <w:spacing w:after="60"/>
      </w:pPr>
      <w:r>
        <w:rPr>
          <w:b/>
          <w:bCs/>
        </w:rPr>
        <w:t xml:space="preserve">Data-capture anomaly: </w:t>
      </w:r>
      <w:r>
        <w:t xml:space="preserve">the raw sample file has two stray backtick characters immediately after the closing JSON brace. This does not affect the schema, but is worth checking on the capture/export process used to produce this test file.</w:t>
      </w:r>
    </w:p>
    <w:p>
      <w:pPr>
        <w:pStyle w:val="Heading2"/>
        <w:spacing w:after="120" w:before="240"/>
      </w:pPr>
      <w:r>
        <w:t xml:space="preserve">5.4  7.7 - HR Core Data and Structure Service</w:t>
      </w:r>
    </w:p>
    <w:p>
      <w:pPr>
        <w:pStyle w:val="ListParagraph"/>
        <w:numPr>
          <w:ilvl w:val="0"/>
          <w:numId w:val="1"/>
        </w:numPr>
        <w:spacing w:after="60"/>
      </w:pPr>
      <w:r>
        <w:t xml:space="preserve">Root wrapper ("HRCoreData.Person") and all personal-detail fields, plus EmergencyContact, match the Guide.</w:t>
      </w:r>
    </w:p>
    <w:p>
      <w:pPr>
        <w:pStyle w:val="ListParagraph"/>
        <w:numPr>
          <w:ilvl w:val="0"/>
          <w:numId w:val="1"/>
        </w:numPr>
        <w:spacing w:after="60"/>
      </w:pPr>
      <w:r>
        <w:rPr>
          <w:b/>
          <w:bCs/>
        </w:rPr>
        <w:t xml:space="preserve">Missing entirely: </w:t>
      </w:r>
      <w:r>
        <w:t xml:space="preserve">"Student" field, "NextOfKin" object, "OtherAddress" object, and (inside Position) "PositionContacts" and "PositionAddresses" - same pattern as 7.1.</w:t>
      </w:r>
    </w:p>
    <w:p>
      <w:pPr>
        <w:pStyle w:val="ListParagraph"/>
        <w:numPr>
          <w:ilvl w:val="0"/>
          <w:numId w:val="1"/>
        </w:numPr>
        <w:spacing w:after="60"/>
      </w:pPr>
      <w:r>
        <w:rPr>
          <w:b/>
          <w:bCs/>
        </w:rPr>
        <w:t xml:space="preserve">Present but undocumented: </w:t>
      </w:r>
      <w:r>
        <w:t xml:space="preserve">"PositionStartDate"/"PositionEndDate" inside Position, and "UnitStartDate"/"UnitEndDate" inside every level of the unit hierarchy.</w:t>
      </w:r>
    </w:p>
    <w:p>
      <w:pPr>
        <w:pStyle w:val="ListParagraph"/>
        <w:numPr>
          <w:ilvl w:val="0"/>
          <w:numId w:val="1"/>
        </w:numPr>
        <w:spacing w:after="60"/>
      </w:pPr>
      <w:r>
        <w:rPr>
          <w:b/>
          <w:bCs/>
        </w:rPr>
        <w:t xml:space="preserve">Structural mismatch in the org unit hierarchy: </w:t>
      </w:r>
      <w:r>
        <w:t xml:space="preserve">the Guide's example shows only two levels - PositionUnit directly nested with UnitToOrg. The actual response has three levels - PositionUnit -&gt; UnitToUnit -&gt; UnitToOrg. The extra intermediate level and the Start/EndDate fields are not documented anywhere.</w:t>
      </w:r>
    </w:p>
    <w:p>
      <w:pPr>
        <w:pStyle w:val="ListParagraph"/>
        <w:numPr>
          <w:ilvl w:val="0"/>
          <w:numId w:val="1"/>
        </w:numPr>
        <w:spacing w:after="60"/>
      </w:pPr>
      <w:r>
        <w:rPr>
          <w:b/>
          <w:bCs/>
        </w:rPr>
        <w:t xml:space="preserve">contacts.contactdet: </w:t>
      </w:r>
      <w:r>
        <w:t xml:space="preserve">the Guide's example shows this as a single object; the actual response returns it as an array (3 entries in our sample), consistent with the field table's note "repeats for all contacts" - the documentation example itself looks like the gap here, not the data.</w:t>
      </w:r>
    </w:p>
    <w:p>
      <w:pPr>
        <w:pStyle w:val="Heading2"/>
        <w:spacing w:after="120" w:before="240"/>
      </w:pPr>
      <w:r>
        <w:t xml:space="preserve">5.5  7.9 - People Structure</w:t>
      </w:r>
    </w:p>
    <w:p>
      <w:pPr>
        <w:pStyle w:val="ListParagraph"/>
        <w:numPr>
          <w:ilvl w:val="0"/>
          <w:numId w:val="1"/>
        </w:numPr>
        <w:spacing w:after="60"/>
      </w:pPr>
      <w:r>
        <w:t xml:space="preserve">Root wrapper and person-level fields (PersonID, NInumber, Title, Forename1-3, Surname) match the Guide exactly.</w:t>
      </w:r>
    </w:p>
    <w:p>
      <w:pPr>
        <w:pStyle w:val="ListParagraph"/>
        <w:numPr>
          <w:ilvl w:val="0"/>
          <w:numId w:val="1"/>
        </w:numPr>
        <w:spacing w:after="60"/>
      </w:pPr>
      <w:r>
        <w:rPr>
          <w:b/>
          <w:bCs/>
        </w:rPr>
        <w:t xml:space="preserve">Present but undocumented: </w:t>
      </w:r>
      <w:r>
        <w:t xml:space="preserve">"PositionStartDate"/"PositionEndDate" inside Position (as in 7.1/7.3/7.7), and "UnitStartDate"/"UnitEndDate" at every unit level.</w:t>
      </w:r>
    </w:p>
    <w:p>
      <w:pPr>
        <w:pStyle w:val="ListParagraph"/>
        <w:numPr>
          <w:ilvl w:val="0"/>
          <w:numId w:val="1"/>
        </w:numPr>
        <w:spacing w:after="60"/>
      </w:pPr>
      <w:r>
        <w:rPr>
          <w:b/>
          <w:bCs/>
        </w:rPr>
        <w:t xml:space="preserve">Structural mismatch - deeper hierarchy than documented: </w:t>
      </w:r>
      <w:r>
        <w:t xml:space="preserve">the Guide's example shows PositionUnit nested directly with one UnitToOrg level. The actual response instead cascades PositionUnit -&gt; UnitToUnit -&gt; UnitToUnit -&gt; UnitToOrg (three intermediate levels before reaching the organisation). This is deeper than the equivalent hierarchy seen in 7.7's sample, even though both are meant to represent "repeats for each unit level up to organisation."</w:t>
      </w:r>
    </w:p>
    <w:p>
      <w:pPr>
        <w:pStyle w:val="Heading2"/>
        <w:spacing w:after="120" w:before="240"/>
      </w:pPr>
      <w:r>
        <w:t xml:space="preserve">5.6  7.11 - Elite3E (DAC3E)</w:t>
      </w:r>
    </w:p>
    <w:p>
      <w:pPr>
        <w:pStyle w:val="ListParagraph"/>
        <w:numPr>
          <w:ilvl w:val="0"/>
          <w:numId w:val="1"/>
        </w:numPr>
        <w:spacing w:after="60"/>
      </w:pPr>
      <w:r>
        <w:t xml:space="preserve">Clean match. Root "Person" object (no "itrent" wrapper, consistent with the Guide for this service only), TkprNumber through FTEPercent, and the nested Occupancy/Parent objects all match the Guide's field names and nesting exactly.</w:t>
      </w:r>
    </w:p>
    <w:p>
      <w:pPr>
        <w:pStyle w:val="ListParagraph"/>
        <w:numPr>
          <w:ilvl w:val="0"/>
          <w:numId w:val="1"/>
        </w:numPr>
        <w:spacing w:after="60"/>
      </w:pPr>
      <w:r>
        <w:t xml:space="preserve">"ParentDepartment" appears as an array of 4 entries in the sample vs. a single value in the Guide's simplified example - expected, given the field table's note "repeats for each unit level up to organisation."</w:t>
      </w:r>
    </w:p>
    <w:p>
      <w:pPr>
        <w:pStyle w:val="Heading2"/>
        <w:spacing w:after="120" w:before="240"/>
      </w:pPr>
      <w:r>
        <w:t xml:space="preserve">5.7  7.14 - Employee Record</w:t>
      </w:r>
    </w:p>
    <w:p>
      <w:pPr>
        <w:pStyle w:val="ListParagraph"/>
        <w:numPr>
          <w:ilvl w:val="0"/>
          <w:numId w:val="1"/>
        </w:numPr>
        <w:spacing w:after="60"/>
      </w:pPr>
      <w:r>
        <w:t xml:space="preserve">Root wrapper ("employeerecord.person[]") and the lower-case field naming convention match the Guide (this service uses lowercase keys throughout, unlike 7.1/7.3/7.6/7.7/7.9/7.11 which use PascalCase - a per-service convention, not a defect, but worth flagging so downstream mapping code doesn't assume one casing standard across all services).</w:t>
      </w:r>
    </w:p>
    <w:p>
      <w:pPr>
        <w:pStyle w:val="ListParagraph"/>
        <w:numPr>
          <w:ilvl w:val="0"/>
          <w:numId w:val="1"/>
        </w:numPr>
        <w:spacing w:after="60"/>
      </w:pPr>
      <w:r>
        <w:rPr>
          <w:b/>
          <w:bCs/>
        </w:rPr>
        <w:t xml:space="preserve">Missing entirely from every record: </w:t>
      </w:r>
      <w:r>
        <w:t xml:space="preserve">"reckonabledates", "nextofkins", "otheraddresses", "structurecontacts", "TermsandConditions", "holidays", "checks", "skills", and "qualifications" - all documented blocks that never appear, even as empty containers, in any of the 7 sample records (only the 7th/most complete record even reaches "positions").</w:t>
      </w:r>
    </w:p>
    <w:p>
      <w:pPr>
        <w:pStyle w:val="ListParagraph"/>
        <w:numPr>
          <w:ilvl w:val="0"/>
          <w:numId w:val="1"/>
        </w:numPr>
        <w:spacing w:after="60"/>
      </w:pPr>
      <w:r>
        <w:rPr>
          <w:b/>
          <w:bCs/>
        </w:rPr>
        <w:t xml:space="preserve">Structural mismatch in unit hierarchy - and inconsistent with 7.9/7.15: </w:t>
      </w:r>
      <w:r>
        <w:t xml:space="preserve">the Guide documents "positionunit" with direct fields plus a nested "unittoorg". The actual response instead wraps everything in a "unit": [ {...} ] array with no cascade to org level at all - a different shape from the nested-chain pattern seen in 7.7/7.9/7.15. Since 7.14 and 7.15 share the same "employeerecord" schema family, this internal inconsistency is worth raising specifically.</w:t>
      </w:r>
    </w:p>
    <w:p>
      <w:pPr>
        <w:pStyle w:val="ListParagraph"/>
        <w:numPr>
          <w:ilvl w:val="0"/>
          <w:numId w:val="1"/>
        </w:numPr>
        <w:spacing w:after="60"/>
      </w:pPr>
      <w:r>
        <w:t xml:space="preserve">"costing.costlevel" is correctly returned as an array, matching the Guide.</w:t>
      </w:r>
    </w:p>
    <w:p>
      <w:pPr>
        <w:pStyle w:val="Heading2"/>
        <w:spacing w:after="120" w:before="240"/>
      </w:pPr>
      <w:r>
        <w:t xml:space="preserve">5.8  7.15 - Employee Record (date effective)</w:t>
      </w:r>
    </w:p>
    <w:p>
      <w:pPr>
        <w:pStyle w:val="ListParagraph"/>
        <w:numPr>
          <w:ilvl w:val="0"/>
          <w:numId w:val="1"/>
        </w:numPr>
        <w:spacing w:after="60"/>
      </w:pPr>
      <w:r>
        <w:rPr>
          <w:b/>
          <w:bCs/>
        </w:rPr>
        <w:t xml:space="preserve">Important - service availability: </w:t>
      </w:r>
      <w:r>
        <w:t xml:space="preserve">the Guide states this service is "Available as a real-time outgoing web service (WDP) only" - i.e. it is not exposed as a request-driven GET service like the others. If this sample was captured via a direct GET/request-driven test (as appears to have been the method for the other 19 services), that may not be a valid way to exercise 7.15 at all, and the sample may not reflect a genuine WDP payload.</w:t>
      </w:r>
    </w:p>
    <w:p>
      <w:pPr>
        <w:pStyle w:val="ListParagraph"/>
        <w:numPr>
          <w:ilvl w:val="0"/>
          <w:numId w:val="1"/>
        </w:numPr>
        <w:spacing w:after="60"/>
      </w:pPr>
      <w:r>
        <w:rPr>
          <w:b/>
          <w:bCs/>
        </w:rPr>
        <w:t xml:space="preserve">Missing header fields that define this service's entire purpose: </w:t>
      </w:r>
      <w:r>
        <w:t xml:space="preserve">the Guide is explicit that the WDP payload header for this service must contain "customercode" and "effectivedate" - the effective date that determines which current/future-dated changes are included in the payload. Neither field appears anywhere in the sample; the sample is structured as a plain "employeerecord.person" object, indistinguishable in shape from 7.14.</w:t>
      </w:r>
    </w:p>
    <w:p>
      <w:pPr>
        <w:pStyle w:val="ListParagraph"/>
        <w:numPr>
          <w:ilvl w:val="0"/>
          <w:numId w:val="1"/>
        </w:numPr>
        <w:spacing w:after="60"/>
      </w:pPr>
      <w:r>
        <w:rPr>
          <w:b/>
          <w:bCs/>
        </w:rPr>
        <w:t xml:space="preserve">This directly answers the tester's own question ("What is respective date?"): </w:t>
      </w:r>
      <w:r>
        <w:t xml:space="preserve">per the Guide (pages 119-120), "effective date" is the system date at the point the data publisher/webhook is triggered; the payload includes current and future-dated changes from that date onwards (worked example provided on p.119). Recommend the team review that worked example directly and confirm with the provider how to correctly trigger/capture a 7.15 payload given it is WDP-only.</w:t>
      </w:r>
    </w:p>
    <w:p>
      <w:pPr>
        <w:pStyle w:val="ListParagraph"/>
        <w:numPr>
          <w:ilvl w:val="0"/>
          <w:numId w:val="1"/>
        </w:numPr>
        <w:spacing w:after="60"/>
      </w:pPr>
      <w:r>
        <w:t xml:space="preserve">Elsewhere the structure follows the Employee Record pattern: costing (array of 2), TermsandConditions (single object rather than the array shown in the Guide), and a positionunit -&gt; unittounit -&gt; unittounit -&gt; unittoorg cascade (matching 7.9's depth, but not 7.14's array-based shape - reinforcing the cross-service inconsistency noted in 5.7).</w:t>
      </w:r>
    </w:p>
    <w:p>
      <w:pPr>
        <w:pStyle w:val="ListParagraph"/>
        <w:numPr>
          <w:ilvl w:val="0"/>
          <w:numId w:val="1"/>
        </w:numPr>
        <w:spacing w:after="60"/>
      </w:pPr>
      <w:r>
        <w:rPr>
          <w:b/>
          <w:bCs/>
        </w:rPr>
        <w:t xml:space="preserve">Missing entirely: </w:t>
      </w:r>
      <w:r>
        <w:t xml:space="preserve">"nextofkins", "otheraddresses", "structurecontacts", "checks", "skills", "qualifications", and the documented "addressstartdate"/"addressenddate" fields on the address block.</w:t>
      </w:r>
    </w:p>
    <w:p>
      <w:r>
        <w:br w:type="page"/>
      </w:r>
    </w:p>
    <w:p>
      <w:pPr>
        <w:pStyle w:val="Heading1"/>
        <w:spacing w:after="160" w:before="280"/>
      </w:pPr>
      <w:r>
        <w:t xml:space="preserve">6. Cross-Cutting / Systemic Findings</w:t>
      </w:r>
    </w:p>
    <w:p>
      <w:pPr>
        <w:spacing w:after="120"/>
      </w:pPr>
      <w:r>
        <w:t xml:space="preserve">These patterns recur across multiple services and are worth resolving once, rather than service-by-service:</w:t>
      </w:r>
    </w:p>
    <w:p>
      <w:pPr>
        <w:pStyle w:val="ListParagraph"/>
        <w:numPr>
          <w:ilvl w:val="0"/>
          <w:numId w:val="1"/>
        </w:numPr>
        <w:spacing w:after="60"/>
      </w:pPr>
      <w:r>
        <w:rPr>
          <w:b/>
          <w:bCs/>
        </w:rPr>
        <w:t xml:space="preserve">A. Undocumented "PositionStartDate"/"PositionEndDate" fields: </w:t>
      </w:r>
      <w:r>
        <w:t xml:space="preserve">present in 7.1, 7.3, 7.7 and 7.9 actual responses, but absent from the corresponding field tables and example outputs in the Guide for every one of those services.</w:t>
      </w:r>
    </w:p>
    <w:p>
      <w:pPr>
        <w:pStyle w:val="ListParagraph"/>
        <w:numPr>
          <w:ilvl w:val="0"/>
          <w:numId w:val="1"/>
        </w:numPr>
        <w:spacing w:after="60"/>
      </w:pPr>
      <w:r>
        <w:rPr>
          <w:b/>
          <w:bCs/>
        </w:rPr>
        <w:t xml:space="preserve">B. Undocumented "UnitStartDate"/"UnitEndDate" fields: </w:t>
      </w:r>
      <w:r>
        <w:t xml:space="preserve">present at every level of the unit hierarchy in 7.7, 7.9 and 7.14/7.15, but not mentioned in any Unit-related field table.</w:t>
      </w:r>
    </w:p>
    <w:p>
      <w:pPr>
        <w:pStyle w:val="ListParagraph"/>
        <w:numPr>
          <w:ilvl w:val="0"/>
          <w:numId w:val="1"/>
        </w:numPr>
        <w:spacing w:after="60"/>
      </w:pPr>
      <w:r>
        <w:rPr>
          <w:b/>
          <w:bCs/>
        </w:rPr>
        <w:t xml:space="preserve">C. Org-unit hierarchy depth and shape vary by service and don't match the Guide: </w:t>
      </w:r>
      <w:r>
        <w:t xml:space="preserve">7.7 shows 3 levels (Guide documents 2), 7.9 shows 4 levels (Guide documents 2), and 7.14 uses a flat "unit" array instead of the nested "unittoorg" chain used by 7.9 and 7.15. It is not clear whether hierarchy depth is meant to vary by how many organisational levels a given position sits under (plausible) or whether the schema itself is simply under-documented.</w:t>
      </w:r>
    </w:p>
    <w:p>
      <w:pPr>
        <w:pStyle w:val="ListParagraph"/>
        <w:numPr>
          <w:ilvl w:val="0"/>
          <w:numId w:val="1"/>
        </w:numPr>
        <w:spacing w:after="60"/>
      </w:pPr>
      <w:r>
        <w:rPr>
          <w:b/>
          <w:bCs/>
        </w:rPr>
        <w:t xml:space="preserve">D. Whole documented sub-objects never appear, even empty: </w:t>
      </w:r>
      <w:r>
        <w:t xml:space="preserve">NextOfKin, OtherAddress, PositionContacts/PositionAddresses, structurecontacts, checks, skills, qualifications, holidays, TermsandConditions (7.14), reckonabledates, and the "Student" field. It's unclear whether this is because none of the sampled employees have this data configured (plausible for e.g. skills/qualifications) or because these blocks have been suppressed/omitted by config, by the masking process used to produce these test files, or are not populated by our iTrent build at all.</w:t>
      </w:r>
    </w:p>
    <w:p>
      <w:pPr>
        <w:pStyle w:val="ListParagraph"/>
        <w:numPr>
          <w:ilvl w:val="0"/>
          <w:numId w:val="1"/>
        </w:numPr>
        <w:spacing w:after="60"/>
      </w:pPr>
      <w:r>
        <w:rPr>
          <w:b/>
          <w:bCs/>
        </w:rPr>
        <w:t xml:space="preserve">E. Repeating elements shown as singular objects in the Guide's examples: </w:t>
      </w:r>
      <w:r>
        <w:t xml:space="preserve">contactdet, ParentDepartment, costlevel, and TermandCondition are all documented with a "repeats for..." note but shown as a single object (not an array) in the Guide's example JSON. Actual responses correctly return arrays. This looks like a documentation clarity gap on MHR's side rather than a problem with our data.</w:t>
      </w:r>
    </w:p>
    <w:p>
      <w:pPr>
        <w:pStyle w:val="ListParagraph"/>
        <w:numPr>
          <w:ilvl w:val="0"/>
          <w:numId w:val="1"/>
        </w:numPr>
        <w:spacing w:after="60"/>
      </w:pPr>
      <w:r>
        <w:rPr>
          <w:b/>
          <w:bCs/>
        </w:rPr>
        <w:t xml:space="preserve">F. Field-name casing differs by service family: </w:t>
      </w:r>
      <w:r>
        <w:t xml:space="preserve">7.1/7.3/7.6/7.7/7.9/7.11 use PascalCase; 7.14/7.15 use all-lowercase. Confirmed as intentional per-service convention in the Guide, but flagging so any shared parsing/mapping code handles both conventions correctly.</w:t>
      </w:r>
    </w:p>
    <w:p>
      <w:pPr>
        <w:pStyle w:val="ListParagraph"/>
        <w:numPr>
          <w:ilvl w:val="0"/>
          <w:numId w:val="1"/>
        </w:numPr>
        <w:spacing w:after="60"/>
      </w:pPr>
      <w:r>
        <w:rPr>
          <w:b/>
          <w:bCs/>
        </w:rPr>
        <w:t xml:space="preserve">G. Pagination envelope is undocumented: </w:t>
      </w:r>
      <w:r>
        <w:t xml:space="preserve">7.1, 7.3, 7.7 and 7.14 all wrap their person/position arrays in a "page" object (size, totalelements, totalpages, number, proccount, lastid), but this guide does not document the page object's fields or how to use them (e.g. for incremental/paged retrieval) anywhere in Section 7.</w:t>
      </w:r>
    </w:p>
    <w:p>
      <w:pPr>
        <w:pStyle w:val="ListParagraph"/>
        <w:numPr>
          <w:ilvl w:val="0"/>
          <w:numId w:val="1"/>
        </w:numPr>
        <w:spacing w:after="60"/>
      </w:pPr>
      <w:r>
        <w:rPr>
          <w:b/>
          <w:bCs/>
        </w:rPr>
        <w:t xml:space="preserve">H. StructureGroup1/2, UnitGroup1/2 and Group1/2 are blank in every single record, on every service tested: </w:t>
      </w:r>
      <w:r>
        <w:t xml:space="preserve">7.1, 7.3, 7.7, 7.9, 7.11 and 7.15 all return these as empty strings ("") rather than a masked "XXX" value, in every record, with no exceptions. Since the masking approach otherwise consistently uses "XXX" for populated-but-sensitive values and "" only for genuinely empty fields, this strongly suggests these grouping/categorisation fields are not populated at all in our iTrent build, rather than being masked out.</w:t>
      </w:r>
    </w:p>
    <w:p>
      <w:pPr>
        <w:pStyle w:val="ListParagraph"/>
        <w:numPr>
          <w:ilvl w:val="0"/>
          <w:numId w:val="1"/>
        </w:numPr>
        <w:spacing w:after="60"/>
      </w:pPr>
      <w:r>
        <w:rPr>
          <w:b/>
          <w:bCs/>
        </w:rPr>
        <w:t xml:space="preserve">I. AddressLine1 and AddressLine3 are blank in 7.1, 7.7 and 7.14, but populated in 7.15: </w:t>
      </w:r>
      <w:r>
        <w:t xml:space="preserve">in the HR Core Data family (7.1, 7.7) and Employee Record (7.14), AddressLine1/addressline1 and AddressLine3/addressline3 (plus the equivalent EC address lines) are blank in every record while lines 2, 4, 5 and 6 are populated. The 7.15 sample, by contrast, has all six address lines (and EC address lines) populated. This is either because 7.15 happened to sample a different/more complete employee record, or because address-line configuration is applied differently for that service - worth confirming which.</w:t>
      </w:r>
    </w:p>
    <w:p>
      <w:pPr>
        <w:pStyle w:val="ListParagraph"/>
        <w:numPr>
          <w:ilvl w:val="0"/>
          <w:numId w:val="1"/>
        </w:numPr>
        <w:spacing w:after="60"/>
      </w:pPr>
      <w:r>
        <w:rPr>
          <w:b/>
          <w:bCs/>
        </w:rPr>
        <w:t xml:space="preserve">J. JobFamily/jobfamily is blank in every record it appears in </w:t>
      </w:r>
      <w:r>
        <w:t xml:space="preserve">(7.9, 7.14), again as "" rather than a masked value, suggesting Job Family classification may not be in use in our organisation's iTrent configuration.</w:t>
      </w:r>
    </w:p>
    <w:p>
      <w:pPr>
        <w:pStyle w:val="ListParagraph"/>
        <w:numPr>
          <w:ilvl w:val="0"/>
          <w:numId w:val="1"/>
        </w:numPr>
        <w:spacing w:after="60"/>
      </w:pPr>
      <w:r>
        <w:rPr>
          <w:b/>
          <w:bCs/>
        </w:rPr>
        <w:t xml:space="preserve">K. Documentation-only issues noticed while cross-referencing the Guide: </w:t>
      </w:r>
      <w:r>
        <w:t xml:space="preserve">(i) "Refence" appears in place of "Reference" throughout the Notes column, wherever "Position occ. Reference" is used as a source mapping, across at least 6 different service sections; (ii) the field name "StructureGroup2" is misspelled "StuctureGroup2" and "StructureGroup1" is misspelled "SstructureGroup1" in several field tables (e.g. Position Data Service, HR Core Data and Structure); (iii) the section heading for 7.6 reads "Daily Patten Example Output" instead of "Daily Pattern"; (iv) the People Structure (7.9) field table calls the cost field "Costcode" but its own example output calls it "CostCode" - our actual sample matches "CostCode", so the field table needs correcting; (v) "unitlevel"/"UnitLevel" is documented as Numeric in most examples but appears as "String" in the People Structure (7.9) and HR Core Data &amp; Structure (Transfers) (7.8) example outputs - an internal inconsistency in the Guide's own type declarations.</w:t>
      </w:r>
    </w:p>
    <w:p>
      <w:pPr>
        <w:pStyle w:val="Heading1"/>
        <w:spacing w:after="160" w:before="280"/>
      </w:pPr>
      <w:r>
        <w:t xml:space="preserve">7. Consolidated Question List</w:t>
      </w:r>
    </w:p>
    <w:p>
      <w:pPr>
        <w:pStyle w:val="Heading2"/>
        <w:spacing w:after="120" w:before="240"/>
      </w:pPr>
      <w:r>
        <w:t xml:space="preserve">7.1  Questions for the API Provider (MHR / iTrent)</w:t>
      </w:r>
    </w:p>
    <w:p>
      <w:pPr>
        <w:spacing w:after="100"/>
      </w:pPr>
      <w:r>
        <w:rPr>
          <w:b/>
          <w:bCs/>
          <w:color w:val="1F3864"/>
        </w:rPr>
        <w:t xml:space="preserve">Q1. </w:t>
      </w:r>
      <w:r>
        <w:t xml:space="preserve">For the 11 services returning a generic 404 (7.2, 7.4, 7.5, 7.8, 7.10, 7.12, 7.13, 7.16, 7.17, 7.18, 7.20) - are these simply not licensed/enabled for our environment, or is there a configuration or endpoint issue on our side? A proper application-level error (rather than a bare web-server 404) would help us tell the difference going forward.</w:t>
      </w:r>
    </w:p>
    <w:p>
      <w:pPr>
        <w:spacing w:after="100"/>
      </w:pPr>
      <w:r>
        <w:rPr>
          <w:b/>
          <w:bCs/>
          <w:color w:val="1F3864"/>
        </w:rPr>
        <w:t xml:space="preserve">Q2. </w:t>
      </w:r>
      <w:r>
        <w:t xml:space="preserve">Are WMS People (7.10), Elite3E/DAC3E, WFM Person (Grosvenor) (7.12) and WFM Shifts (Grosvenor) (7.13) only available when a specific third-party connector (Grosvenor, WMS) is separately licensed and configured? If so, can you confirm which of these connectors, if any, are part of our contract?</w:t>
      </w:r>
    </w:p>
    <w:p>
      <w:pPr>
        <w:spacing w:after="100"/>
      </w:pPr>
      <w:r>
        <w:rPr>
          <w:b/>
          <w:bCs/>
          <w:color w:val="1F3864"/>
        </w:rPr>
        <w:t xml:space="preserve">Q3. </w:t>
      </w:r>
      <w:r>
        <w:t xml:space="preserve">Section 7.19 (User Defined Fields) is documented on page 144 of the Guide dated 13 May 2025, but our reviewer could not find any documentation for it during testing. Can you confirm whether an older/different version of the guide was in circulation, and which version we should treat as current?</w:t>
      </w:r>
    </w:p>
    <w:p>
      <w:pPr>
        <w:spacing w:after="100"/>
      </w:pPr>
      <w:r>
        <w:rPr>
          <w:b/>
          <w:bCs/>
          <w:color w:val="1F3864"/>
        </w:rPr>
        <w:t xml:space="preserve">Q4. </w:t>
      </w:r>
      <w:r>
        <w:t xml:space="preserve">PositionStartDate and PositionEndDate appear in live responses for HR Core Data (7.1), Position Data Service (7.3), HR Core Data and Structure (7.7) and People Structure (7.9), but are not listed in the field-mapping tables or example outputs for any of those services. Can these be added to the documentation, including their source iTrent field and format?</w:t>
      </w:r>
    </w:p>
    <w:p>
      <w:pPr>
        <w:spacing w:after="100"/>
      </w:pPr>
      <w:r>
        <w:rPr>
          <w:b/>
          <w:bCs/>
          <w:color w:val="1F3864"/>
        </w:rPr>
        <w:t xml:space="preserve">Q5. </w:t>
      </w:r>
      <w:r>
        <w:t xml:space="preserve">UnitStartDate and UnitEndDate appear inside the unit/org hierarchy for 7.7, 7.9, 7.14 and 7.15, but are undocumented. Please confirm their source field and add them to the relevant field tables.</w:t>
      </w:r>
    </w:p>
    <w:p>
      <w:pPr>
        <w:spacing w:after="100"/>
      </w:pPr>
      <w:r>
        <w:rPr>
          <w:b/>
          <w:bCs/>
          <w:color w:val="1F3864"/>
        </w:rPr>
        <w:t xml:space="preserve">Q6. </w:t>
      </w:r>
      <w:r>
        <w:t xml:space="preserve">The org-unit hierarchy depth differs between services and from the Guide's examples (2 documented levels vs. 3-4 actual levels in 7.7/7.9, and a flat array instead of a nested chain in 7.14). Is hierarchy depth meant to reflect the actual number of organisational levels above a position (i.e. it legitimately varies per employee), or is the documented example simply incomplete/truncated?</w:t>
      </w:r>
    </w:p>
    <w:p>
      <w:pPr>
        <w:spacing w:after="100"/>
      </w:pPr>
      <w:r>
        <w:rPr>
          <w:b/>
          <w:bCs/>
          <w:color w:val="1F3864"/>
        </w:rPr>
        <w:t xml:space="preserve">Q7. </w:t>
      </w:r>
      <w:r>
        <w:t xml:space="preserve">Why does 7.14 (Employee Record) represent position-level unit data as a "unit": [...] array, while 7.9 (People Structure) and 7.15 (Employee Record date-effective) use a nested unittounit/unittoorg object chain? Given 7.14 and 7.15 share the same "employeerecord" root, should these be structurally identical?</w:t>
      </w:r>
    </w:p>
    <w:p>
      <w:pPr>
        <w:spacing w:after="100"/>
      </w:pPr>
      <w:r>
        <w:rPr>
          <w:b/>
          <w:bCs/>
          <w:color w:val="1F3864"/>
        </w:rPr>
        <w:t xml:space="preserve">Q8. </w:t>
      </w:r>
      <w:r>
        <w:t xml:space="preserve">The Guide states Employee Record (date effective) (7.15) is available as a WDP (real-time outgoing) service only, with a mandatory payload header containing customercode and effectivedate. Our sample does not contain either field and is shaped identically to 7.14. Can you confirm the correct way to trigger/capture a genuine 7.15 payload, since it appears this cannot be obtained via a simple GET request?</w:t>
      </w:r>
    </w:p>
    <w:p>
      <w:pPr>
        <w:spacing w:after="100"/>
      </w:pPr>
      <w:r>
        <w:rPr>
          <w:b/>
          <w:bCs/>
          <w:color w:val="1F3864"/>
        </w:rPr>
        <w:t xml:space="preserve">Q9. </w:t>
      </w:r>
      <w:r>
        <w:t xml:space="preserve">Several documented objects (contactdet, ParentDepartment, costlevel, TermandCondition) are shown in the Guide's example JSON as single objects even though their field notes say "repeats for...". Can future revisions of the Guide show these as arrays to avoid ambiguity for integrators?</w:t>
      </w:r>
    </w:p>
    <w:p>
      <w:pPr>
        <w:spacing w:after="100"/>
      </w:pPr>
      <w:r>
        <w:rPr>
          <w:b/>
          <w:bCs/>
          <w:color w:val="1F3864"/>
        </w:rPr>
        <w:t xml:space="preserve">Q10. </w:t>
      </w:r>
      <w:r>
        <w:t xml:space="preserve">None of our samples include the documented "Student", "NextOfKin"/"nextofkins", "OtherAddress"/"otheraddresses", "PositionContacts"/"PositionAddresses"/"structurecontacts", "checks", "skills", "qualifications", "holidays", or "TermsandConditions"/"reckonabledates" blocks. Are these fields omitted from the payload entirely when empty (rather than returned as null/empty containers), and is that behaviour consistent across all pre-publish services?</w:t>
      </w:r>
    </w:p>
    <w:p>
      <w:pPr>
        <w:spacing w:after="100"/>
      </w:pPr>
      <w:r>
        <w:rPr>
          <w:b/>
          <w:bCs/>
          <w:color w:val="1F3864"/>
        </w:rPr>
        <w:t xml:space="preserve">Q11. </w:t>
      </w:r>
      <w:r>
        <w:t xml:space="preserve">The "page" object (size, totalelements, totalpages, number, proccount, lastid) appears on list-type responses (7.1, 7.3, 7.7, 7.14) but is not documented anywhere in Section 7. Can you provide the field definitions and guidance on using it for paged/incremental retrieval?</w:t>
      </w:r>
    </w:p>
    <w:p>
      <w:pPr>
        <w:spacing w:after="100"/>
      </w:pPr>
      <w:r>
        <w:rPr>
          <w:b/>
          <w:bCs/>
          <w:color w:val="1F3864"/>
        </w:rPr>
        <w:t xml:space="preserve">Q12. </w:t>
      </w:r>
      <w:r>
        <w:t xml:space="preserve">Since every sample value has been masked to a literal "XXX" string for this review, we can't confirm the real wire data type of fields documented as Numeric (FTE, ContractHours, UnitLevel, salary/ftsalary, costsplitpercent, costsplitvalue, dependants, and the page object's totalelements/totalpages/number/proccount). Can you confirm whether these come back as genuine JSON numbers or as quoted strings, so our parsing code handles them correctly?</w:t>
      </w:r>
    </w:p>
    <w:p>
      <w:pPr>
        <w:spacing w:after="100"/>
      </w:pPr>
      <w:r>
        <w:rPr>
          <w:b/>
          <w:bCs/>
          <w:color w:val="1F3864"/>
        </w:rPr>
        <w:t xml:space="preserve">Q13. </w:t>
      </w:r>
      <w:r>
        <w:t xml:space="preserve">StructureGroup1/StructureGroup2, UnitGroup1/UnitGroup2 and Group1/Group2 are returned as empty strings in 100% of records across every service we tested (7.1, 7.3, 7.7, 7.9, 7.11, 7.15) - not masked, genuinely blank. Is there a configuration step required in iTrent to populate these structure-grouping fields, or are they optional/rarely used fields that most customers leave blank?</w:t>
      </w:r>
    </w:p>
    <w:p>
      <w:pPr>
        <w:spacing w:after="100"/>
      </w:pPr>
      <w:r>
        <w:rPr>
          <w:b/>
          <w:bCs/>
          <w:color w:val="1F3864"/>
        </w:rPr>
        <w:t xml:space="preserve">Q14. </w:t>
      </w:r>
      <w:r>
        <w:t xml:space="preserve">unitlevel/UnitLevel is documented as Numeric in the field tables and in most example outputs, but is shown as "String" in the example outputs for People Structure (7.9) and HR Core Data &amp; Structure (Transfers) (7.8). Which is correct?</w:t>
      </w:r>
    </w:p>
    <w:p>
      <w:pPr>
        <w:spacing w:after="100"/>
      </w:pPr>
      <w:r>
        <w:rPr>
          <w:b/>
          <w:bCs/>
          <w:color w:val="1F3864"/>
        </w:rPr>
        <w:t xml:space="preserve">Q15. </w:t>
      </w:r>
      <w:r>
        <w:t xml:space="preserve">The People Structure (7.9) field table names the cost-code field "Costcode", but the example output beneath it - and our actual sample - use "CostCode". Can the field table be corrected to match?</w:t>
      </w:r>
    </w:p>
    <w:p>
      <w:pPr>
        <w:spacing w:after="100"/>
      </w:pPr>
      <w:r>
        <w:rPr>
          <w:b/>
          <w:bCs/>
          <w:color w:val="1F3864"/>
        </w:rPr>
        <w:t xml:space="preserve">Q16. </w:t>
      </w:r>
      <w:r>
        <w:t xml:space="preserve">There are a number of small spelling issues in the current guide that would help to fix in the next revision: "Refence" instead of "Reference" (appears repeatedly wherever "Position occ. Reference" is used as a source mapping), "StuctureGroup2"/"SstructureGroup1" instead of "StructureGroup2"/"StructureGroup1" (Position Data Service and HR Core Data and Structure sections), and "Daily Patten" instead of "Daily Pattern" in the section 7.6.1 heading.</w:t>
      </w:r>
    </w:p>
    <w:p>
      <w:pPr>
        <w:spacing w:after="100"/>
      </w:pPr>
      <w:r>
        <w:rPr>
          <w:b/>
          <w:bCs/>
          <w:color w:val="1F3864"/>
        </w:rPr>
        <w:t xml:space="preserve">Q17. </w:t>
      </w:r>
      <w:r>
        <w:t xml:space="preserve">Neither the field-mapping table for HR Core Data (7.1) nor HR Core Data and Structure (7.7) gives a source mapping, format or notes for the top-level "Contact" field, and the "ReportingPost" field's Format column is also blank. Can you confirm what these two fields represent and their data type/source?</w:t>
      </w:r>
    </w:p>
    <w:p>
      <w:pPr>
        <w:spacing w:after="100"/>
      </w:pPr>
      <w:r>
        <w:rPr>
          <w:b/>
          <w:bCs/>
          <w:color w:val="1F3864"/>
        </w:rPr>
        <w:t xml:space="preserve">Q18. </w:t>
      </w:r>
      <w:r>
        <w:t xml:space="preserve">Could you provide the enumerated list of valid values for conttype/ContactType (e.g. email, mobile, home phone) and for OthAddrAddressType/otheraddresstype? None of our samples populate these blocks, so we can't infer the valid values from the data alone, and the Guide doesn't list them.</w:t>
      </w:r>
    </w:p>
    <w:p>
      <w:pPr>
        <w:spacing w:after="100"/>
      </w:pPr>
      <w:r>
        <w:rPr>
          <w:b/>
          <w:bCs/>
          <w:color w:val="1F3864"/>
        </w:rPr>
        <w:t xml:space="preserve">Q19. </w:t>
      </w:r>
      <w:r>
        <w:t xml:space="preserve">For Elite3E (DAC3E) (7.11), the Guide notes that "Office and subledger require to be separated by a | character" for the SubledgerLocation field. Can you confirm this pipe-delimiter convention is still current, since our masked sample can't confirm the actual delimiter used on the wire?</w:t>
      </w:r>
    </w:p>
    <w:p>
      <w:pPr>
        <w:pStyle w:val="Heading2"/>
        <w:spacing w:after="120" w:before="240"/>
      </w:pPr>
      <w:r>
        <w:t xml:space="preserve">7.2  Questions for the Internal / Concerned Team</w:t>
      </w:r>
    </w:p>
    <w:p>
      <w:pPr>
        <w:spacing w:after="100"/>
      </w:pPr>
      <w:r>
        <w:rPr>
          <w:b/>
          <w:bCs/>
          <w:color w:val="1F3864"/>
        </w:rPr>
        <w:t xml:space="preserve">Q1. </w:t>
      </w:r>
      <w:r>
        <w:t xml:space="preserve">Can we confirm the exact list of iTrent services we are licensed for, so the 11 "page not found" results can be triaged as "not licensed" vs. "configuration issue" before we go back to MHR?</w:t>
      </w:r>
    </w:p>
    <w:p>
      <w:pPr>
        <w:spacing w:after="100"/>
      </w:pPr>
      <w:r>
        <w:rPr>
          <w:b/>
          <w:bCs/>
          <w:color w:val="1F3864"/>
        </w:rPr>
        <w:t xml:space="preserve">Q2. </w:t>
      </w:r>
      <w:r>
        <w:t xml:space="preserve">For HR Core Data (7.1): the working theory that missing NI numbers correspond to staff who don't participate in NEST / aren't UK-based seems reasonable given the Guide's note that NInumber is a UK-only field - can this be confirmed against the underlying employee records (e.g. by nationality/country) before we close this out as expected behaviour?</w:t>
      </w:r>
    </w:p>
    <w:p>
      <w:pPr>
        <w:spacing w:after="100"/>
      </w:pPr>
      <w:r>
        <w:rPr>
          <w:b/>
          <w:bCs/>
          <w:color w:val="1F3864"/>
        </w:rPr>
        <w:t xml:space="preserve">Q3. </w:t>
      </w:r>
      <w:r>
        <w:t xml:space="preserve">Should we re-run the 7.19 (UDF) test now that this review has located the documentation on page 144, so we have an actual Yes/No/error result for it like the other 19 services?</w:t>
      </w:r>
    </w:p>
    <w:p>
      <w:pPr>
        <w:spacing w:after="100"/>
      </w:pPr>
      <w:r>
        <w:rPr>
          <w:b/>
          <w:bCs/>
          <w:color w:val="1F3864"/>
        </w:rPr>
        <w:t xml:space="preserve">Q4. </w:t>
      </w:r>
      <w:r>
        <w:t xml:space="preserve">For 7.15, do we have the ability to trigger a real-time WDP event (rather than a GET request) in our test environment, so we can capture a genuine sample that includes the effective-date header MHR's documentation describes?</w:t>
      </w:r>
    </w:p>
    <w:p>
      <w:pPr>
        <w:spacing w:after="100"/>
      </w:pPr>
      <w:r>
        <w:rPr>
          <w:b/>
          <w:bCs/>
          <w:color w:val="1F3864"/>
        </w:rPr>
        <w:t xml:space="preserve">Q5. </w:t>
      </w:r>
      <w:r>
        <w:t xml:space="preserve">Are the missing sub-objects (skills, qualifications, next of kin, other addresses, checks, holidays, T&amp;Cs) genuinely not populated for the sample employees used in testing, or should we re-test with employee records known to have this data, to distinguish "service doesn't return it" from "this employee doesn't have any"?</w:t>
      </w:r>
    </w:p>
    <w:p>
      <w:pPr>
        <w:spacing w:after="100"/>
      </w:pPr>
      <w:r>
        <w:rPr>
          <w:b/>
          <w:bCs/>
          <w:color w:val="1F3864"/>
        </w:rPr>
        <w:t xml:space="preserve">Q6. </w:t>
      </w:r>
      <w:r>
        <w:t xml:space="preserve">Now that PascalCase (7.1/7.3/7.6/7.7/7.9/7.11) vs lowercase (7.14/7.15) naming conventions have been confirmed as per-service rather than a bug, do our downstream mapping/parsing scripts already account for both conventions, or does anything need updating?</w:t>
      </w:r>
    </w:p>
    <w:p>
      <w:pPr>
        <w:spacing w:after="100"/>
      </w:pPr>
      <w:r>
        <w:rPr>
          <w:b/>
          <w:bCs/>
          <w:color w:val="1F3864"/>
        </w:rPr>
        <w:t xml:space="preserve">Q7. </w:t>
      </w:r>
      <w:r>
        <w:t xml:space="preserve">StructureGroup1/2, UnitGroup1/2, Group1/2 and JobFamily come back blank for every employee sampled, across every service. Can we confirm with whoever owns the iTrent configuration whether structure grouping and job family classification are actually set up/in use for our organisation, before we raise it with MHR as a possible data or config gap?</w:t>
      </w:r>
    </w:p>
    <w:p>
      <w:pPr>
        <w:spacing w:after="100"/>
      </w:pPr>
      <w:r>
        <w:rPr>
          <w:b/>
          <w:bCs/>
          <w:color w:val="1F3864"/>
        </w:rPr>
        <w:t xml:space="preserve">Q8. </w:t>
      </w:r>
      <w:r>
        <w:t xml:space="preserve">AddressLine1 and AddressLine3 are blank for every employee in the 7.1/7.7/7.14 samples but populated in the 7.15 sample. Can we confirm whether this is simply because a different employee record was used for that test, or whether our address-line mapping is genuinely configured differently for that service?</w:t>
      </w:r>
    </w:p>
    <w:p>
      <w:pPr>
        <w:pStyle w:val="Heading1"/>
        <w:spacing w:after="160" w:before="280"/>
      </w:pPr>
      <w:r>
        <w:t xml:space="preserve">8. Summary</w:t>
      </w:r>
    </w:p>
    <w:p>
      <w:pPr>
        <w:spacing w:after="120"/>
      </w:pPr>
      <w:r>
        <w:t xml:space="preserve">Of the 20 pre-publish data services in the Guide, only 8 currently return data in our environment (7.1, 7.3, 7.6, 7.7, 7.9, 7.11, 7.14, 7.15). The 11 "page not found" results give no diagnostic detail and most likely trace back to licensing/enablement rather than a technical fault, given the Guide's own statement that this functionality is licence-gated. Of the 8 working services, the schemas broadly match the documentation for top-level personal and position fields, but every service that includes a unit/organisation hierarchy or a Position sub-object shows extra undocumented fields (PositionStartDate/EndDate, UnitStartDate/EndDate) and a deeper or differently-shaped hierarchy than the Guide's simplified examples illustrate. A closer, value-level pass also found that several grouping fields (StructureGroup1/2, UnitGroup1/2, Group1/2, JobFamily) are blank across every record and every service - worth confirming as a configuration question before assuming it's a service defect - plus a handful of small but real inconsistencies inside the Guide itself (typos, a field-name casing mismatch, and a Numeric-vs-String type conflict for the same field in different examples). Service 7.15 stands out as needing a re-test, since the Guide describes it as WDP-only with a mandatory effective-date header that is entirely absent from the current sample. The consolidated question list in Section 7 is intended as the basis for a joint review with MHR (API provider) and the internal team before these services are relied on for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2026-07-13T15:34:51.551Z</dcterms:created>
  <dcterms:modified xsi:type="dcterms:W3CDTF">2026-07-13T15:34:51.569Z</dcterms:modified>
</cp:coreProperties>
</file>

<file path=docProps/custom.xml><?xml version="1.0" encoding="utf-8"?>
<Properties xmlns="http://schemas.openxmlformats.org/officeDocument/2006/custom-properties" xmlns:vt="http://schemas.openxmlformats.org/officeDocument/2006/docPropsVTypes"/>
</file>