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ПМ1 · Занятие 05</w:t>
        <w:br/>
        <w:t>Сканирование и пересъёмка оригинала</w:t>
      </w:r>
    </w:p>
    <w:p>
      <w:pPr>
        <w:pStyle w:val="Subtitle"/>
        <w:jc w:val="center"/>
      </w:pPr>
      <w:r>
        <w:t>Поток после 11 класса · методичка преподавателя · 60 минут · новая редакция РО 1.1</w:t>
      </w:r>
    </w:p>
    <w:p>
      <w:pPr>
        <w:pStyle w:val="Heading1"/>
        <w:keepNext/>
      </w:pPr>
      <w:r>
        <w:t>1. Паспорт занятия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25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/>
              </w:rPr>
              <w:t>Профессиональный модуль</w:t>
            </w:r>
          </w:p>
        </w:tc>
        <w:tc>
          <w:tcPr>
            <w:tcW w:type="dxa" w:w="76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/>
              </w:rPr>
              <w:t>ПМ1. Сканирование и обработка графической информации</w:t>
            </w:r>
          </w:p>
        </w:tc>
      </w:tr>
      <w:tr>
        <w:tc>
          <w:tcPr>
            <w:tcW w:type="dxa" w:w="25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Блок</w:t>
            </w:r>
          </w:p>
        </w:tc>
        <w:tc>
          <w:tcPr>
            <w:tcW w:type="dxa" w:w="76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А2</w:t>
            </w:r>
          </w:p>
        </w:tc>
      </w:tr>
      <w:tr>
        <w:tc>
          <w:tcPr>
            <w:tcW w:type="dxa" w:w="25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Вид нагрузки</w:t>
            </w:r>
          </w:p>
        </w:tc>
        <w:tc>
          <w:tcPr>
            <w:tcW w:type="dxa" w:w="76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Теория</w:t>
            </w:r>
          </w:p>
        </w:tc>
      </w:tr>
      <w:tr>
        <w:tc>
          <w:tcPr>
            <w:tcW w:type="dxa" w:w="25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Продолжительность</w:t>
            </w:r>
          </w:p>
        </w:tc>
        <w:tc>
          <w:tcPr>
            <w:tcW w:type="dxa" w:w="76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60 фактических минут</w:t>
            </w:r>
          </w:p>
        </w:tc>
      </w:tr>
      <w:tr>
        <w:tc>
          <w:tcPr>
            <w:tcW w:type="dxa" w:w="25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Аудитория</w:t>
            </w:r>
          </w:p>
        </w:tc>
        <w:tc>
          <w:tcPr>
            <w:tcW w:type="dxa" w:w="76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СПО, студенты 16–20 лет, поток после 11 класса</w:t>
            </w:r>
          </w:p>
        </w:tc>
      </w:tr>
      <w:tr>
        <w:tc>
          <w:tcPr>
            <w:tcW w:type="dxa" w:w="25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Основа содержания</w:t>
            </w:r>
          </w:p>
        </w:tc>
        <w:tc>
          <w:tcPr>
            <w:tcW w:type="dxa" w:w="76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Новый поурочный план РО 1.1, предоставленный преподавателем</w:t>
            </w:r>
          </w:p>
        </w:tc>
      </w:tr>
    </w:tbl>
    <w:p>
      <w:pPr>
        <w:pStyle w:val="Heading1"/>
        <w:keepNext/>
      </w:pPr>
      <w:r>
        <w:t>2. Назначение и место занятия</w:t>
      </w:r>
    </w:p>
    <w:p>
      <w:r>
        <w:t>Сравниваются расположение оригинала и результаты сканера и камеры; объясняется цикл осмотр — проба — оценка фрагмента — повтор.</w:t>
      </w:r>
    </w:p>
    <w:p>
      <w:r>
        <w:t>Материал рассматривается в профессиональном контексте подготовки графики: студент учится связывать решение с задачей, наблюдаемым признаком и ограничением носителя. Формулировки строятся как основания для будущей практики, а не как перечень кнопок программы.</w:t>
      </w:r>
    </w:p>
    <w:p>
      <w:pPr>
        <w:pStyle w:val="Heading1"/>
        <w:keepNext/>
      </w:pPr>
      <w:r>
        <w:t>3. Планируемый результат</w:t>
      </w:r>
    </w:p>
    <w:p>
      <w:r>
        <w:rPr>
          <w:b/>
        </w:rPr>
        <w:t xml:space="preserve">Наблюдаемый результат. </w:t>
      </w:r>
      <w:r>
        <w:t>Объяснить выбор способа оцифровки и последовательность подготовки.</w:t>
      </w:r>
    </w:p>
    <w:p>
      <w:r>
        <w:rPr>
          <w:b/>
        </w:rPr>
        <w:t xml:space="preserve">Проверка понимания. </w:t>
      </w:r>
      <w:r>
        <w:t>Студент называет подходящий способ захвата и объясняет, какие параметры нужно проверить до основного сканирования или съёмки.</w:t>
      </w:r>
    </w:p>
    <w:p>
      <w:r>
        <w:t>Ответ считается содержательным, если в нём есть конкретный объект анализа, наблюдаемый признак, причинная связь и граница вывода. В теоретическом занятии устный ответ показывает понимание, но не заменяет самостоятельное практическое доказательство.</w:t>
      </w:r>
    </w:p>
    <w:p>
      <w:pPr>
        <w:pStyle w:val="Heading1"/>
        <w:keepNext/>
      </w:pPr>
      <w:r>
        <w:t>4. Термины и пояснения</w:t>
      </w:r>
    </w:p>
    <w:p>
      <w:pPr>
        <w:pStyle w:val="ListBullet"/>
      </w:pPr>
      <w:r>
        <w:rPr>
          <w:b/>
        </w:rPr>
        <w:t xml:space="preserve">Сканирование. </w:t>
      </w:r>
      <w:r>
        <w:t>Построчное оптическое считывание плоского оригинала.</w:t>
      </w:r>
    </w:p>
    <w:p>
      <w:pPr>
        <w:pStyle w:val="ListBullet"/>
      </w:pPr>
      <w:r>
        <w:rPr>
          <w:b/>
        </w:rPr>
        <w:t xml:space="preserve">Пересъёмка. </w:t>
      </w:r>
      <w:r>
        <w:t>Фотографирование оригинала камерой с контролем геометрии и света.</w:t>
      </w:r>
    </w:p>
    <w:p>
      <w:pPr>
        <w:pStyle w:val="ListBullet"/>
      </w:pPr>
      <w:r>
        <w:rPr>
          <w:b/>
        </w:rPr>
        <w:t xml:space="preserve">Оптическое разрешение. </w:t>
      </w:r>
      <w:r>
        <w:t>Реальная детализация, которую способен различить сканер.</w:t>
      </w:r>
    </w:p>
    <w:p>
      <w:pPr>
        <w:pStyle w:val="ListBullet"/>
      </w:pPr>
      <w:r>
        <w:rPr>
          <w:b/>
        </w:rPr>
        <w:t xml:space="preserve">PPI. </w:t>
      </w:r>
      <w:r>
        <w:t>Количество пикселей на дюйм при заданном физическом размере вывода.</w:t>
      </w:r>
    </w:p>
    <w:p>
      <w:pPr>
        <w:pStyle w:val="ListBullet"/>
      </w:pPr>
      <w:r>
        <w:rPr>
          <w:b/>
        </w:rPr>
        <w:t xml:space="preserve">Баланс белого. </w:t>
      </w:r>
      <w:r>
        <w:t>Соответствие нейтральных участков выбранному освещению.</w:t>
      </w:r>
    </w:p>
    <w:p>
      <w:pPr>
        <w:pStyle w:val="ListBullet"/>
      </w:pPr>
      <w:r>
        <w:rPr>
          <w:b/>
        </w:rPr>
        <w:t xml:space="preserve">Перспективное искажение. </w:t>
      </w:r>
      <w:r>
        <w:t>Изменение пропорций при непараллельности камеры и плоскости оригинала.</w:t>
      </w:r>
    </w:p>
    <w:p>
      <w:pPr>
        <w:pStyle w:val="ListBullet"/>
      </w:pPr>
      <w:r>
        <w:rPr>
          <w:b/>
        </w:rPr>
        <w:t xml:space="preserve">Тестовый захват. </w:t>
      </w:r>
      <w:r>
        <w:t>Небольшая проба для проверки резкости, бликов и тонального диапазона.</w:t>
      </w:r>
    </w:p>
    <w:p>
      <w:pPr>
        <w:pStyle w:val="ListBullet"/>
      </w:pPr>
      <w:r>
        <w:rPr>
          <w:b/>
        </w:rPr>
        <w:t xml:space="preserve">Муар. </w:t>
      </w:r>
      <w:r>
        <w:t>Интерференционный рисунок при съёмке или сканировании регулярной печатной сетки.</w:t>
      </w:r>
    </w:p>
    <w:p>
      <w:pPr>
        <w:pStyle w:val="Heading1"/>
        <w:keepNext/>
      </w:pPr>
      <w:r>
        <w:t>5. Подготовка преподавателя</w:t>
      </w:r>
    </w:p>
    <w:p>
      <w:pPr>
        <w:pStyle w:val="ListBullet"/>
      </w:pPr>
      <w:r>
        <w:t>Откройте презентацию занятия и заранее проверьте порядок визуальных примеров.</w:t>
      </w:r>
    </w:p>
    <w:p>
      <w:pPr>
        <w:pStyle w:val="ListBullet"/>
      </w:pPr>
      <w:r>
        <w:t>Выберите один основной случай, который проходит через весь рассказ, и подготовьте второй случай по той же теме для резерва.</w:t>
      </w:r>
    </w:p>
    <w:p>
      <w:pPr>
        <w:pStyle w:val="ListBullet"/>
      </w:pPr>
      <w:r>
        <w:t>Для сравнительных пар зафиксируйте неизменные параметры и ровно один изменяемый фактор.</w:t>
      </w:r>
    </w:p>
    <w:p>
      <w:pPr>
        <w:pStyle w:val="ListBullet"/>
      </w:pPr>
      <w:r>
        <w:t>Проверьте, что все термины раскрываются через видимый пример и что ни один слайд не выдаёт предположение за факт.</w:t>
      </w:r>
    </w:p>
    <w:p>
      <w:pPr>
        <w:pStyle w:val="ListBullet"/>
      </w:pPr>
      <w:r>
        <w:t>Заранее выпишите диагностический вопрос и ожидаемые признаки содержательного ответа.</w:t>
      </w:r>
    </w:p>
    <w:p>
      <w:pPr>
        <w:pStyle w:val="Heading1"/>
        <w:keepNext/>
      </w:pPr>
      <w:r>
        <w:t>6. Сценарий на 60 минут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11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/>
              </w:rPr>
              <w:t>Время</w:t>
            </w:r>
          </w:p>
        </w:tc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/>
              </w:rPr>
              <w:t>Этап</w:t>
            </w:r>
          </w:p>
        </w:tc>
        <w:tc>
          <w:tcPr>
            <w:tcW w:type="dxa" w:w="66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/>
              </w:rPr>
              <w:t>Действие преподавателя и группы</w:t>
            </w:r>
          </w:p>
        </w:tc>
      </w:tr>
      <w:tr>
        <w:tc>
          <w:tcPr>
            <w:tcW w:type="dxa" w:w="11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0–5</w:t>
            </w:r>
          </w:p>
        </w:tc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Вход в тему</w:t>
            </w:r>
          </w:p>
        </w:tc>
        <w:tc>
          <w:tcPr>
            <w:tcW w:type="dxa" w:w="66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Показать исходный случай и назвать профессиональную задачу занятия.</w:t>
            </w:r>
          </w:p>
        </w:tc>
      </w:tr>
      <w:tr>
        <w:tc>
          <w:tcPr>
            <w:tcW w:type="dxa" w:w="11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5–15</w:t>
            </w:r>
          </w:p>
        </w:tc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Наблюдение</w:t>
            </w:r>
          </w:p>
        </w:tc>
        <w:tc>
          <w:tcPr>
            <w:tcW w:type="dxa" w:w="66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Собрать устные описания видимых признаков без письменной или компьютерной работы.</w:t>
            </w:r>
          </w:p>
        </w:tc>
      </w:tr>
      <w:tr>
        <w:tc>
          <w:tcPr>
            <w:tcW w:type="dxa" w:w="11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15–30</w:t>
            </w:r>
          </w:p>
        </w:tc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Понятия</w:t>
            </w:r>
          </w:p>
        </w:tc>
        <w:tc>
          <w:tcPr>
            <w:tcW w:type="dxa" w:w="66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Последовательно ввести термины через пример, структуру и границу применимости.</w:t>
            </w:r>
          </w:p>
        </w:tc>
      </w:tr>
      <w:tr>
        <w:tc>
          <w:tcPr>
            <w:tcW w:type="dxa" w:w="11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30–44</w:t>
            </w:r>
          </w:p>
        </w:tc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Сравнение</w:t>
            </w:r>
          </w:p>
        </w:tc>
        <w:tc>
          <w:tcPr>
            <w:tcW w:type="dxa" w:w="66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Показать контролируемые пары и объяснить причинную связь решения и результата.</w:t>
            </w:r>
          </w:p>
        </w:tc>
      </w:tr>
      <w:tr>
        <w:tc>
          <w:tcPr>
            <w:tcW w:type="dxa" w:w="11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44–54</w:t>
            </w:r>
          </w:p>
        </w:tc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Ошибки и границы</w:t>
            </w:r>
          </w:p>
        </w:tc>
        <w:tc>
          <w:tcPr>
            <w:tcW w:type="dxa" w:w="66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Разобрать типичные неверные выводы и честно назвать неизвестное.</w:t>
            </w:r>
          </w:p>
        </w:tc>
      </w:tr>
      <w:tr>
        <w:tc>
          <w:tcPr>
            <w:tcW w:type="dxa" w:w="11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54–60</w:t>
            </w:r>
          </w:p>
        </w:tc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Диагностика и итог</w:t>
            </w:r>
          </w:p>
        </w:tc>
        <w:tc>
          <w:tcPr>
            <w:tcW w:type="dxa" w:w="66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Получить устный проверяемый вывод; самостоятельная работа этим занятием не подтверждается.</w:t>
            </w:r>
          </w:p>
        </w:tc>
      </w:tr>
    </w:tbl>
    <w:p>
      <w:pPr>
        <w:pStyle w:val="Heading1"/>
        <w:keepNext/>
      </w:pPr>
      <w:r>
        <w:t>7. Подробный рассказ преподавателя</w:t>
      </w:r>
    </w:p>
    <w:p>
      <w:r>
        <w:t>Начните занятие без длинного обзора программы. Покажите исходный случай и скажите: «Сегодня мы разберём не набор команд, а профессиональную причинную связь: что именно меняется, по какому признаку это видно и где заканчивается уверенный вывод». Дайте группе несколько секунд на самостоятельное рассматривание, затем собирайте ответы устно и записывайте только ключевые различия.</w:t>
      </w:r>
    </w:p>
    <w:p>
      <w:pPr>
        <w:pStyle w:val="Heading2"/>
        <w:keepNext/>
      </w:pPr>
      <w:r>
        <w:t>7.1. Способ выбирают по объекту</w:t>
      </w:r>
    </w:p>
    <w:p>
      <w:r>
        <w:t>Продолжите объяснение так: «Плоский лист обычно удобнее сканировать; объёмный, крупный или хрупкий объект — переснимать. Решение учитывает безопасность оригинала и требуемую деталь.»</w:t>
      </w:r>
    </w:p>
    <w:p>
      <w:r>
        <w:t>Сначала свяжите два понятия — «Сканирование» и «Пересъёмка». Напомните: Построчное оптическое считывание плоского оригинала. Затем добавьте: Фотографирование оригинала камерой с контролем геометрии и света. Попросите не пересказывать определения, а показать, где именно каждое понятие проявляется в рассматриваемом случае. Если студенты называют общий эффект, уточняйте: какой объект изменился, какой параметр можно увидеть или измерить и что осталось неизменным.</w:t>
      </w:r>
    </w:p>
    <w:p>
      <w:r>
        <w:rPr>
          <w:b/>
        </w:rPr>
        <w:t xml:space="preserve">Разобранный пример. </w:t>
      </w:r>
      <w:r>
        <w:t>Сравните фотографию на бумаге, разворот книги и фактурный предмет.</w:t>
      </w:r>
    </w:p>
    <w:p>
      <w:r>
        <w:t>Ведите демонстрацию по шагам. Сначала покажите исходное состояние без поясняющей подписи и дайте 10–15 секунд на наблюдение. Затем назовите только одно изменённое условие и попросите спрогнозировать результат. После открытия второго состояния сравните ответы с тем, что действительно видно. Произнесите причинную цепочку полностью: условие повлияло на конкретный признак; изменение признака изменило доступную информацию или способ чтения; поэтому решение стало более или менее пригодным для поставленной задачи.</w:t>
      </w:r>
    </w:p>
    <w:p>
      <w:r>
        <w:rPr>
          <w:b/>
        </w:rPr>
        <w:t xml:space="preserve">Граница применимости. </w:t>
      </w:r>
      <w:r>
        <w:t>Сканер не универсален: давление крышки может повредить или деформировать объект.</w:t>
      </w:r>
    </w:p>
    <w:p>
      <w:r>
        <w:t>Отдельно объясните, зачем нужна эта граница. Профессиональный вывод не становится слабее от честного ограничения: он становится проверяемым. Предложите контрпример, в котором похожий внешний признак возникает по другой причине, и попросите назвать данные, необходимые для различения случаев. Так группа учится не угадывать ответ по эффектной картинке, а сохранять связь между наблюдением, гипотезой и доказательством.</w:t>
      </w:r>
    </w:p>
    <w:p>
      <w:r>
        <w:rPr>
          <w:b/>
        </w:rPr>
        <w:t xml:space="preserve">Вопрос группе. </w:t>
      </w:r>
      <w:r>
        <w:t>Какое свойство оригинала исключает один из способов?</w:t>
      </w:r>
    </w:p>
    <w:p>
      <w:r>
        <w:t>После ответов распределите формулировки на три типа: наблюдение, интерпретация и неподтверждённое утверждение. Назовите сильную формулировку полностью: сначала наблюдаемый признак, затем значение для задачи и только после этого профессиональный вывод. Если студенты называют только оценку, верните разговор к тому, что можно указать на изображении, в файле или в интерфейсе. Завершите фрагмент одной фразой, которую студент сможет перенести на новый пример без подсказки.</w:t>
      </w:r>
    </w:p>
    <w:p>
      <w:pPr>
        <w:pStyle w:val="Heading2"/>
        <w:keepNext/>
      </w:pPr>
      <w:r>
        <w:t>7.2. Подготовка важнее поздней коррекции</w:t>
      </w:r>
    </w:p>
    <w:p>
      <w:r>
        <w:t>Разверните следующую мысль: «Пыль, перекос, блик и нерезкость дешевле предотвратить до захвата. Обработка не возвращает отсутствующую деталь.»</w:t>
      </w:r>
    </w:p>
    <w:p>
      <w:r>
        <w:t>Сначала свяжите два понятия — «Оптическое разрешение» и «PPI». Напомните: Реальная детализация, которую способен различить сканер. Затем добавьте: Количество пикселей на дюйм при заданном физическом размере вывода. Попросите не пересказывать определения, а показать, где именно каждое понятие проявляется в рассматриваемом случае. Если студенты называют общий эффект, уточняйте: какой объект изменился, какой параметр можно увидеть или измерить и что осталось неизменным.</w:t>
      </w:r>
    </w:p>
    <w:p>
      <w:r>
        <w:rPr>
          <w:b/>
        </w:rPr>
        <w:t xml:space="preserve">Разобранный пример. </w:t>
      </w:r>
      <w:r>
        <w:t>Покажите чистое стекло и стекло с пылью, параллельную камеру и съёмку под углом.</w:t>
      </w:r>
    </w:p>
    <w:p>
      <w:r>
        <w:t>Ведите демонстрацию по шагам. Сначала покажите исходное состояние без поясняющей подписи и дайте 10–15 секунд на наблюдение. Затем назовите только одно изменённое условие и попросите спрогнозировать результат. После открытия второго состояния сравните ответы с тем, что действительно видно. Произнесите причинную цепочку полностью: условие повлияло на конкретный признак; изменение признака изменило доступную информацию или способ чтения; поэтому решение стало более или менее пригодным для поставленной задачи.</w:t>
      </w:r>
    </w:p>
    <w:p>
      <w:r>
        <w:rPr>
          <w:b/>
        </w:rPr>
        <w:t xml:space="preserve">Граница применимости. </w:t>
      </w:r>
      <w:r>
        <w:t>Коррекция допустима для небольших отклонений, но не оправдывает небрежную подготовку.</w:t>
      </w:r>
    </w:p>
    <w:p>
      <w:r>
        <w:t>Отдельно объясните, зачем нужна эта граница. Профессиональный вывод не становится слабее от честного ограничения: он становится проверяемым. Предложите контрпример, в котором похожий внешний признак возникает по другой причине, и попросите назвать данные, необходимые для различения случаев. Так группа учится не угадывать ответ по эффектной картинке, а сохранять связь между наблюдением, гипотезой и доказательством.</w:t>
      </w:r>
    </w:p>
    <w:p>
      <w:r>
        <w:rPr>
          <w:b/>
        </w:rPr>
        <w:t xml:space="preserve">Вопрос группе. </w:t>
      </w:r>
      <w:r>
        <w:t>Какой дефект можно устранить повторным захватом без домысливания данных?</w:t>
      </w:r>
    </w:p>
    <w:p>
      <w:r>
        <w:t>После ответов распределите формулировки на три типа: наблюдение, интерпретация и неподтверждённое утверждение. Назовите сильную формулировку полностью: сначала наблюдаемый признак, затем значение для задачи и только после этого профессиональный вывод. Если студенты называют только оценку, верните разговор к тому, что можно указать на изображении, в файле или в интерфейсе. Завершите фрагмент одной фразой, которую студент сможет перенести на новый пример без подсказки.</w:t>
      </w:r>
    </w:p>
    <w:p>
      <w:pPr>
        <w:pStyle w:val="Heading2"/>
        <w:keepNext/>
      </w:pPr>
      <w:r>
        <w:t>7.3. Проба проверяется на сложном фрагменте</w:t>
      </w:r>
    </w:p>
    <w:p>
      <w:r>
        <w:t>Свяжите новый термин с предыдущим: «Общий вид может скрыть нерезкость, муар и выбитые света. Увеличенный участок показывает реальный предел.»</w:t>
      </w:r>
    </w:p>
    <w:p>
      <w:r>
        <w:t>Сначала свяжите два понятия — «Баланс белого» и «Перспективное искажение». Напомните: Соответствие нейтральных участков выбранному освещению. Затем добавьте: Изменение пропорций при непараллельности камеры и плоскости оригинала. Попросите не пересказывать определения, а показать, где именно каждое понятие проявляется в рассматриваемом случае. Если студенты называют общий эффект, уточняйте: какой объект изменился, какой параметр можно увидеть или измерить и что осталось неизменным.</w:t>
      </w:r>
    </w:p>
    <w:p>
      <w:r>
        <w:rPr>
          <w:b/>
        </w:rPr>
        <w:t xml:space="preserve">Разобранный пример. </w:t>
      </w:r>
      <w:r>
        <w:t>Перед полным сканированием оцените мелкий текст, тёмную деталь и светлый блик.</w:t>
      </w:r>
    </w:p>
    <w:p>
      <w:r>
        <w:t>Ведите демонстрацию по шагам. Сначала покажите исходное состояние без поясняющей подписи и дайте 10–15 секунд на наблюдение. Затем назовите только одно изменённое условие и попросите спрогнозировать результат. После открытия второго состояния сравните ответы с тем, что действительно видно. Произнесите причинную цепочку полностью: условие повлияло на конкретный признак; изменение признака изменило доступную информацию или способ чтения; поэтому решение стало более или менее пригодным для поставленной задачи.</w:t>
      </w:r>
    </w:p>
    <w:p>
      <w:r>
        <w:rPr>
          <w:b/>
        </w:rPr>
        <w:t xml:space="preserve">Граница применимости. </w:t>
      </w:r>
      <w:r>
        <w:t>Масштаб 800% выявляет сетку, но решение о пригодности принимается в целевом выводе и на 100%.</w:t>
      </w:r>
    </w:p>
    <w:p>
      <w:r>
        <w:t>Отдельно объясните, зачем нужна эта граница. Профессиональный вывод не становится слабее от честного ограничения: он становится проверяемым. Предложите контрпример, в котором похожий внешний признак возникает по другой причине, и попросите назвать данные, необходимые для различения случаев. Так группа учится не угадывать ответ по эффектной картинке, а сохранять связь между наблюдением, гипотезой и доказательством.</w:t>
      </w:r>
    </w:p>
    <w:p>
      <w:r>
        <w:rPr>
          <w:b/>
        </w:rPr>
        <w:t xml:space="preserve">Вопрос группе. </w:t>
      </w:r>
      <w:r>
        <w:t>Какой фрагмент является самым рискованным в этом оригинале?</w:t>
      </w:r>
    </w:p>
    <w:p>
      <w:r>
        <w:t>После ответов распределите формулировки на три типа: наблюдение, интерпретация и неподтверждённое утверждение. Назовите сильную формулировку полностью: сначала наблюдаемый признак, затем значение для задачи и только после этого профессиональный вывод. Если студенты называют только оценку, верните разговор к тому, что можно указать на изображении, в файле или в интерфейсе. Завершите фрагмент одной фразой, которую студент сможет перенести на новый пример без подсказки.</w:t>
      </w:r>
    </w:p>
    <w:p>
      <w:pPr>
        <w:pStyle w:val="Heading2"/>
        <w:keepNext/>
      </w:pPr>
      <w:r>
        <w:t>7.4. Цвет и геометрия фиксируются как условия</w:t>
      </w:r>
    </w:p>
    <w:p>
      <w:r>
        <w:t>Перед сравнением сформулируйте правило: «Одинаковое освещение, параллельность плоскостей и нейтральная опора делают результат воспроизводимым. Запишите ключевые настройки вместе с файлом.»</w:t>
      </w:r>
    </w:p>
    <w:p>
      <w:r>
        <w:t>Сначала свяжите два понятия — «Тестовый захват» и «Муар». Напомните: Небольшая проба для проверки резкости, бликов и тонального диапазона. Затем добавьте: Интерференционный рисунок при съёмке или сканировании регулярной печатной сетки. Попросите не пересказывать определения, а показать, где именно каждое понятие проявляется в рассматриваемом случае. Если студенты называют общий эффект, уточняйте: какой объект изменился, какой параметр можно увидеть или измерить и что осталось неизменным.</w:t>
      </w:r>
    </w:p>
    <w:p>
      <w:r>
        <w:rPr>
          <w:b/>
        </w:rPr>
        <w:t xml:space="preserve">Разобранный пример. </w:t>
      </w:r>
      <w:r>
        <w:t>Переснимите лист при смешанном свете, затем при одном стабильном источнике.</w:t>
      </w:r>
    </w:p>
    <w:p>
      <w:r>
        <w:t>Ведите демонстрацию по шагам. Сначала покажите исходное состояние без поясняющей подписи и дайте 10–15 секунд на наблюдение. Затем назовите только одно изменённое условие и попросите спрогнозировать результат. После открытия второго состояния сравните ответы с тем, что действительно видно. Произнесите причинную цепочку полностью: условие повлияло на конкретный признак; изменение признака изменило доступную информацию или способ чтения; поэтому решение стало более или менее пригодным для поставленной задачи.</w:t>
      </w:r>
    </w:p>
    <w:p>
      <w:r>
        <w:rPr>
          <w:b/>
        </w:rPr>
        <w:t xml:space="preserve">Граница применимости. </w:t>
      </w:r>
      <w:r>
        <w:t>Автоматический баланс белого может менять результат между кадрами серии.</w:t>
      </w:r>
    </w:p>
    <w:p>
      <w:r>
        <w:t>Отдельно объясните, зачем нужна эта граница. Профессиональный вывод не становится слабее от честного ограничения: он становится проверяемым. Предложите контрпример, в котором похожий внешний признак возникает по другой причине, и попросите назвать данные, необходимые для различения случаев. Так группа учится не угадывать ответ по эффектной картинке, а сохранять связь между наблюдением, гипотезой и доказательством.</w:t>
      </w:r>
    </w:p>
    <w:p>
      <w:r>
        <w:rPr>
          <w:b/>
        </w:rPr>
        <w:t xml:space="preserve">Вопрос группе. </w:t>
      </w:r>
      <w:r>
        <w:t>Что нужно повторить, чтобы второй захват совпал с первым?</w:t>
      </w:r>
    </w:p>
    <w:p>
      <w:r>
        <w:t>После ответов распределите формулировки на три типа: наблюдение, интерпретация и неподтверждённое утверждение. Назовите сильную формулировку полностью: сначала наблюдаемый признак, затем значение для задачи и только после этого профессиональный вывод. Если студенты называют только оценку, верните разговор к тому, что можно указать на изображении, в файле или в интерфейсе. Завершите фрагмент одной фразой, которую студент сможет перенести на новый пример без подсказки.</w:t>
      </w:r>
    </w:p>
    <w:p>
      <w:pPr>
        <w:pStyle w:val="Heading1"/>
        <w:keepNext/>
      </w:pPr>
      <w:r>
        <w:t>8. Примеры и факты по теме</w:t>
      </w:r>
    </w:p>
    <w:p>
      <w:r>
        <w:rPr>
          <w:b/>
        </w:rPr>
        <w:t xml:space="preserve">Пример 1. </w:t>
      </w:r>
      <w:r>
        <w:t>Чем выше заявленное число dpi, тем не обязательно выше реальная оптическая деталь сканера.</w:t>
      </w:r>
      <w:r>
        <w:t xml:space="preserve"> Используйте его как короткую вставку после основного объяснения: сначала попросите спрогнозировать следствие, затем покажите ответ и проговорите причину.</w:t>
      </w:r>
    </w:p>
    <w:p>
      <w:r>
        <w:rPr>
          <w:b/>
        </w:rPr>
        <w:t xml:space="preserve">Пример 2. </w:t>
      </w:r>
      <w:r>
        <w:t>При съёмке страницы камера должна быть параллельна плоскости, иначе прямоугольник становится трапецией.</w:t>
      </w:r>
      <w:r>
        <w:t xml:space="preserve"> Используйте его как короткую вставку после основного объяснения: сначала попросите спрогнозировать следствие, затем покажите ответ и проговорите причину.</w:t>
      </w:r>
    </w:p>
    <w:p>
      <w:r>
        <w:rPr>
          <w:b/>
        </w:rPr>
        <w:t xml:space="preserve">Пример 3. </w:t>
      </w:r>
      <w:r>
        <w:t>Поляризационные решения помогают с бликами, но не заменяют правильного расположения света.</w:t>
      </w:r>
      <w:r>
        <w:t xml:space="preserve"> Используйте его как короткую вставку после основного объяснения: сначала попросите спрогнозировать следствие, затем покажите ответ и проговорите причину.</w:t>
      </w:r>
    </w:p>
    <w:p>
      <w:r>
        <w:rPr>
          <w:b/>
        </w:rPr>
        <w:t xml:space="preserve">Пример 4. </w:t>
      </w:r>
      <w:r>
        <w:t>Повторный захват часто надёжнее сложной ретуши, потому что сохраняет документальность.</w:t>
      </w:r>
      <w:r>
        <w:t xml:space="preserve"> Используйте его как короткую вставку после основного объяснения: сначала попросите спрогнозировать следствие, затем покажите ответ и проговорите причину.</w:t>
      </w:r>
    </w:p>
    <w:p>
      <w:pPr>
        <w:pStyle w:val="Heading1"/>
        <w:keepNext/>
      </w:pPr>
      <w:r>
        <w:t>9. Типичные ошибки и реакция преподавателя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32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/>
              </w:rPr>
              <w:t>Наблюдаемая ошибка</w:t>
            </w:r>
          </w:p>
        </w:tc>
        <w:tc>
          <w:tcPr>
            <w:tcW w:type="dxa" w:w="30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/>
              </w:rPr>
              <w:t>Причина</w:t>
            </w:r>
          </w:p>
        </w:tc>
        <w:tc>
          <w:tcPr>
            <w:tcW w:type="dxa" w:w="38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/>
              </w:rPr>
              <w:t>Как разобрать</w:t>
            </w:r>
          </w:p>
        </w:tc>
      </w:tr>
      <w:tr>
        <w:tc>
          <w:tcPr>
            <w:tcW w:type="dxa" w:w="32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Сразу сканировать весь пакет</w:t>
            </w:r>
          </w:p>
        </w:tc>
        <w:tc>
          <w:tcPr>
            <w:tcW w:type="dxa" w:w="30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Проблема обнаруживается после длительной работы.</w:t>
            </w:r>
          </w:p>
        </w:tc>
        <w:tc>
          <w:tcPr>
            <w:tcW w:type="dxa" w:w="38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Сделать тест и проверить сложные области.</w:t>
            </w:r>
          </w:p>
        </w:tc>
      </w:tr>
      <w:tr>
        <w:tc>
          <w:tcPr>
            <w:tcW w:type="dxa" w:w="32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Лечить блик локальным затемнением</w:t>
            </w:r>
          </w:p>
        </w:tc>
        <w:tc>
          <w:tcPr>
            <w:tcW w:type="dxa" w:w="30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Отражение уже уничтожило информацию.</w:t>
            </w:r>
          </w:p>
        </w:tc>
        <w:tc>
          <w:tcPr>
            <w:tcW w:type="dxa" w:w="38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Изменить свет или угол и переснять.</w:t>
            </w:r>
          </w:p>
        </w:tc>
      </w:tr>
      <w:tr>
        <w:tc>
          <w:tcPr>
            <w:tcW w:type="dxa" w:w="32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Считать dpi гарантией качества</w:t>
            </w:r>
          </w:p>
        </w:tc>
        <w:tc>
          <w:tcPr>
            <w:tcW w:type="dxa" w:w="30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Игнорируется оптика и состояние оригинала.</w:t>
            </w:r>
          </w:p>
        </w:tc>
        <w:tc>
          <w:tcPr>
            <w:tcW w:type="dxa" w:w="38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Сравнить реальную деталь на одном фрагменте.</w:t>
            </w:r>
          </w:p>
        </w:tc>
      </w:tr>
    </w:tbl>
    <w:p>
      <w:pPr>
        <w:pStyle w:val="Heading1"/>
        <w:keepNext/>
      </w:pPr>
      <w:r>
        <w:t>10. Диагностические вопросы</w:t>
      </w:r>
    </w:p>
    <w:p>
      <w:pPr>
        <w:pStyle w:val="ListNumber"/>
      </w:pPr>
      <w:r>
        <w:t>Какое свойство оригинала исключает один из способов?</w:t>
      </w:r>
    </w:p>
    <w:p>
      <w:pPr>
        <w:pStyle w:val="ListNumber"/>
      </w:pPr>
      <w:r>
        <w:t>Какой дефект можно устранить повторным захватом без домысливания данных?</w:t>
      </w:r>
    </w:p>
    <w:p>
      <w:pPr>
        <w:pStyle w:val="ListNumber"/>
      </w:pPr>
      <w:r>
        <w:t>Какой фрагмент является самым рискованным в этом оригинале?</w:t>
      </w:r>
    </w:p>
    <w:p>
      <w:pPr>
        <w:pStyle w:val="ListNumber"/>
      </w:pPr>
      <w:r>
        <w:t>Что нужно повторить, чтобы второй захват совпал с первым?</w:t>
      </w:r>
    </w:p>
    <w:p>
      <w:pPr>
        <w:pStyle w:val="ListNumber"/>
      </w:pPr>
      <w:r>
        <w:t>Какой признак подтверждает вывод: «Объяснить выбор способа оцифровки и последовательность подготовки.»?</w:t>
      </w:r>
    </w:p>
    <w:p>
      <w:pPr>
        <w:pStyle w:val="ListNumber"/>
      </w:pPr>
      <w:r>
        <w:t>Какие данные или условия потребуются, чтобы проверить предположение точнее?</w:t>
      </w:r>
    </w:p>
    <w:p>
      <w:pPr>
        <w:pStyle w:val="ListNumber"/>
      </w:pPr>
      <w:r>
        <w:t>Какой типичный ответ звучит убедительно, но не содержит наблюдаемого основания?</w:t>
      </w:r>
    </w:p>
    <w:p>
      <w:r>
        <w:t>Не выставляйте оценку за диагностический вопрос: сначала соберите распределение ответов, затем разберите причину каждого варианта. Для практических занятий итоговое подтверждение даёт выполненное действие и наблюдение результата.</w:t>
      </w:r>
    </w:p>
    <w:p>
      <w:pPr>
        <w:pStyle w:val="Heading1"/>
        <w:keepNext/>
      </w:pPr>
      <w:r>
        <w:t>11. Итог и критерии завершения</w:t>
      </w:r>
    </w:p>
    <w:p>
      <w:pPr>
        <w:pStyle w:val="ListBullet"/>
      </w:pPr>
      <w:r>
        <w:t>Объяснить выбор способа оцифровки и последовательность подготовки.</w:t>
      </w:r>
    </w:p>
    <w:p>
      <w:pPr>
        <w:pStyle w:val="ListBullet"/>
      </w:pPr>
      <w:r>
        <w:t>Студент называет подходящий способ захвата и объясняет, какие параметры нужно проверить до основного сканирования или съёмки.</w:t>
      </w:r>
    </w:p>
    <w:p>
      <w:pPr>
        <w:pStyle w:val="ListBullet"/>
      </w:pPr>
      <w:r>
        <w:t>Термины используются в профессиональном значении и связаны с конкретным примером.</w:t>
      </w:r>
    </w:p>
    <w:p>
      <w:pPr>
        <w:pStyle w:val="ListBullet"/>
      </w:pPr>
      <w:r>
        <w:t>Студент различает наблюдение, интерпретацию и границу неизвестного.</w:t>
      </w:r>
    </w:p>
    <w:p>
      <w:pPr>
        <w:pStyle w:val="ListBullet"/>
      </w:pPr>
      <w:r>
        <w:t>Вывод не сводится к вкусовой оценке и может быть повторно проверен другим человеком.</w:t>
      </w:r>
    </w:p>
    <w:p>
      <w:r>
        <w:rPr>
          <w:b/>
        </w:rPr>
        <w:t xml:space="preserve">Финальная реплика преподавателя. </w:t>
      </w:r>
      <w:r>
        <w:t>«Сегодняшний результат — объяснить выбор способа оцифровки и последовательность подготовки. Следующее действие в профессиональной работе должно опираться на этот вывод, а не на случайный эффект или привычку».</w:t>
      </w:r>
    </w:p>
    <w:p>
      <w:pPr>
        <w:pStyle w:val="Heading1"/>
        <w:keepNext/>
      </w:pPr>
      <w:r>
        <w:t>12. Резервный случай и переход</w:t>
      </w:r>
    </w:p>
    <w:p>
      <w:r>
        <w:t>Если основная часть завершилась раньше, покажите второй случай по той же теме с изменённым исходным условием. Не вводите новую обязательную тему и не превращайте теорию в скрытую письменную или компьютерную работу. Попросите группу перенести тот же критерий на новый пример, назвать совпадение и различие, затем завершите одним проверяемым выводом.</w:t>
      </w:r>
    </w:p>
    <w:p>
      <w:r>
        <w:t>Материал подготовлен для внутреннего использования преподавателем. Презентация, демонстрационные файлы и методичка образуют единый комплект; при изменении нумерации или темы их соответствие проверяется заново.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50" w:right="979" w:bottom="950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000000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rial" w:hAnsi="Arial"/>
        <w:color w:val="000000"/>
        <w:sz w:val="16"/>
      </w:rPr>
      <w:t>ПМ1 · Занятие 05 · Сканирование и пересъёмка оригинала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Arial" w:hAnsi="Arial" w:eastAsia="Arial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160"/>
    </w:pPr>
    <w:rPr>
      <w:rFonts w:asciiTheme="majorHAnsi" w:eastAsiaTheme="majorEastAsia" w:hAnsiTheme="majorHAnsi" w:cstheme="majorBidi" w:ascii="Arial" w:hAnsi="Arial" w:eastAsia="Arial"/>
      <w:b w:val="0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Arial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 w:eastAsia="Arial"/>
      <w:color w:val="000000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