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МЕТОДИЧКА · ПМ1 · ЗАНЯТИЕ 47</w:t>
      </w:r>
    </w:p>
    <w:p>
      <w:pPr>
        <w:pStyle w:val="Subtitle"/>
      </w:pPr>
      <w:r>
        <w:t>Финальная студийная работа: QA, handoff и защита</w:t>
      </w:r>
    </w:p>
    <w:p>
      <w:pPr>
        <w:pStyle w:val="IntenseQuote"/>
      </w:pPr>
      <w:r>
        <w:t>Проверяем, передаём и объясняем полный комплект «Музея забытых вещей»</w:t>
      </w:r>
    </w:p>
    <w:p>
      <w:r>
        <w:t>Готовность доказывается действиями: открыть, отредактировать, экспортировать, понять, проследить происхождение и объяснить решение.</w:t>
      </w:r>
    </w:p>
    <w:p>
      <w:pPr>
        <w:pStyle w:val="Heading1"/>
      </w:pPr>
      <w:r>
        <w:t>1. Паспорт занятия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26313A"/>
          </w:tcPr>
          <w:p>
            <w:r>
              <w:rPr>
                <w:b/>
                <w:color w:val="FFFFFF"/>
              </w:rPr>
              <w:t>Параметр</w:t>
            </w:r>
          </w:p>
        </w:tc>
        <w:tc>
          <w:tcPr>
            <w:tcW w:type="dxa" w:w="5141"/>
            <w:shd w:fill="26313A"/>
          </w:tcPr>
          <w:p>
            <w:r>
              <w:rPr>
                <w:b/>
                <w:color w:val="FFFFFF"/>
              </w:rPr>
              <w:t>Содержание</w:t>
            </w:r>
          </w:p>
        </w:tc>
      </w:tr>
      <w:tr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Профессиональный модуль</w:t>
            </w:r>
          </w:p>
        </w:tc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ПМ1 · Сканирование и обработка графической информации</w:t>
            </w:r>
          </w:p>
        </w:tc>
      </w:tr>
      <w:tr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Результат обучения</w:t>
            </w:r>
          </w:p>
        </w:tc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РО 1.1 · Работа с растровой и векторной графикой в производственном web-процессе</w:t>
            </w:r>
          </w:p>
        </w:tc>
      </w:tr>
      <w:tr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Продолжительность</w:t>
            </w:r>
          </w:p>
        </w:tc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60 минут</w:t>
            </w:r>
          </w:p>
        </w:tc>
      </w:tr>
      <w:tr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Формат</w:t>
            </w:r>
          </w:p>
        </w:tc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Показ преподавателя → практика → внешняя проверка → обязательная итерация</w:t>
            </w:r>
          </w:p>
        </w:tc>
      </w:tr>
      <w:tr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Главный проект</w:t>
            </w:r>
          </w:p>
        </w:tc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Промо-страница «Музей забытых вещей»</w:t>
            </w:r>
          </w:p>
        </w:tc>
      </w:tr>
      <w:tr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Наблюдаемый артефакт</w:t>
            </w:r>
          </w:p>
        </w:tc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Финальная папка с AI/PSD masters, SVG/PNG/JPG exports, Figma desktop/mobile, preview, README, SOURCES, alt_texts и revision note; независимое открытие и 90-секундная защита.</w:t>
            </w:r>
          </w:p>
        </w:tc>
      </w:tr>
    </w:tbl>
    <w:p/>
    <w:p>
      <w:pPr>
        <w:pStyle w:val="Heading1"/>
      </w:pPr>
      <w:r>
        <w:t>2. Цель занятия</w:t>
      </w:r>
    </w:p>
    <w:p>
      <w:r>
        <w:t>Собрать полный учебный production package РО 1.1 и подтвердить его целостность, редактируемость, воспроизводимость, происхождение и передаваемость.</w:t>
      </w:r>
    </w:p>
    <w:p>
      <w:pPr>
        <w:pStyle w:val="Heading1"/>
      </w:pPr>
      <w:r>
        <w:t>3. Планируемый результат</w:t>
      </w:r>
    </w:p>
    <w:p>
      <w:r>
        <w:t>Финальная папка с AI/PSD masters, SVG/PNG/JPG exports, Figma desktop/mobile, preview, README, SOURCES, alt_texts и revision note; независимое открытие и 90-секундная защита.</w:t>
      </w:r>
    </w:p>
    <w:p>
      <w:pPr>
        <w:pStyle w:val="Heading1"/>
      </w:pPr>
      <w:r>
        <w:t>4. Термины и рабочие определения</w:t>
      </w:r>
    </w:p>
    <w:p>
      <w:r>
        <w:rPr>
          <w:b/>
        </w:rPr>
        <w:t xml:space="preserve">QA. </w:t>
      </w:r>
      <w:r>
        <w:t>Проверка фактической готовности файлов и связей между ними.</w:t>
      </w:r>
    </w:p>
    <w:p>
      <w:r>
        <w:rPr>
          <w:b/>
        </w:rPr>
        <w:t xml:space="preserve">Reproducibility. </w:t>
      </w:r>
      <w:r>
        <w:t>Возможность повторно получить export из master.</w:t>
      </w:r>
    </w:p>
    <w:p>
      <w:r>
        <w:rPr>
          <w:b/>
        </w:rPr>
        <w:t xml:space="preserve">Traceability. </w:t>
      </w:r>
      <w:r>
        <w:t>Возможность проследить происхождение и назначение материала.</w:t>
      </w:r>
    </w:p>
    <w:p>
      <w:r>
        <w:rPr>
          <w:b/>
        </w:rPr>
        <w:t xml:space="preserve">Revision note. </w:t>
      </w:r>
      <w:r>
        <w:t>Короткая запись проблемы, изменения и результата.</w:t>
      </w:r>
    </w:p>
    <w:p>
      <w:r>
        <w:rPr>
          <w:b/>
        </w:rPr>
        <w:t xml:space="preserve">Lightning defense. </w:t>
      </w:r>
      <w:r>
        <w:t>Короткая защита: задача, решение, evidence, исправление, готовность к передаче.</w:t>
      </w:r>
    </w:p>
    <w:p>
      <w:pPr>
        <w:pStyle w:val="Heading1"/>
      </w:pPr>
      <w:r>
        <w:t>5. Подготовка преподавателя</w:t>
      </w:r>
    </w:p>
    <w:p>
      <w:pPr>
        <w:pStyle w:val="ListBullet"/>
      </w:pPr>
      <w:r>
        <w:t>Подготовить финальный чек-лист: Figma, Illustrator, Photoshop, assets, provenance, alt, handoff, iteration.</w:t>
      </w:r>
    </w:p>
    <w:p>
      <w:pPr>
        <w:pStyle w:val="ListBullet"/>
      </w:pPr>
      <w:r>
        <w:t>Собрать демонстрационный пакет с одним намеренным дефектом.</w:t>
      </w:r>
    </w:p>
    <w:p>
      <w:pPr>
        <w:pStyle w:val="ListBullet"/>
      </w:pPr>
      <w:r>
        <w:t>Организовать независимое открытие комплектов соседями.</w:t>
      </w:r>
    </w:p>
    <w:p>
      <w:pPr>
        <w:pStyle w:val="ListBullet"/>
      </w:pPr>
      <w:r>
        <w:t>Подготовить таймер 90 секунд и порядок двух-четырёх показательных защит.</w:t>
      </w:r>
    </w:p>
    <w:p>
      <w:pPr>
        <w:pStyle w:val="Heading1"/>
      </w:pPr>
      <w:r>
        <w:t>6. Сценарий на 60 минут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26313A"/>
          </w:tcPr>
          <w:p>
            <w:r>
              <w:rPr>
                <w:b/>
                <w:color w:val="FFFFFF"/>
              </w:rPr>
              <w:t>Время</w:t>
            </w:r>
          </w:p>
        </w:tc>
        <w:tc>
          <w:tcPr>
            <w:tcW w:type="dxa" w:w="3427"/>
            <w:shd w:fill="26313A"/>
          </w:tcPr>
          <w:p>
            <w:r>
              <w:rPr>
                <w:b/>
                <w:color w:val="FFFFFF"/>
              </w:rPr>
              <w:t>Этап</w:t>
            </w:r>
          </w:p>
        </w:tc>
        <w:tc>
          <w:tcPr>
            <w:tcW w:type="dxa" w:w="3427"/>
            <w:shd w:fill="26313A"/>
          </w:tcPr>
          <w:p>
            <w:r>
              <w:rPr>
                <w:b/>
                <w:color w:val="FFFFFF"/>
              </w:rPr>
              <w:t>Действие и проверяемый результат</w:t>
            </w:r>
          </w:p>
        </w:tc>
      </w:tr>
      <w:tr>
        <w:tc>
          <w:tcPr>
            <w:tcW w:type="dxa" w:w="3427"/>
          </w:tcPr>
          <w:p>
            <w:r>
              <w:rPr>
                <w:rFonts w:ascii="Arial" w:hAnsi="Arial"/>
                <w:sz w:val="20"/>
              </w:rPr>
              <w:t>0–5</w:t>
            </w:r>
          </w:p>
        </w:tc>
        <w:tc>
          <w:tcPr>
            <w:tcW w:type="dxa" w:w="3427"/>
          </w:tcPr>
          <w:p>
            <w:r>
              <w:rPr>
                <w:rFonts w:ascii="Arial" w:hAnsi="Arial"/>
                <w:sz w:val="20"/>
              </w:rPr>
              <w:t>Финальный brief</w:t>
            </w:r>
          </w:p>
        </w:tc>
        <w:tc>
          <w:tcPr>
            <w:tcW w:type="dxa" w:w="3427"/>
          </w:tcPr>
          <w:p>
            <w:r>
              <w:rPr>
                <w:rFonts w:ascii="Arial" w:hAnsi="Arial"/>
                <w:sz w:val="20"/>
              </w:rPr>
              <w:t>Объяснить, что новые эффекты не добавляются: проверяется уже созданный комплект.</w:t>
            </w:r>
          </w:p>
        </w:tc>
      </w:tr>
      <w:tr>
        <w:tc>
          <w:tcPr>
            <w:tcW w:type="dxa" w:w="3427"/>
          </w:tcPr>
          <w:p>
            <w:r>
              <w:rPr>
                <w:rFonts w:ascii="Arial" w:hAnsi="Arial"/>
                <w:sz w:val="20"/>
              </w:rPr>
              <w:t>5–10</w:t>
            </w:r>
          </w:p>
        </w:tc>
        <w:tc>
          <w:tcPr>
            <w:tcW w:type="dxa" w:w="3427"/>
          </w:tcPr>
          <w:p>
            <w:r>
              <w:rPr>
                <w:rFonts w:ascii="Arial" w:hAnsi="Arial"/>
                <w:sz w:val="20"/>
              </w:rPr>
              <w:t>Показ преподавателя</w:t>
            </w:r>
          </w:p>
        </w:tc>
        <w:tc>
          <w:tcPr>
            <w:tcW w:type="dxa" w:w="3427"/>
          </w:tcPr>
          <w:p>
            <w:r>
              <w:rPr>
                <w:rFonts w:ascii="Arial" w:hAnsi="Arial"/>
                <w:sz w:val="20"/>
              </w:rPr>
              <w:t>Открыть AI, PSD, SVG, raster и Figma; проверить редактируемость и повторный export.</w:t>
            </w:r>
          </w:p>
        </w:tc>
      </w:tr>
      <w:tr>
        <w:tc>
          <w:tcPr>
            <w:tcW w:type="dxa" w:w="3427"/>
          </w:tcPr>
          <w:p>
            <w:r>
              <w:rPr>
                <w:rFonts w:ascii="Arial" w:hAnsi="Arial"/>
                <w:sz w:val="20"/>
              </w:rPr>
              <w:t>10–38</w:t>
            </w:r>
          </w:p>
        </w:tc>
        <w:tc>
          <w:tcPr>
            <w:tcW w:type="dxa" w:w="3427"/>
          </w:tcPr>
          <w:p>
            <w:r>
              <w:rPr>
                <w:rFonts w:ascii="Arial" w:hAnsi="Arial"/>
                <w:sz w:val="20"/>
              </w:rPr>
              <w:t>Самостоятельный QA</w:t>
            </w:r>
          </w:p>
        </w:tc>
        <w:tc>
          <w:tcPr>
            <w:tcW w:type="dxa" w:w="3427"/>
          </w:tcPr>
          <w:p>
            <w:r>
              <w:rPr>
                <w:rFonts w:ascii="Arial" w:hAnsi="Arial"/>
                <w:sz w:val="20"/>
              </w:rPr>
              <w:t>Студент проходит чек-лист и завершает упаковку.</w:t>
            </w:r>
          </w:p>
        </w:tc>
      </w:tr>
      <w:tr>
        <w:tc>
          <w:tcPr>
            <w:tcW w:type="dxa" w:w="3427"/>
          </w:tcPr>
          <w:p>
            <w:r>
              <w:rPr>
                <w:rFonts w:ascii="Arial" w:hAnsi="Arial"/>
                <w:sz w:val="20"/>
              </w:rPr>
              <w:t>38–46</w:t>
            </w:r>
          </w:p>
        </w:tc>
        <w:tc>
          <w:tcPr>
            <w:tcW w:type="dxa" w:w="3427"/>
          </w:tcPr>
          <w:p>
            <w:r>
              <w:rPr>
                <w:rFonts w:ascii="Arial" w:hAnsi="Arial"/>
                <w:sz w:val="20"/>
              </w:rPr>
              <w:t>Независимое открытие</w:t>
            </w:r>
          </w:p>
        </w:tc>
        <w:tc>
          <w:tcPr>
            <w:tcW w:type="dxa" w:w="3427"/>
          </w:tcPr>
          <w:p>
            <w:r>
              <w:rPr>
                <w:rFonts w:ascii="Arial" w:hAnsi="Arial"/>
                <w:sz w:val="20"/>
              </w:rPr>
              <w:t>Сосед получает комплект и выполняет маршрут без автора.</w:t>
            </w:r>
          </w:p>
        </w:tc>
      </w:tr>
      <w:tr>
        <w:tc>
          <w:tcPr>
            <w:tcW w:type="dxa" w:w="3427"/>
          </w:tcPr>
          <w:p>
            <w:r>
              <w:rPr>
                <w:rFonts w:ascii="Arial" w:hAnsi="Arial"/>
                <w:sz w:val="20"/>
              </w:rPr>
              <w:t>46–51</w:t>
            </w:r>
          </w:p>
        </w:tc>
        <w:tc>
          <w:tcPr>
            <w:tcW w:type="dxa" w:w="3427"/>
          </w:tcPr>
          <w:p>
            <w:r>
              <w:rPr>
                <w:rFonts w:ascii="Arial" w:hAnsi="Arial"/>
                <w:sz w:val="20"/>
              </w:rPr>
              <w:t>Обязательное исправление</w:t>
            </w:r>
          </w:p>
        </w:tc>
        <w:tc>
          <w:tcPr>
            <w:tcW w:type="dxa" w:w="3427"/>
          </w:tcPr>
          <w:p>
            <w:r>
              <w:rPr>
                <w:rFonts w:ascii="Arial" w:hAnsi="Arial"/>
                <w:sz w:val="20"/>
              </w:rPr>
              <w:t>Устранить один найденный дефект файла, версии, источника или описания.</w:t>
            </w:r>
          </w:p>
        </w:tc>
      </w:tr>
      <w:tr>
        <w:tc>
          <w:tcPr>
            <w:tcW w:type="dxa" w:w="3427"/>
          </w:tcPr>
          <w:p>
            <w:r>
              <w:rPr>
                <w:rFonts w:ascii="Arial" w:hAnsi="Arial"/>
                <w:sz w:val="20"/>
              </w:rPr>
              <w:t>51–60</w:t>
            </w:r>
          </w:p>
        </w:tc>
        <w:tc>
          <w:tcPr>
            <w:tcW w:type="dxa" w:w="3427"/>
          </w:tcPr>
          <w:p>
            <w:r>
              <w:rPr>
                <w:rFonts w:ascii="Arial" w:hAnsi="Arial"/>
                <w:sz w:val="20"/>
              </w:rPr>
              <w:t>Lightning defense</w:t>
            </w:r>
          </w:p>
        </w:tc>
        <w:tc>
          <w:tcPr>
            <w:tcW w:type="dxa" w:w="3427"/>
          </w:tcPr>
          <w:p>
            <w:r>
              <w:rPr>
                <w:rFonts w:ascii="Arial" w:hAnsi="Arial"/>
                <w:sz w:val="20"/>
              </w:rPr>
              <w:t>Две-четыре защиты по 90 секунд и общий разбор критериев.</w:t>
            </w:r>
          </w:p>
        </w:tc>
      </w:tr>
    </w:tbl>
    <w:p/>
    <w:p>
      <w:pPr>
        <w:pStyle w:val="Heading1"/>
      </w:pPr>
      <w:r>
        <w:t>7. Подробный ход занятия</w:t>
      </w:r>
    </w:p>
    <w:p>
      <w:pPr>
        <w:pStyle w:val="Heading2"/>
      </w:pPr>
      <w:r>
        <w:t>Финальный brief</w:t>
      </w:r>
    </w:p>
    <w:p>
      <w:r>
        <w:t>Запретите добавлять новые декоративные эффекты. Последнее занятие посвящено качеству, доказательствам и передаче.</w:t>
      </w:r>
    </w:p>
    <w:p>
      <w:pPr>
        <w:pStyle w:val="Heading2"/>
      </w:pPr>
      <w:r>
        <w:t>Показ преподавателя</w:t>
      </w:r>
    </w:p>
    <w:p>
      <w:r>
        <w:t>Откройте каждый тип master и export. Убедитесь, что AI остаётся векторным, PSD содержит обратимые слои, SVG не растрирован, а Figma имеет ясные desktop/mobile Frames.</w:t>
      </w:r>
    </w:p>
    <w:p>
      <w:pPr>
        <w:pStyle w:val="Heading2"/>
      </w:pPr>
      <w:r>
        <w:t>Самостоятельный QA</w:t>
      </w:r>
    </w:p>
    <w:p>
      <w:r>
        <w:t>Студент проходит восемь блоков: Figma, Illustrator, Photoshop, assets, SOURCES, alt_texts, handoff, iteration. Отметка ставится только после фактического открытия файла.</w:t>
      </w:r>
    </w:p>
    <w:p>
      <w:pPr>
        <w:pStyle w:val="Heading2"/>
      </w:pPr>
      <w:r>
        <w:t>Независимое открытие</w:t>
      </w:r>
    </w:p>
    <w:p>
      <w:r>
        <w:t>Получатель ищет актуальный Figma, master предмета, export для web, preview и происхождение. Автор наблюдает и записывает места неоднозначности.</w:t>
      </w:r>
    </w:p>
    <w:p>
      <w:pPr>
        <w:pStyle w:val="Heading2"/>
      </w:pPr>
      <w:r>
        <w:t>Обязательное исправление</w:t>
      </w:r>
    </w:p>
    <w:p>
      <w:r>
        <w:t>Исправьте один дефект, который мешал открыть, понять или продолжить проект. Сохраните короткий revision note.</w:t>
      </w:r>
    </w:p>
    <w:p>
      <w:pPr>
        <w:pStyle w:val="Heading2"/>
      </w:pPr>
      <w:r>
        <w:t>90-секундная защита</w:t>
      </w:r>
    </w:p>
    <w:p>
      <w:r>
        <w:t>Структура: задача → главное визуальное решение → evidence внешней проверки → исправление → готовность к handoff. Перечень кнопок программы не считается аргументацией.</w:t>
      </w:r>
    </w:p>
    <w:p>
      <w:pPr>
        <w:pStyle w:val="Heading1"/>
      </w:pPr>
      <w:r>
        <w:t>8. Наглядные примеры</w:t>
      </w:r>
    </w:p>
    <w:p>
      <w:pPr>
        <w:pStyle w:val="ListNumber"/>
      </w:pPr>
      <w:r>
        <w:t>AI-master открывается и позволяет изменить форму; SVG повторно экспортируется и остаётся векторным.</w:t>
      </w:r>
    </w:p>
    <w:p>
      <w:pPr>
        <w:pStyle w:val="ListNumber"/>
      </w:pPr>
      <w:r>
        <w:t>PSD содержит отдельные объект, свет, тень и фон; web-export соответствует назначенному контейнеру.</w:t>
      </w:r>
    </w:p>
    <w:p>
      <w:pPr>
        <w:pStyle w:val="ListNumber"/>
      </w:pPr>
      <w:r>
        <w:t>Получатель без автора находит актуальную Figma, desktop/mobile, SOURCES и revision note.</w:t>
      </w:r>
    </w:p>
    <w:p>
      <w:pPr>
        <w:pStyle w:val="Heading1"/>
      </w:pPr>
      <w:r>
        <w:t>9. Типичные ошибки и реакция преподавателя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26313A"/>
          </w:tcPr>
          <w:p>
            <w:r>
              <w:rPr>
                <w:b/>
                <w:color w:val="FFFFFF"/>
              </w:rPr>
              <w:t>Наблюдаемая ошибка</w:t>
            </w:r>
          </w:p>
        </w:tc>
        <w:tc>
          <w:tcPr>
            <w:tcW w:type="dxa" w:w="5141"/>
            <w:shd w:fill="26313A"/>
          </w:tcPr>
          <w:p>
            <w:r>
              <w:rPr>
                <w:b/>
                <w:color w:val="FFFFFF"/>
              </w:rPr>
              <w:t>Действие преподавателя</w:t>
            </w:r>
          </w:p>
        </w:tc>
      </w:tr>
      <w:tr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Есть только preview</w:t>
            </w:r>
          </w:p>
        </w:tc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Вернуть masters и рабочий Figma-файл в комплект.</w:t>
            </w:r>
          </w:p>
        </w:tc>
      </w:tr>
      <w:tr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SVG фактически оказался PNG</w:t>
            </w:r>
          </w:p>
        </w:tc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Открыть файл и проверить векторные свойства, затем повторно экспортировать.</w:t>
            </w:r>
          </w:p>
        </w:tc>
      </w:tr>
      <w:tr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PSD слит в плоский JPG</w:t>
            </w:r>
          </w:p>
        </w:tc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Восстановить редактируемый master или честно зафиксировать ограничение.</w:t>
            </w:r>
          </w:p>
        </w:tc>
      </w:tr>
      <w:tr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Две версии выглядят актуальными</w:t>
            </w:r>
          </w:p>
        </w:tc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Определить текущую, архивировать предыдущую и обновить README.</w:t>
            </w:r>
          </w:p>
        </w:tc>
      </w:tr>
      <w:tr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Защита перечисляет процесс</w:t>
            </w:r>
          </w:p>
        </w:tc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Перестроить речь вокруг решения, evidence и изменения.</w:t>
            </w:r>
          </w:p>
        </w:tc>
      </w:tr>
    </w:tbl>
    <w:p/>
    <w:p>
      <w:pPr>
        <w:pStyle w:val="Heading1"/>
      </w:pPr>
      <w:r>
        <w:t>10. Диагностические вопросы</w:t>
      </w:r>
    </w:p>
    <w:p>
      <w:pPr>
        <w:pStyle w:val="ListBullet"/>
      </w:pPr>
      <w:r>
        <w:t>Можно ли открыть и отредактировать каждый master?</w:t>
      </w:r>
    </w:p>
    <w:p>
      <w:pPr>
        <w:pStyle w:val="ListBullet"/>
      </w:pPr>
      <w:r>
        <w:t>Можно ли повторно получить exports и понять их назначение?</w:t>
      </w:r>
    </w:p>
    <w:p>
      <w:pPr>
        <w:pStyle w:val="ListBullet"/>
      </w:pPr>
      <w:r>
        <w:t>Прослеживается ли происхождение каждого неочевидного материала?</w:t>
      </w:r>
    </w:p>
    <w:p>
      <w:pPr>
        <w:pStyle w:val="ListBullet"/>
      </w:pPr>
      <w:r>
        <w:t>Сможет ли другой человек продолжить проект без автора?</w:t>
      </w:r>
    </w:p>
    <w:p>
      <w:pPr>
        <w:pStyle w:val="ListBullet"/>
      </w:pPr>
      <w:r>
        <w:t>Какое улучшение после внешней проверки доказано before/after или revision note?</w:t>
      </w:r>
    </w:p>
    <w:p>
      <w:pPr>
        <w:pStyle w:val="Heading1"/>
      </w:pPr>
      <w:r>
        <w:t>11. Критерии завершения</w:t>
      </w:r>
    </w:p>
    <w:p>
      <w:pPr>
        <w:pStyle w:val="ListBullet"/>
      </w:pPr>
      <w:r>
        <w:t>Целостность: комплект содержит все обязательные части.</w:t>
      </w:r>
    </w:p>
    <w:p>
      <w:pPr>
        <w:pStyle w:val="ListBullet"/>
      </w:pPr>
      <w:r>
        <w:t>Редактируемость: AI, PSD и Figma фактически открываются.</w:t>
      </w:r>
    </w:p>
    <w:p>
      <w:pPr>
        <w:pStyle w:val="ListBullet"/>
      </w:pPr>
      <w:r>
        <w:t>Воспроизводимость: exports можно получить повторно.</w:t>
      </w:r>
    </w:p>
    <w:p>
      <w:pPr>
        <w:pStyle w:val="ListBullet"/>
      </w:pPr>
      <w:r>
        <w:t>Происхождение и alt-тексты задокументированы.</w:t>
      </w:r>
    </w:p>
    <w:p>
      <w:pPr>
        <w:pStyle w:val="ListBullet"/>
      </w:pPr>
      <w:r>
        <w:t>Передаваемость подтверждена независимым тестом.</w:t>
      </w:r>
    </w:p>
    <w:p>
      <w:pPr>
        <w:pStyle w:val="ListBullet"/>
      </w:pPr>
      <w:r>
        <w:t>Аргументация охватывает решения Figma, Photoshop и Illustrator.</w:t>
      </w:r>
    </w:p>
    <w:p>
      <w:pPr>
        <w:pStyle w:val="ListBullet"/>
      </w:pPr>
      <w:r>
        <w:t>Есть одно доказуемое улучшение после внешней проверки.</w:t>
      </w:r>
    </w:p>
    <w:p>
      <w:pPr>
        <w:pStyle w:val="IntenseQuote"/>
      </w:pPr>
      <w:r>
        <w:t>Мини-защита: студент показывает артефакт, называет одну причину решения, предъявляет внешнее наблюдение и демонстрирует изменение после проверки.</w:t>
      </w:r>
    </w:p>
    <w:p>
      <w:pPr>
        <w:pStyle w:val="Heading1"/>
      </w:pPr>
      <w:r>
        <w:t>12. Резервный сценарий и переход</w:t>
      </w:r>
    </w:p>
    <w:p>
      <w:pPr>
        <w:pStyle w:val="Heading2"/>
      </w:pPr>
      <w:r>
        <w:t>Резервный сценарий</w:t>
      </w:r>
    </w:p>
    <w:p>
      <w:r>
        <w:t>Если часть программ недоступна, студент предъявляет masters и exports на другом устройстве или через заранее подготовленные preview, но преподаватель отдельно фиксирует, какие действия редактирования и повторного экспорта остались непроверенными.</w:t>
      </w:r>
    </w:p>
    <w:p>
      <w:pPr>
        <w:pStyle w:val="Heading2"/>
      </w:pPr>
      <w:r>
        <w:t>Переход к следующему занятию</w:t>
      </w:r>
    </w:p>
    <w:p>
      <w:r>
        <w:t>РО 1.1 завершён полным производственным циклом. П048 начинает РО 1.2: визуальная грамматика и осознанное управление тем, как форма, цвет, контраст и композиция направляют чтение.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50" w:right="979" w:bottom="950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00000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t>ПМ1 · Занятие 42 · Illustrator: Web Illustration Pack — export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60"/>
    </w:pPr>
    <w:rPr>
      <w:rFonts w:asciiTheme="majorHAnsi" w:eastAsiaTheme="majorEastAsia" w:hAnsiTheme="majorHAnsi" w:cstheme="majorBidi" w:ascii="Arial" w:hAnsi="Arial" w:eastAsia="Arial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