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GROCERYCLAW</w:t>
      </w:r>
    </w:p>
    <w:p>
      <w:pPr>
        <w:spacing w:after="10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Deployment Readiness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0.1.0-rc.1  |  March 6, 2026</w:t>
      </w:r>
    </w:p>
    <w:p>
      <w:pPr>
        <w:pBdr>
          <w:bottom w:val="single" w:color="1B3A5C" w:sz="6" w:space="1"/>
        </w:pBdr>
        <w:spacing w:after="400"/>
      </w:pPr>
    </w:p>
    <w:p>
      <w:pPr>
        <w:pStyle w:val="Heading1"/>
      </w:pPr>
      <w:r>
        <w:t xml:space="preserve">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3"/>
              <w:left w:val="single" w:color="28A745" w:sz="3"/>
              <w:bottom w:val="single" w:color="28A745" w:sz="3"/>
              <w:right w:val="single" w:color="28A745" w:sz="3"/>
            </w:tcBorders>
            <w:shd w:fill="D4ED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36"/>
                <w:szCs w:val="36"/>
              </w:rPr>
              <w:t xml:space="preserve">READY FOR STAGING ONLY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code-level gates pass. Docker runtime verification pending (not available in audit environment).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Repository State Summary</w:t>
      </w:r>
    </w:p>
    <w:p>
      <w:pPr>
        <w:spacing w:after="100"/>
      </w:pPr>
      <w:r>
        <w:t xml:space="preserve">GroceryClaw is a multi-tenant SaaS platform built on Node.js 20+, PostgreSQL 16, and Redis 7. The V2 architecture comprises three services (gateway, admin, worker) with a shared common package, 10 database migrations with RLS enforcement, and comprehensive test coverage (104 tests). The codebase uses a monorepo workspace structure with TypeScript compilation, BullMQ for job queuing, and Docker Compose for local development.</w:t>
      </w:r>
    </w:p>
    <w:p>
      <w:pPr>
        <w:spacing w:after="200"/>
      </w:pPr>
      <w:r>
        <w:t xml:space="preserve">This audit found and fixed 5 distinct issues preventing deployment readiness. All code-level verification gates now pass. Full Docker runtime verification requires an environment with Docker installed.</w:t>
      </w:r>
    </w:p>
    <w:p>
      <w:pPr>
        <w:pStyle w:val="Heading1"/>
      </w:pPr>
      <w:r>
        <w:t xml:space="preserve">2. Issues Discovered and Fixed</w:t>
      </w:r>
    </w:p>
    <w:p>
      <w:pPr>
        <w:pStyle w:val="Heading2"/>
      </w:pPr>
      <w:r>
        <w:t xml:space="preserve">Issue 1: Missing TypeScript Imports (Build Blocker)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packages/common/src/bullmq-lite.ts imported execSync but not spawnSync from node:child_process. The types-node-compat.d.ts declared spawnSync but not execSync.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Added spawnSync to the import statement and execSync to the type declarations.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Files: </w:t>
      </w:r>
      <w:r>
        <w:t xml:space="preserve">packages/common/src/bullmq-lite.ts, types-node-compat.d.ts</w:t>
      </w:r>
    </w:p>
    <w:p>
      <w:pPr>
        <w:pStyle w:val="Heading2"/>
      </w:pPr>
      <w:r>
        <w:t xml:space="preserve">Issue 2: Gateway Notification Template Field Missing (Test Failure)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The gateway enqueueNotify function mapped template names to notification_type but did not include the original template name in the job payload. Tests expected lines[0].template to exist.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Added template field to the enqueue payload alongside notification_type for auditability.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File: </w:t>
      </w:r>
      <w:r>
        <w:t xml:space="preserve">apps/gateway/src/server.ts</w:t>
      </w:r>
    </w:p>
    <w:p>
      <w:pPr>
        <w:pStyle w:val="Heading2"/>
      </w:pPr>
      <w:r>
        <w:t xml:space="preserve">Issue 3: Metrics Port Collision (EADDRINUSE in Tests)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Gateway and admin servers start a Prometheus metrics server on hardcoded default ports (9100/9101). Tests spawning multiple server instances collided on these ports.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Assigned unique GATEWAY_METRICS_PORT and ADMIN_METRICS_PORT environment variables to every test that spawns a server process.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Files: </w:t>
      </w:r>
      <w:r>
        <w:t xml:space="preserve">tests/v2/gateway-webhook.test.mjs, tests/v2/apps.test.mjs, tests/v2/admin-auth.test.mjs, tests/v2/admin-endpoints.test.mjs, tests/v2/admin-secrets.test.mjs, tests/v2/canary-rollout.test.mjs</w:t>
      </w:r>
    </w:p>
    <w:p>
      <w:pPr>
        <w:pStyle w:val="Heading2"/>
      </w:pPr>
      <w:r>
        <w:t xml:space="preserve">Issue 4: CRLF Line Endings (Format Check Failure)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All source files had Windows CRLF line endings (\r\n), causing the format checker to report trailing whitespace on every line of 161 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Converted all source files (*.ts, *.mjs, *.js, *.json, *.yml, *.md, *.sh, *.sql) to Unix LF line endings.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Scope: </w:t>
      </w:r>
      <w:r>
        <w:t xml:space="preserve">161 files across the entire repository</w:t>
      </w:r>
    </w:p>
    <w:p>
      <w:pPr>
        <w:pStyle w:val="Heading2"/>
      </w:pPr>
      <w:r>
        <w:t xml:space="preserve">Issue 5: Worker Error Swallowing (Operational Safety)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The BullMQ worker caught generic job errors (PROCESS_INBOUND_EVENT, MAP_RESOLVE, KIOTVIET_SYNC) but did not re-throw them. This silently swallowed failures, preventing BullMQ retry logic and DLQ placement.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Added throw error after logging in the generic catch block so BullMQ can handle retries and dead-letter routing.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File: </w:t>
      </w:r>
      <w:r>
        <w:t xml:space="preserve">apps/worker/src/index.ts</w:t>
      </w:r>
    </w:p>
    <w:p>
      <w:pPr>
        <w:pStyle w:val="Heading2"/>
      </w:pPr>
      <w:r>
        <w:t xml:space="preserve">Issue 6: Configuration Misalignment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BULLMQ_QUEUE_NAME was 'main' in .env but 'process-inbound' in .env.example. GATEWAY_HOST_PORT was missing from .env.example despite being referenced in docker-compose.yml.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Fix: </w:t>
      </w:r>
      <w:r>
        <w:t xml:space="preserve">Aligned .env BULLMQ_QUEUE_NAME to 'process-inbound'. Added GATEWAY_HOST_PORT=8081 to .env.example.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Files: </w:t>
      </w:r>
      <w:r>
        <w:t xml:space="preserve">infra/compose/v2/.env, infra/compose/v2/.env.example</w:t>
      </w:r>
    </w:p>
    <w:p>
      <w:r>
        <w:br w:type="page"/>
      </w:r>
    </w:p>
    <w:p>
      <w:pPr>
        <w:pStyle w:val="Heading1"/>
      </w:pPr>
      <w:r>
        <w:t xml:space="preserve">3. Final Status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Runtime (Docker)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N/A (no Docker)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not available in audit VM; code-level audit performed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V2 migrations fully idempotent with tracking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/healthz and /readyz verified via unit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Mode1 HMAC-SHA256 + mode2 token verified in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BULLMQ_QUEUE_NAME aligned; template field added to job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Smoke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N/A (no Docker)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script verified correct; requires Docker compose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 Typecheck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spawnSync/execSync imports and type declarations 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files pass custom lint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 files had CRLF line endings; converted to 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(104 total)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 pass, 13 skip (need real DB). Fixed 3 failures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Restart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idempotent; schema_migrations_v2 tracks checksums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Hygiene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BULLMQ_QUEUE_NAME, GATEWAY_HOST_PORT aligned in .env.example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COMPLIANT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gateway exposed; postgres/redis/admin/worker private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FIXED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error swallowing bug fixed; errors now re-thrown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Backup/Restore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GOOD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scripts have --yes guard, post-restore integrity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GOOD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replay dry-run safe; rollback script functional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Verification Evidence</w:t>
      </w:r>
    </w:p>
    <w:p>
      <w:pPr>
        <w:pStyle w:val="Heading2"/>
      </w:pPr>
      <w:r>
        <w:t xml:space="preserve">Final Gate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typecheck: </w:t>
      </w:r>
      <w:r>
        <w:t xml:space="preserve">PASS (zero errors)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lint: </w:t>
      </w:r>
      <w:r>
        <w:t xml:space="preserve">PASS (36 files clean)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format-check: </w:t>
      </w:r>
      <w:r>
        <w:t xml:space="preserve">PASS (161 files clean after CRLF fix)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npm run test: </w:t>
      </w:r>
      <w:r>
        <w:t xml:space="preserve">104 tests, 91 pass, 0 fail, 13 skip (require real DB)</w:t>
      </w:r>
    </w:p>
    <w:p>
      <w:pPr>
        <w:pStyle w:val="Heading2"/>
      </w:pPr>
      <w:r>
        <w:t xml:space="preserve">Network Exposure Verification</w:t>
      </w:r>
    </w:p>
    <w:p>
      <w:pPr>
        <w:spacing w:after="200"/>
      </w:pPr>
      <w:r>
        <w:t xml:space="preserve">Verified in docker-compose.yml: only the gateway service has a ports: mapping (8081:8080). PostgreSQL, Redis, admin, and worker have no host port exposure. All services communicate exclusively through the v2_private bridge network. Admin is bound to 127.0.0.1 (loopback only).</w:t>
      </w:r>
    </w:p>
    <w:p>
      <w:pPr>
        <w:pStyle w:val="Heading2"/>
      </w:pPr>
      <w:r>
        <w:t xml:space="preserve">Migration Idempotence</w:t>
      </w:r>
    </w:p>
    <w:p>
      <w:pPr>
        <w:spacing w:after="200"/>
      </w:pPr>
      <w:r>
        <w:t xml:space="preserve">All 10 V2 migrations use idempotent patterns: CREATE TABLE IF NOT EXISTS, CREATE OR REPLACE FUNCTION, DROP POLICY IF EXISTS, ALTER TABLE ADD COLUMN IF NOT EXISTS. The schema_migrations_v2 tracking table with SHA-256 checksums prevents reapplication and detects drift.</w:t>
      </w:r>
    </w:p>
    <w:p>
      <w:pPr>
        <w:pStyle w:val="Heading1"/>
      </w:pPr>
      <w:r>
        <w:t xml:space="preserve">5. Recommendations Before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full Docker smoke test: </w:t>
      </w:r>
      <w:r>
        <w:t xml:space="preserve">Execute make v2-up, npm run db:v2:migrate, and make v2-smoke in an environment with Docker to verify the complete pipeline end-to-end.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restart cycle test: </w:t>
      </w:r>
      <w:r>
        <w:t xml:space="preserve">Execute make v2-down followed by make v2-up and make v2-smoke twice to verify restart idempotence.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Replace development encryption keys: </w:t>
      </w:r>
      <w:r>
        <w:t xml:space="preserve">ADMIN_MEK_B64 and WORKER_MEK_B64 currently use placeholder values. Generate real 32-byte keys for staging/production.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READYZ_STRICT=true in staging: </w:t>
      </w:r>
      <w:r>
        <w:t xml:space="preserve">The .env has READYZ_STRICT=false for development convenience. Staging and production must use strict readiness checks.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Configure real OIDC provider: </w:t>
      </w:r>
      <w:r>
        <w:t xml:space="preserve">The admin OIDC issuer is set to https://issuer.example. Replace with a real identity provider before enabling admin in production.</w:t>
      </w:r>
    </w:p>
    <w:p>
      <w:pPr>
        <w:pBdr>
          <w:bottom w:val="single" w:color="1B3A5C" w:sz="6" w:space="1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Audit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GroceryClaw Deployment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2026-03-06T11:10:42.659Z</dcterms:created>
  <dcterms:modified xsi:type="dcterms:W3CDTF">2026-03-06T11:10:42.659Z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