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z w:val="20"/>
          <w:szCs w:val="20"/>
        </w:rPr>
        <w:t xml:space="preserve">ICF CAMBODIA — STAFF HUB</w:t>
      </w:r>
    </w:p>
    <w:p>
      <w:pPr>
        <w:spacing w:after="60"/>
      </w:pPr>
      <w:r>
        <w:rPr>
          <w:b/>
          <w:bCs/>
          <w:color w:val="1F2A44"/>
          <w:sz w:val="40"/>
          <w:szCs w:val="40"/>
        </w:rPr>
        <w:t xml:space="preserve">Scaling Roadmap</w:t>
      </w:r>
    </w:p>
    <w:p>
      <w:pPr>
        <w:spacing w:after="260"/>
      </w:pPr>
      <w:r>
        <w:rPr>
          <w:i/>
          <w:iCs/>
          <w:color w:val="6B7280"/>
          <w:sz w:val="20"/>
          <w:szCs w:val="20"/>
        </w:rPr>
        <w:t xml:space="preserve">From internal site to full staff system — July 2026</w:t>
      </w:r>
    </w:p>
    <w:p>
      <w:pPr>
        <w:pStyle w:val="Heading1"/>
        <w:spacing w:after="140" w:before="320"/>
      </w:pPr>
      <w:r>
        <w:rPr>
          <w:b/>
          <w:bCs/>
          <w:color w:val="1F2A44"/>
          <w:sz w:val="26"/>
          <w:szCs w:val="26"/>
        </w:rPr>
        <w:t xml:space="preserve">Where things stand today</w:t>
      </w:r>
    </w:p>
    <w:p>
      <w:pPr>
        <w:spacing w:after="160" w:line="276"/>
      </w:pPr>
      <w:r>
        <w:rPr>
          <w:color w:val="1F2937"/>
          <w:sz w:val="21"/>
          <w:szCs w:val="21"/>
        </w:rPr>
        <w:t xml:space="preserve">The Staff Hub is a static site on Netlify with real infrastructure already in place: Google login locked to @icf-cambodia.com accounts, an edge function guarding every page, a PWA shell for mobile, and a calendar proxy. That's a solid foundation most internal tools skip.</w:t>
      </w:r>
    </w:p>
    <w:p>
      <w:pPr>
        <w:spacing w:after="160" w:line="276"/>
      </w:pPr>
      <w:r>
        <w:rPr>
          <w:color w:val="1F2937"/>
          <w:sz w:val="21"/>
          <w:szCs w:val="21"/>
        </w:rPr>
        <w:t xml:space="preserve">The gap is content. Staff directory, announcements, and documents are static JSON and Excel files that get rebuilt and pushed to GitHub by hand whenever something changes. The site's own config already expects a live backend — /api/announcements, /api/staff, and /api/documents are wired up in netlify.toml — but the functions behind them were never built. A few department pages (Education, Family Care, IT) are still empty placeholders.</w:t>
      </w:r>
    </w:p>
    <w:p>
      <w:pPr>
        <w:spacing w:after="160" w:line="276"/>
      </w:pPr>
      <w:r>
        <w:rPr>
          <w:color w:val="1F2937"/>
          <w:sz w:val="21"/>
          <w:szCs w:val="21"/>
        </w:rPr>
        <w:t xml:space="preserve">In short: the shell is ready. What's missing is a real content layer, permissions beyond "is this an ICF email or not," and the workflows (leave requests, bookings, approvals) that turn a directory into a system.</w:t>
      </w:r>
    </w:p>
    <w:p>
      <w:pPr>
        <w:pStyle w:val="Heading1"/>
        <w:spacing w:after="140" w:before="320"/>
      </w:pPr>
      <w:r>
        <w:rPr>
          <w:b/>
          <w:bCs/>
          <w:color w:val="1F2A44"/>
          <w:sz w:val="26"/>
          <w:szCs w:val="26"/>
        </w:rPr>
        <w:t xml:space="preserve">The core bottleneck</w:t>
      </w:r>
    </w:p>
    <w:p>
      <w:pPr>
        <w:spacing w:after="160" w:line="276"/>
      </w:pPr>
      <w:r>
        <w:rPr>
          <w:color w:val="1F2937"/>
          <w:sz w:val="21"/>
          <w:szCs w:val="21"/>
        </w:rPr>
        <w:t xml:space="preserve">Every content update currently requires a developer to edit a file and push to git. That's fine for a v1 built by one person. It doesn't scale to HR, department leads, or comms updating things themselves — which is the whole point of a staff system. Fixing this is the highest-leverage move and should come before any new feature.</w:t>
      </w:r>
    </w:p>
    <w:p>
      <w:pPr>
        <w:pStyle w:val="Heading1"/>
        <w:spacing w:after="140" w:before="320"/>
      </w:pPr>
      <w:r>
        <w:rPr>
          <w:b/>
          <w:bCs/>
          <w:color w:val="1F2A44"/>
          <w:sz w:val="26"/>
          <w:szCs w:val="26"/>
        </w:rPr>
        <w:t xml:space="preserve">Roadmap</w:t>
      </w:r>
    </w:p>
    <w:p>
      <w:pPr>
        <w:pStyle w:val="Heading2"/>
        <w:spacing w:after="100" w:before="220"/>
      </w:pPr>
      <w:r>
        <w:rPr>
          <w:b/>
          <w:bCs/>
          <w:color w:val="2563EB"/>
          <w:sz w:val="22"/>
          <w:szCs w:val="22"/>
        </w:rPr>
        <w:t xml:space="preserve">Phase 1 — Make content editable without a developer</w:t>
      </w:r>
    </w:p>
    <w:tbl>
      <w:tblPr>
        <w:tblW w:type="dxa" w:w="10080"/>
        <w:tblBorders>
          <w:top w:val="single" w:color="D1D5DB" w:sz="2"/>
          <w:left w:val="single" w:color="D1D5DB" w:sz="2"/>
          <w:bottom w:val="single" w:color="D1D5DB" w:sz="2"/>
          <w:right w:val="single" w:color="D1D5DB" w:sz="2"/>
          <w:insideH w:val="single" w:color="E5E7EB" w:sz="2"/>
          <w:insideV w:val="single" w:color="E5E7EB" w:sz="2"/>
        </w:tblBorders>
      </w:tblPr>
      <w:tblGrid>
        <w:gridCol w:w="5242"/>
        <w:gridCol w:w="2419"/>
        <w:gridCol w:w="2419"/>
      </w:tblGrid>
      <w:tr>
        <w:trPr>
          <w:tblHeader/>
        </w:trPr>
        <w:tc>
          <w:tcPr>
            <w:tcW w:type="dxa" w:w="5242"/>
            <w:shd w:fill="1F2A44" w:val="clear"/>
            <w:tcMar>
              <w:top w:type="dxa" w:w="100"/>
              <w:left w:type="dxa" w:w="120"/>
              <w:bottom w:type="dxa" w:w="100"/>
              <w:right w:type="dxa" w:w="120"/>
            </w:tcMar>
            <w:vAlign w:val="center"/>
          </w:tcPr>
          <w:p>
            <w:r>
              <w:rPr>
                <w:b/>
                <w:bCs/>
                <w:color w:val="FFFFFF"/>
                <w:sz w:val="19"/>
                <w:szCs w:val="19"/>
              </w:rPr>
              <w:t xml:space="preserve">Action</w:t>
            </w:r>
          </w:p>
        </w:tc>
        <w:tc>
          <w:tcPr>
            <w:tcW w:type="dxa" w:w="2419"/>
            <w:shd w:fill="1F2A44" w:val="clear"/>
            <w:tcMar>
              <w:top w:type="dxa" w:w="100"/>
              <w:left w:type="dxa" w:w="120"/>
              <w:bottom w:type="dxa" w:w="100"/>
              <w:right w:type="dxa" w:w="120"/>
            </w:tcMar>
            <w:vAlign w:val="center"/>
          </w:tcPr>
          <w:p>
            <w:r>
              <w:rPr>
                <w:b/>
                <w:bCs/>
                <w:color w:val="FFFFFF"/>
                <w:sz w:val="19"/>
                <w:szCs w:val="19"/>
              </w:rPr>
              <w:t xml:space="preserve">Owner</w:t>
            </w:r>
          </w:p>
        </w:tc>
        <w:tc>
          <w:tcPr>
            <w:tcW w:type="dxa" w:w="2419"/>
            <w:shd w:fill="1F2A44" w:val="clear"/>
            <w:tcMar>
              <w:top w:type="dxa" w:w="100"/>
              <w:left w:type="dxa" w:w="120"/>
              <w:bottom w:type="dxa" w:w="100"/>
              <w:right w:type="dxa" w:w="120"/>
            </w:tcMar>
            <w:vAlign w:val="center"/>
          </w:tcPr>
          <w:p>
            <w:r>
              <w:rPr>
                <w:b/>
                <w:bCs/>
                <w:color w:val="FFFFFF"/>
                <w:sz w:val="19"/>
                <w:szCs w:val="19"/>
              </w:rPr>
              <w:t xml:space="preserve">Effort</w:t>
            </w:r>
          </w:p>
        </w:tc>
      </w:tr>
      <w:tr>
        <w:tc>
          <w:tcPr>
            <w:tcW w:type="dxa" w:w="5242"/>
            <w:shd w:fill="FFFFFF" w:val="clear"/>
            <w:tcMar>
              <w:top w:type="dxa" w:w="100"/>
              <w:left w:type="dxa" w:w="120"/>
              <w:bottom w:type="dxa" w:w="100"/>
              <w:right w:type="dxa" w:w="120"/>
            </w:tcMar>
            <w:vAlign w:val="center"/>
          </w:tcPr>
          <w:p>
            <w:r>
              <w:rPr>
                <w:b w:val="false"/>
                <w:bCs w:val="false"/>
                <w:color w:val="1F2937"/>
                <w:sz w:val="19"/>
                <w:szCs w:val="19"/>
              </w:rPr>
              <w:t xml:space="preserve">Stand up a real content backend for directory, announcements, and documents — either finish the Notion integration already scaffolded in netlify.toml, or move to Airtable/Supabase with a simple admin form.</w:t>
            </w:r>
          </w:p>
        </w:tc>
        <w:tc>
          <w:tcPr>
            <w:tcW w:type="dxa" w:w="2419"/>
            <w:shd w:fill="FFFFFF" w:val="clear"/>
            <w:tcMar>
              <w:top w:type="dxa" w:w="100"/>
              <w:left w:type="dxa" w:w="120"/>
              <w:bottom w:type="dxa" w:w="100"/>
              <w:right w:type="dxa" w:w="120"/>
            </w:tcMar>
            <w:vAlign w:val="center"/>
          </w:tcPr>
          <w:p>
            <w:r>
              <w:rPr>
                <w:b w:val="false"/>
                <w:bCs w:val="false"/>
                <w:color w:val="1F2937"/>
                <w:sz w:val="19"/>
                <w:szCs w:val="19"/>
              </w:rPr>
              <w:t xml:space="preserve">Dev partner</w:t>
            </w:r>
          </w:p>
        </w:tc>
        <w:tc>
          <w:tcPr>
            <w:tcW w:type="dxa" w:w="2419"/>
            <w:shd w:fill="FFFFFF" w:val="clear"/>
            <w:tcMar>
              <w:top w:type="dxa" w:w="100"/>
              <w:left w:type="dxa" w:w="120"/>
              <w:bottom w:type="dxa" w:w="100"/>
              <w:right w:type="dxa" w:w="120"/>
            </w:tcMar>
            <w:vAlign w:val="center"/>
          </w:tcPr>
          <w:p>
            <w:r>
              <w:rPr>
                <w:b w:val="false"/>
                <w:bCs w:val="false"/>
                <w:color w:val="1F2937"/>
                <w:sz w:val="19"/>
                <w:szCs w:val="19"/>
              </w:rPr>
              <w:t xml:space="preserve">2–3 weeks</w:t>
            </w:r>
          </w:p>
        </w:tc>
      </w:tr>
      <w:tr>
        <w:tc>
          <w:tcPr>
            <w:tcW w:type="dxa" w:w="5242"/>
            <w:shd w:fill="EDF2FB" w:val="clear"/>
            <w:tcMar>
              <w:top w:type="dxa" w:w="100"/>
              <w:left w:type="dxa" w:w="120"/>
              <w:bottom w:type="dxa" w:w="100"/>
              <w:right w:type="dxa" w:w="120"/>
            </w:tcMar>
            <w:vAlign w:val="center"/>
          </w:tcPr>
          <w:p>
            <w:r>
              <w:rPr>
                <w:b w:val="false"/>
                <w:bCs w:val="false"/>
                <w:color w:val="1F2937"/>
                <w:sz w:val="19"/>
                <w:szCs w:val="19"/>
              </w:rPr>
              <w:t xml:space="preserve">Build the three missing Netlify functions (announcements, staff, documents) to read from that backend.</w:t>
            </w:r>
          </w:p>
        </w:tc>
        <w:tc>
          <w:tcPr>
            <w:tcW w:type="dxa" w:w="2419"/>
            <w:shd w:fill="EDF2FB" w:val="clear"/>
            <w:tcMar>
              <w:top w:type="dxa" w:w="100"/>
              <w:left w:type="dxa" w:w="120"/>
              <w:bottom w:type="dxa" w:w="100"/>
              <w:right w:type="dxa" w:w="120"/>
            </w:tcMar>
            <w:vAlign w:val="center"/>
          </w:tcPr>
          <w:p>
            <w:r>
              <w:rPr>
                <w:b w:val="false"/>
                <w:bCs w:val="false"/>
                <w:color w:val="1F2937"/>
                <w:sz w:val="19"/>
                <w:szCs w:val="19"/>
              </w:rPr>
              <w:t xml:space="preserve">Dev partner</w:t>
            </w:r>
          </w:p>
        </w:tc>
        <w:tc>
          <w:tcPr>
            <w:tcW w:type="dxa" w:w="2419"/>
            <w:shd w:fill="EDF2FB" w:val="clear"/>
            <w:tcMar>
              <w:top w:type="dxa" w:w="100"/>
              <w:left w:type="dxa" w:w="120"/>
              <w:bottom w:type="dxa" w:w="100"/>
              <w:right w:type="dxa" w:w="120"/>
            </w:tcMar>
            <w:vAlign w:val="center"/>
          </w:tcPr>
          <w:p>
            <w:r>
              <w:rPr>
                <w:b w:val="false"/>
                <w:bCs w:val="false"/>
                <w:color w:val="1F2937"/>
                <w:sz w:val="19"/>
                <w:szCs w:val="19"/>
              </w:rPr>
              <w:t xml:space="preserve">Included above</w:t>
            </w:r>
          </w:p>
        </w:tc>
      </w:tr>
      <w:tr>
        <w:tc>
          <w:tcPr>
            <w:tcW w:type="dxa" w:w="5242"/>
            <w:shd w:fill="FFFFFF" w:val="clear"/>
            <w:tcMar>
              <w:top w:type="dxa" w:w="100"/>
              <w:left w:type="dxa" w:w="120"/>
              <w:bottom w:type="dxa" w:w="100"/>
              <w:right w:type="dxa" w:w="120"/>
            </w:tcMar>
            <w:vAlign w:val="center"/>
          </w:tcPr>
          <w:p>
            <w:r>
              <w:rPr>
                <w:b w:val="false"/>
                <w:bCs w:val="false"/>
                <w:color w:val="1F2937"/>
                <w:sz w:val="19"/>
                <w:szCs w:val="19"/>
              </w:rPr>
              <w:t xml:space="preserve">Migrate existing static JSON/Excel data into the new backend as the source of truth.</w:t>
            </w:r>
          </w:p>
        </w:tc>
        <w:tc>
          <w:tcPr>
            <w:tcW w:type="dxa" w:w="2419"/>
            <w:shd w:fill="FFFFFF" w:val="clear"/>
            <w:tcMar>
              <w:top w:type="dxa" w:w="100"/>
              <w:left w:type="dxa" w:w="120"/>
              <w:bottom w:type="dxa" w:w="100"/>
              <w:right w:type="dxa" w:w="120"/>
            </w:tcMar>
            <w:vAlign w:val="center"/>
          </w:tcPr>
          <w:p>
            <w:r>
              <w:rPr>
                <w:b w:val="false"/>
                <w:bCs w:val="false"/>
                <w:color w:val="1F2937"/>
                <w:sz w:val="19"/>
                <w:szCs w:val="19"/>
              </w:rPr>
              <w:t xml:space="preserve">Ratana + dev</w:t>
            </w:r>
          </w:p>
        </w:tc>
        <w:tc>
          <w:tcPr>
            <w:tcW w:type="dxa" w:w="2419"/>
            <w:shd w:fill="FFFFFF" w:val="clear"/>
            <w:tcMar>
              <w:top w:type="dxa" w:w="100"/>
              <w:left w:type="dxa" w:w="120"/>
              <w:bottom w:type="dxa" w:w="100"/>
              <w:right w:type="dxa" w:w="120"/>
            </w:tcMar>
            <w:vAlign w:val="center"/>
          </w:tcPr>
          <w:p>
            <w:r>
              <w:rPr>
                <w:b w:val="false"/>
                <w:bCs w:val="false"/>
                <w:color w:val="1F2937"/>
                <w:sz w:val="19"/>
                <w:szCs w:val="19"/>
              </w:rPr>
              <w:t xml:space="preserve">2–3 days</w:t>
            </w:r>
          </w:p>
        </w:tc>
      </w:tr>
    </w:tbl>
    <w:p>
      <w:pPr>
        <w:pStyle w:val="Heading2"/>
        <w:spacing w:after="100" w:before="220"/>
      </w:pPr>
      <w:r>
        <w:rPr>
          <w:b/>
          <w:bCs/>
          <w:color w:val="2563EB"/>
          <w:sz w:val="22"/>
          <w:szCs w:val="22"/>
        </w:rPr>
        <w:t xml:space="preserve">Phase 2 — Real permissions</w:t>
      </w:r>
    </w:p>
    <w:tbl>
      <w:tblPr>
        <w:tblW w:type="dxa" w:w="10080"/>
        <w:tblBorders>
          <w:top w:val="single" w:color="D1D5DB" w:sz="2"/>
          <w:left w:val="single" w:color="D1D5DB" w:sz="2"/>
          <w:bottom w:val="single" w:color="D1D5DB" w:sz="2"/>
          <w:right w:val="single" w:color="D1D5DB" w:sz="2"/>
          <w:insideH w:val="single" w:color="E5E7EB" w:sz="2"/>
          <w:insideV w:val="single" w:color="E5E7EB" w:sz="2"/>
        </w:tblBorders>
      </w:tblPr>
      <w:tblGrid>
        <w:gridCol w:w="5242"/>
        <w:gridCol w:w="2419"/>
        <w:gridCol w:w="2419"/>
      </w:tblGrid>
      <w:tr>
        <w:trPr>
          <w:tblHeader/>
        </w:trPr>
        <w:tc>
          <w:tcPr>
            <w:tcW w:type="dxa" w:w="5242"/>
            <w:shd w:fill="1F2A44" w:val="clear"/>
            <w:tcMar>
              <w:top w:type="dxa" w:w="100"/>
              <w:left w:type="dxa" w:w="120"/>
              <w:bottom w:type="dxa" w:w="100"/>
              <w:right w:type="dxa" w:w="120"/>
            </w:tcMar>
            <w:vAlign w:val="center"/>
          </w:tcPr>
          <w:p>
            <w:r>
              <w:rPr>
                <w:b/>
                <w:bCs/>
                <w:color w:val="FFFFFF"/>
                <w:sz w:val="19"/>
                <w:szCs w:val="19"/>
              </w:rPr>
              <w:t xml:space="preserve">Action</w:t>
            </w:r>
          </w:p>
        </w:tc>
        <w:tc>
          <w:tcPr>
            <w:tcW w:type="dxa" w:w="2419"/>
            <w:shd w:fill="1F2A44" w:val="clear"/>
            <w:tcMar>
              <w:top w:type="dxa" w:w="100"/>
              <w:left w:type="dxa" w:w="120"/>
              <w:bottom w:type="dxa" w:w="100"/>
              <w:right w:type="dxa" w:w="120"/>
            </w:tcMar>
            <w:vAlign w:val="center"/>
          </w:tcPr>
          <w:p>
            <w:r>
              <w:rPr>
                <w:b/>
                <w:bCs/>
                <w:color w:val="FFFFFF"/>
                <w:sz w:val="19"/>
                <w:szCs w:val="19"/>
              </w:rPr>
              <w:t xml:space="preserve">Owner</w:t>
            </w:r>
          </w:p>
        </w:tc>
        <w:tc>
          <w:tcPr>
            <w:tcW w:type="dxa" w:w="2419"/>
            <w:shd w:fill="1F2A44" w:val="clear"/>
            <w:tcMar>
              <w:top w:type="dxa" w:w="100"/>
              <w:left w:type="dxa" w:w="120"/>
              <w:bottom w:type="dxa" w:w="100"/>
              <w:right w:type="dxa" w:w="120"/>
            </w:tcMar>
            <w:vAlign w:val="center"/>
          </w:tcPr>
          <w:p>
            <w:r>
              <w:rPr>
                <w:b/>
                <w:bCs/>
                <w:color w:val="FFFFFF"/>
                <w:sz w:val="19"/>
                <w:szCs w:val="19"/>
              </w:rPr>
              <w:t xml:space="preserve">Effort</w:t>
            </w:r>
          </w:p>
        </w:tc>
      </w:tr>
      <w:tr>
        <w:tc>
          <w:tcPr>
            <w:tcW w:type="dxa" w:w="5242"/>
            <w:shd w:fill="FFFFFF" w:val="clear"/>
            <w:tcMar>
              <w:top w:type="dxa" w:w="100"/>
              <w:left w:type="dxa" w:w="120"/>
              <w:bottom w:type="dxa" w:w="100"/>
              <w:right w:type="dxa" w:w="120"/>
            </w:tcMar>
            <w:vAlign w:val="center"/>
          </w:tcPr>
          <w:p>
            <w:r>
              <w:rPr>
                <w:b w:val="false"/>
                <w:bCs w:val="false"/>
                <w:color w:val="1F2937"/>
                <w:sz w:val="19"/>
                <w:szCs w:val="19"/>
              </w:rPr>
              <w:t xml:space="preserve">Add a roles layer (staff, department lead, HR, admin) instead of the current all-or-nothing @icf-cambodia.com check.</w:t>
            </w:r>
          </w:p>
        </w:tc>
        <w:tc>
          <w:tcPr>
            <w:tcW w:type="dxa" w:w="2419"/>
            <w:shd w:fill="FFFFFF" w:val="clear"/>
            <w:tcMar>
              <w:top w:type="dxa" w:w="100"/>
              <w:left w:type="dxa" w:w="120"/>
              <w:bottom w:type="dxa" w:w="100"/>
              <w:right w:type="dxa" w:w="120"/>
            </w:tcMar>
            <w:vAlign w:val="center"/>
          </w:tcPr>
          <w:p>
            <w:r>
              <w:rPr>
                <w:b w:val="false"/>
                <w:bCs w:val="false"/>
                <w:color w:val="1F2937"/>
                <w:sz w:val="19"/>
                <w:szCs w:val="19"/>
              </w:rPr>
              <w:t xml:space="preserve">Dev partner</w:t>
            </w:r>
          </w:p>
        </w:tc>
        <w:tc>
          <w:tcPr>
            <w:tcW w:type="dxa" w:w="2419"/>
            <w:shd w:fill="FFFFFF" w:val="clear"/>
            <w:tcMar>
              <w:top w:type="dxa" w:w="100"/>
              <w:left w:type="dxa" w:w="120"/>
              <w:bottom w:type="dxa" w:w="100"/>
              <w:right w:type="dxa" w:w="120"/>
            </w:tcMar>
            <w:vAlign w:val="center"/>
          </w:tcPr>
          <w:p>
            <w:r>
              <w:rPr>
                <w:b w:val="false"/>
                <w:bCs w:val="false"/>
                <w:color w:val="1F2937"/>
                <w:sz w:val="19"/>
                <w:szCs w:val="19"/>
              </w:rPr>
              <w:t xml:space="preserve">1–2 weeks</w:t>
            </w:r>
          </w:p>
        </w:tc>
      </w:tr>
      <w:tr>
        <w:tc>
          <w:tcPr>
            <w:tcW w:type="dxa" w:w="5242"/>
            <w:shd w:fill="EDF2FB" w:val="clear"/>
            <w:tcMar>
              <w:top w:type="dxa" w:w="100"/>
              <w:left w:type="dxa" w:w="120"/>
              <w:bottom w:type="dxa" w:w="100"/>
              <w:right w:type="dxa" w:w="120"/>
            </w:tcMar>
            <w:vAlign w:val="center"/>
          </w:tcPr>
          <w:p>
            <w:r>
              <w:rPr>
                <w:b w:val="false"/>
                <w:bCs w:val="false"/>
                <w:color w:val="1F2937"/>
                <w:sz w:val="19"/>
                <w:szCs w:val="19"/>
              </w:rPr>
              <w:t xml:space="preserve">Gate sensitive pages (HR docs, leadership content) by role, not just login status.</w:t>
            </w:r>
          </w:p>
        </w:tc>
        <w:tc>
          <w:tcPr>
            <w:tcW w:type="dxa" w:w="2419"/>
            <w:shd w:fill="EDF2FB" w:val="clear"/>
            <w:tcMar>
              <w:top w:type="dxa" w:w="100"/>
              <w:left w:type="dxa" w:w="120"/>
              <w:bottom w:type="dxa" w:w="100"/>
              <w:right w:type="dxa" w:w="120"/>
            </w:tcMar>
            <w:vAlign w:val="center"/>
          </w:tcPr>
          <w:p>
            <w:r>
              <w:rPr>
                <w:b w:val="false"/>
                <w:bCs w:val="false"/>
                <w:color w:val="1F2937"/>
                <w:sz w:val="19"/>
                <w:szCs w:val="19"/>
              </w:rPr>
              <w:t xml:space="preserve">Dev partner</w:t>
            </w:r>
          </w:p>
        </w:tc>
        <w:tc>
          <w:tcPr>
            <w:tcW w:type="dxa" w:w="2419"/>
            <w:shd w:fill="EDF2FB" w:val="clear"/>
            <w:tcMar>
              <w:top w:type="dxa" w:w="100"/>
              <w:left w:type="dxa" w:w="120"/>
              <w:bottom w:type="dxa" w:w="100"/>
              <w:right w:type="dxa" w:w="120"/>
            </w:tcMar>
            <w:vAlign w:val="center"/>
          </w:tcPr>
          <w:p>
            <w:r>
              <w:rPr>
                <w:b w:val="false"/>
                <w:bCs w:val="false"/>
                <w:color w:val="1F2937"/>
                <w:sz w:val="19"/>
                <w:szCs w:val="19"/>
              </w:rPr>
              <w:t xml:space="preserve">Included above</w:t>
            </w:r>
          </w:p>
        </w:tc>
      </w:tr>
    </w:tbl>
    <w:p>
      <w:pPr>
        <w:pStyle w:val="Heading2"/>
        <w:spacing w:after="100" w:before="220"/>
      </w:pPr>
      <w:r>
        <w:rPr>
          <w:b/>
          <w:bCs/>
          <w:color w:val="2563EB"/>
          <w:sz w:val="22"/>
          <w:szCs w:val="22"/>
        </w:rPr>
        <w:t xml:space="preserve">Phase 3 — Workflows that make it a system</w:t>
      </w:r>
    </w:p>
    <w:tbl>
      <w:tblPr>
        <w:tblW w:type="dxa" w:w="10080"/>
        <w:tblBorders>
          <w:top w:val="single" w:color="D1D5DB" w:sz="2"/>
          <w:left w:val="single" w:color="D1D5DB" w:sz="2"/>
          <w:bottom w:val="single" w:color="D1D5DB" w:sz="2"/>
          <w:right w:val="single" w:color="D1D5DB" w:sz="2"/>
          <w:insideH w:val="single" w:color="E5E7EB" w:sz="2"/>
          <w:insideV w:val="single" w:color="E5E7EB" w:sz="2"/>
        </w:tblBorders>
      </w:tblPr>
      <w:tblGrid>
        <w:gridCol w:w="5242"/>
        <w:gridCol w:w="2419"/>
        <w:gridCol w:w="2419"/>
      </w:tblGrid>
      <w:tr>
        <w:trPr>
          <w:tblHeader/>
        </w:trPr>
        <w:tc>
          <w:tcPr>
            <w:tcW w:type="dxa" w:w="5242"/>
            <w:shd w:fill="1F2A44" w:val="clear"/>
            <w:tcMar>
              <w:top w:type="dxa" w:w="100"/>
              <w:left w:type="dxa" w:w="120"/>
              <w:bottom w:type="dxa" w:w="100"/>
              <w:right w:type="dxa" w:w="120"/>
            </w:tcMar>
            <w:vAlign w:val="center"/>
          </w:tcPr>
          <w:p>
            <w:r>
              <w:rPr>
                <w:b/>
                <w:bCs/>
                <w:color w:val="FFFFFF"/>
                <w:sz w:val="19"/>
                <w:szCs w:val="19"/>
              </w:rPr>
              <w:t xml:space="preserve">Action</w:t>
            </w:r>
          </w:p>
        </w:tc>
        <w:tc>
          <w:tcPr>
            <w:tcW w:type="dxa" w:w="2419"/>
            <w:shd w:fill="1F2A44" w:val="clear"/>
            <w:tcMar>
              <w:top w:type="dxa" w:w="100"/>
              <w:left w:type="dxa" w:w="120"/>
              <w:bottom w:type="dxa" w:w="100"/>
              <w:right w:type="dxa" w:w="120"/>
            </w:tcMar>
            <w:vAlign w:val="center"/>
          </w:tcPr>
          <w:p>
            <w:r>
              <w:rPr>
                <w:b/>
                <w:bCs/>
                <w:color w:val="FFFFFF"/>
                <w:sz w:val="19"/>
                <w:szCs w:val="19"/>
              </w:rPr>
              <w:t xml:space="preserve">Owner</w:t>
            </w:r>
          </w:p>
        </w:tc>
        <w:tc>
          <w:tcPr>
            <w:tcW w:type="dxa" w:w="2419"/>
            <w:shd w:fill="1F2A44" w:val="clear"/>
            <w:tcMar>
              <w:top w:type="dxa" w:w="100"/>
              <w:left w:type="dxa" w:w="120"/>
              <w:bottom w:type="dxa" w:w="100"/>
              <w:right w:type="dxa" w:w="120"/>
            </w:tcMar>
            <w:vAlign w:val="center"/>
          </w:tcPr>
          <w:p>
            <w:r>
              <w:rPr>
                <w:b/>
                <w:bCs/>
                <w:color w:val="FFFFFF"/>
                <w:sz w:val="19"/>
                <w:szCs w:val="19"/>
              </w:rPr>
              <w:t xml:space="preserve">Effort</w:t>
            </w:r>
          </w:p>
        </w:tc>
      </w:tr>
      <w:tr>
        <w:tc>
          <w:tcPr>
            <w:tcW w:type="dxa" w:w="5242"/>
            <w:shd w:fill="FFFFFF" w:val="clear"/>
            <w:tcMar>
              <w:top w:type="dxa" w:w="100"/>
              <w:left w:type="dxa" w:w="120"/>
              <w:bottom w:type="dxa" w:w="100"/>
              <w:right w:type="dxa" w:w="120"/>
            </w:tcMar>
            <w:vAlign w:val="center"/>
          </w:tcPr>
          <w:p>
            <w:r>
              <w:rPr>
                <w:b w:val="false"/>
                <w:bCs w:val="false"/>
                <w:color w:val="1F2937"/>
                <w:sz w:val="19"/>
                <w:szCs w:val="19"/>
              </w:rPr>
              <w:t xml:space="preserve">Leave requests: submit, notify manager, approve/deny.</w:t>
            </w:r>
          </w:p>
        </w:tc>
        <w:tc>
          <w:tcPr>
            <w:tcW w:type="dxa" w:w="2419"/>
            <w:shd w:fill="FFFFFF" w:val="clear"/>
            <w:tcMar>
              <w:top w:type="dxa" w:w="100"/>
              <w:left w:type="dxa" w:w="120"/>
              <w:bottom w:type="dxa" w:w="100"/>
              <w:right w:type="dxa" w:w="120"/>
            </w:tcMar>
            <w:vAlign w:val="center"/>
          </w:tcPr>
          <w:p>
            <w:r>
              <w:rPr>
                <w:b w:val="false"/>
                <w:bCs w:val="false"/>
                <w:color w:val="1F2937"/>
                <w:sz w:val="19"/>
                <w:szCs w:val="19"/>
              </w:rPr>
              <w:t xml:space="preserve">Dev partner</w:t>
            </w:r>
          </w:p>
        </w:tc>
        <w:tc>
          <w:tcPr>
            <w:tcW w:type="dxa" w:w="2419"/>
            <w:shd w:fill="FFFFFF" w:val="clear"/>
            <w:tcMar>
              <w:top w:type="dxa" w:w="100"/>
              <w:left w:type="dxa" w:w="120"/>
              <w:bottom w:type="dxa" w:w="100"/>
              <w:right w:type="dxa" w:w="120"/>
            </w:tcMar>
            <w:vAlign w:val="center"/>
          </w:tcPr>
          <w:p>
            <w:r>
              <w:rPr>
                <w:b w:val="false"/>
                <w:bCs w:val="false"/>
                <w:color w:val="1F2937"/>
                <w:sz w:val="19"/>
                <w:szCs w:val="19"/>
              </w:rPr>
              <w:t xml:space="preserve">1–2 weeks</w:t>
            </w:r>
          </w:p>
        </w:tc>
      </w:tr>
      <w:tr>
        <w:tc>
          <w:tcPr>
            <w:tcW w:type="dxa" w:w="5242"/>
            <w:shd w:fill="EDF2FB" w:val="clear"/>
            <w:tcMar>
              <w:top w:type="dxa" w:w="100"/>
              <w:left w:type="dxa" w:w="120"/>
              <w:bottom w:type="dxa" w:w="100"/>
              <w:right w:type="dxa" w:w="120"/>
            </w:tcMar>
            <w:vAlign w:val="center"/>
          </w:tcPr>
          <w:p>
            <w:r>
              <w:rPr>
                <w:b w:val="false"/>
                <w:bCs w:val="false"/>
                <w:color w:val="1F2937"/>
                <w:sz w:val="19"/>
                <w:szCs w:val="19"/>
              </w:rPr>
              <w:t xml:space="preserve">Resource/room booking for shared spaces or equipment.</w:t>
            </w:r>
          </w:p>
        </w:tc>
        <w:tc>
          <w:tcPr>
            <w:tcW w:type="dxa" w:w="2419"/>
            <w:shd w:fill="EDF2FB" w:val="clear"/>
            <w:tcMar>
              <w:top w:type="dxa" w:w="100"/>
              <w:left w:type="dxa" w:w="120"/>
              <w:bottom w:type="dxa" w:w="100"/>
              <w:right w:type="dxa" w:w="120"/>
            </w:tcMar>
            <w:vAlign w:val="center"/>
          </w:tcPr>
          <w:p>
            <w:r>
              <w:rPr>
                <w:b w:val="false"/>
                <w:bCs w:val="false"/>
                <w:color w:val="1F2937"/>
                <w:sz w:val="19"/>
                <w:szCs w:val="19"/>
              </w:rPr>
              <w:t xml:space="preserve">Dev partner</w:t>
            </w:r>
          </w:p>
        </w:tc>
        <w:tc>
          <w:tcPr>
            <w:tcW w:type="dxa" w:w="2419"/>
            <w:shd w:fill="EDF2FB" w:val="clear"/>
            <w:tcMar>
              <w:top w:type="dxa" w:w="100"/>
              <w:left w:type="dxa" w:w="120"/>
              <w:bottom w:type="dxa" w:w="100"/>
              <w:right w:type="dxa" w:w="120"/>
            </w:tcMar>
            <w:vAlign w:val="center"/>
          </w:tcPr>
          <w:p>
            <w:r>
              <w:rPr>
                <w:b w:val="false"/>
                <w:bCs w:val="false"/>
                <w:color w:val="1F2937"/>
                <w:sz w:val="19"/>
                <w:szCs w:val="19"/>
              </w:rPr>
              <w:t xml:space="preserve">1 week</w:t>
            </w:r>
          </w:p>
        </w:tc>
      </w:tr>
      <w:tr>
        <w:tc>
          <w:tcPr>
            <w:tcW w:type="dxa" w:w="5242"/>
            <w:shd w:fill="FFFFFF" w:val="clear"/>
            <w:tcMar>
              <w:top w:type="dxa" w:w="100"/>
              <w:left w:type="dxa" w:w="120"/>
              <w:bottom w:type="dxa" w:w="100"/>
              <w:right w:type="dxa" w:w="120"/>
            </w:tcMar>
            <w:vAlign w:val="center"/>
          </w:tcPr>
          <w:p>
            <w:r>
              <w:rPr>
                <w:b w:val="false"/>
                <w:bCs w:val="false"/>
                <w:color w:val="1F2937"/>
                <w:sz w:val="19"/>
                <w:szCs w:val="19"/>
              </w:rPr>
              <w:t xml:space="preserve">Onboarding checklist for new hires, tied to HR role.</w:t>
            </w:r>
          </w:p>
        </w:tc>
        <w:tc>
          <w:tcPr>
            <w:tcW w:type="dxa" w:w="2419"/>
            <w:shd w:fill="FFFFFF" w:val="clear"/>
            <w:tcMar>
              <w:top w:type="dxa" w:w="100"/>
              <w:left w:type="dxa" w:w="120"/>
              <w:bottom w:type="dxa" w:w="100"/>
              <w:right w:type="dxa" w:w="120"/>
            </w:tcMar>
            <w:vAlign w:val="center"/>
          </w:tcPr>
          <w:p>
            <w:r>
              <w:rPr>
                <w:b w:val="false"/>
                <w:bCs w:val="false"/>
                <w:color w:val="1F2937"/>
                <w:sz w:val="19"/>
                <w:szCs w:val="19"/>
              </w:rPr>
              <w:t xml:space="preserve">Dev partner + HR</w:t>
            </w:r>
          </w:p>
        </w:tc>
        <w:tc>
          <w:tcPr>
            <w:tcW w:type="dxa" w:w="2419"/>
            <w:shd w:fill="FFFFFF" w:val="clear"/>
            <w:tcMar>
              <w:top w:type="dxa" w:w="100"/>
              <w:left w:type="dxa" w:w="120"/>
              <w:bottom w:type="dxa" w:w="100"/>
              <w:right w:type="dxa" w:w="120"/>
            </w:tcMar>
            <w:vAlign w:val="center"/>
          </w:tcPr>
          <w:p>
            <w:r>
              <w:rPr>
                <w:b w:val="false"/>
                <w:bCs w:val="false"/>
                <w:color w:val="1F2937"/>
                <w:sz w:val="19"/>
                <w:szCs w:val="19"/>
              </w:rPr>
              <w:t xml:space="preserve">1 week</w:t>
            </w:r>
          </w:p>
        </w:tc>
      </w:tr>
      <w:tr>
        <w:tc>
          <w:tcPr>
            <w:tcW w:type="dxa" w:w="5242"/>
            <w:shd w:fill="EDF2FB" w:val="clear"/>
            <w:tcMar>
              <w:top w:type="dxa" w:w="100"/>
              <w:left w:type="dxa" w:w="120"/>
              <w:bottom w:type="dxa" w:w="100"/>
              <w:right w:type="dxa" w:w="120"/>
            </w:tcMar>
            <w:vAlign w:val="center"/>
          </w:tcPr>
          <w:p>
            <w:r>
              <w:rPr>
                <w:b w:val="false"/>
                <w:bCs w:val="false"/>
                <w:color w:val="1F2937"/>
                <w:sz w:val="19"/>
                <w:szCs w:val="19"/>
              </w:rPr>
              <w:t xml:space="preserve">Event RSVPs feeding the existing Events page.</w:t>
            </w:r>
          </w:p>
        </w:tc>
        <w:tc>
          <w:tcPr>
            <w:tcW w:type="dxa" w:w="2419"/>
            <w:shd w:fill="EDF2FB" w:val="clear"/>
            <w:tcMar>
              <w:top w:type="dxa" w:w="100"/>
              <w:left w:type="dxa" w:w="120"/>
              <w:bottom w:type="dxa" w:w="100"/>
              <w:right w:type="dxa" w:w="120"/>
            </w:tcMar>
            <w:vAlign w:val="center"/>
          </w:tcPr>
          <w:p>
            <w:r>
              <w:rPr>
                <w:b w:val="false"/>
                <w:bCs w:val="false"/>
                <w:color w:val="1F2937"/>
                <w:sz w:val="19"/>
                <w:szCs w:val="19"/>
              </w:rPr>
              <w:t xml:space="preserve">Dev partner</w:t>
            </w:r>
          </w:p>
        </w:tc>
        <w:tc>
          <w:tcPr>
            <w:tcW w:type="dxa" w:w="2419"/>
            <w:shd w:fill="EDF2FB" w:val="clear"/>
            <w:tcMar>
              <w:top w:type="dxa" w:w="100"/>
              <w:left w:type="dxa" w:w="120"/>
              <w:bottom w:type="dxa" w:w="100"/>
              <w:right w:type="dxa" w:w="120"/>
            </w:tcMar>
            <w:vAlign w:val="center"/>
          </w:tcPr>
          <w:p>
            <w:r>
              <w:rPr>
                <w:b w:val="false"/>
                <w:bCs w:val="false"/>
                <w:color w:val="1F2937"/>
                <w:sz w:val="19"/>
                <w:szCs w:val="19"/>
              </w:rPr>
              <w:t xml:space="preserve">3–5 days</w:t>
            </w:r>
          </w:p>
        </w:tc>
      </w:tr>
    </w:tbl>
    <w:p>
      <w:pPr>
        <w:pStyle w:val="Heading2"/>
        <w:spacing w:after="100" w:before="220"/>
      </w:pPr>
      <w:r>
        <w:rPr>
          <w:b/>
          <w:bCs/>
          <w:color w:val="2563EB"/>
          <w:sz w:val="22"/>
          <w:szCs w:val="22"/>
        </w:rPr>
        <w:t xml:space="preserve">Phase 4 — Operational basics</w:t>
      </w:r>
    </w:p>
    <w:tbl>
      <w:tblPr>
        <w:tblW w:type="dxa" w:w="10080"/>
        <w:tblBorders>
          <w:top w:val="single" w:color="D1D5DB" w:sz="2"/>
          <w:left w:val="single" w:color="D1D5DB" w:sz="2"/>
          <w:bottom w:val="single" w:color="D1D5DB" w:sz="2"/>
          <w:right w:val="single" w:color="D1D5DB" w:sz="2"/>
          <w:insideH w:val="single" w:color="E5E7EB" w:sz="2"/>
          <w:insideV w:val="single" w:color="E5E7EB" w:sz="2"/>
        </w:tblBorders>
      </w:tblPr>
      <w:tblGrid>
        <w:gridCol w:w="5242"/>
        <w:gridCol w:w="2419"/>
        <w:gridCol w:w="2419"/>
      </w:tblGrid>
      <w:tr>
        <w:trPr>
          <w:tblHeader/>
        </w:trPr>
        <w:tc>
          <w:tcPr>
            <w:tcW w:type="dxa" w:w="5242"/>
            <w:shd w:fill="1F2A44" w:val="clear"/>
            <w:tcMar>
              <w:top w:type="dxa" w:w="100"/>
              <w:left w:type="dxa" w:w="120"/>
              <w:bottom w:type="dxa" w:w="100"/>
              <w:right w:type="dxa" w:w="120"/>
            </w:tcMar>
            <w:vAlign w:val="center"/>
          </w:tcPr>
          <w:p>
            <w:r>
              <w:rPr>
                <w:b/>
                <w:bCs/>
                <w:color w:val="FFFFFF"/>
                <w:sz w:val="19"/>
                <w:szCs w:val="19"/>
              </w:rPr>
              <w:t xml:space="preserve">Action</w:t>
            </w:r>
          </w:p>
        </w:tc>
        <w:tc>
          <w:tcPr>
            <w:tcW w:type="dxa" w:w="2419"/>
            <w:shd w:fill="1F2A44" w:val="clear"/>
            <w:tcMar>
              <w:top w:type="dxa" w:w="100"/>
              <w:left w:type="dxa" w:w="120"/>
              <w:bottom w:type="dxa" w:w="100"/>
              <w:right w:type="dxa" w:w="120"/>
            </w:tcMar>
            <w:vAlign w:val="center"/>
          </w:tcPr>
          <w:p>
            <w:r>
              <w:rPr>
                <w:b/>
                <w:bCs/>
                <w:color w:val="FFFFFF"/>
                <w:sz w:val="19"/>
                <w:szCs w:val="19"/>
              </w:rPr>
              <w:t xml:space="preserve">Owner</w:t>
            </w:r>
          </w:p>
        </w:tc>
        <w:tc>
          <w:tcPr>
            <w:tcW w:type="dxa" w:w="2419"/>
            <w:shd w:fill="1F2A44" w:val="clear"/>
            <w:tcMar>
              <w:top w:type="dxa" w:w="100"/>
              <w:left w:type="dxa" w:w="120"/>
              <w:bottom w:type="dxa" w:w="100"/>
              <w:right w:type="dxa" w:w="120"/>
            </w:tcMar>
            <w:vAlign w:val="center"/>
          </w:tcPr>
          <w:p>
            <w:r>
              <w:rPr>
                <w:b/>
                <w:bCs/>
                <w:color w:val="FFFFFF"/>
                <w:sz w:val="19"/>
                <w:szCs w:val="19"/>
              </w:rPr>
              <w:t xml:space="preserve">Effort</w:t>
            </w:r>
          </w:p>
        </w:tc>
      </w:tr>
      <w:tr>
        <w:tc>
          <w:tcPr>
            <w:tcW w:type="dxa" w:w="5242"/>
            <w:shd w:fill="FFFFFF" w:val="clear"/>
            <w:tcMar>
              <w:top w:type="dxa" w:w="100"/>
              <w:left w:type="dxa" w:w="120"/>
              <w:bottom w:type="dxa" w:w="100"/>
              <w:right w:type="dxa" w:w="120"/>
            </w:tcMar>
            <w:vAlign w:val="center"/>
          </w:tcPr>
          <w:p>
            <w:r>
              <w:rPr>
                <w:b w:val="false"/>
                <w:bCs w:val="false"/>
                <w:color w:val="1F2937"/>
                <w:sz w:val="19"/>
                <w:szCs w:val="19"/>
              </w:rPr>
              <w:t xml:space="preserve">Staging environment so changes are tested before they hit the live site.</w:t>
            </w:r>
          </w:p>
        </w:tc>
        <w:tc>
          <w:tcPr>
            <w:tcW w:type="dxa" w:w="2419"/>
            <w:shd w:fill="FFFFFF" w:val="clear"/>
            <w:tcMar>
              <w:top w:type="dxa" w:w="100"/>
              <w:left w:type="dxa" w:w="120"/>
              <w:bottom w:type="dxa" w:w="100"/>
              <w:right w:type="dxa" w:w="120"/>
            </w:tcMar>
            <w:vAlign w:val="center"/>
          </w:tcPr>
          <w:p>
            <w:r>
              <w:rPr>
                <w:b w:val="false"/>
                <w:bCs w:val="false"/>
                <w:color w:val="1F2937"/>
                <w:sz w:val="19"/>
                <w:szCs w:val="19"/>
              </w:rPr>
              <w:t xml:space="preserve">Dev partner</w:t>
            </w:r>
          </w:p>
        </w:tc>
        <w:tc>
          <w:tcPr>
            <w:tcW w:type="dxa" w:w="2419"/>
            <w:shd w:fill="FFFFFF" w:val="clear"/>
            <w:tcMar>
              <w:top w:type="dxa" w:w="100"/>
              <w:left w:type="dxa" w:w="120"/>
              <w:bottom w:type="dxa" w:w="100"/>
              <w:right w:type="dxa" w:w="120"/>
            </w:tcMar>
            <w:vAlign w:val="center"/>
          </w:tcPr>
          <w:p>
            <w:r>
              <w:rPr>
                <w:b w:val="false"/>
                <w:bCs w:val="false"/>
                <w:color w:val="1F2937"/>
                <w:sz w:val="19"/>
                <w:szCs w:val="19"/>
              </w:rPr>
              <w:t xml:space="preserve">2–3 days</w:t>
            </w:r>
          </w:p>
        </w:tc>
      </w:tr>
      <w:tr>
        <w:tc>
          <w:tcPr>
            <w:tcW w:type="dxa" w:w="5242"/>
            <w:shd w:fill="EDF2FB" w:val="clear"/>
            <w:tcMar>
              <w:top w:type="dxa" w:w="100"/>
              <w:left w:type="dxa" w:w="120"/>
              <w:bottom w:type="dxa" w:w="100"/>
              <w:right w:type="dxa" w:w="120"/>
            </w:tcMar>
            <w:vAlign w:val="center"/>
          </w:tcPr>
          <w:p>
            <w:r>
              <w:rPr>
                <w:b w:val="false"/>
                <w:bCs w:val="false"/>
                <w:color w:val="1F2937"/>
                <w:sz w:val="19"/>
                <w:szCs w:val="19"/>
              </w:rPr>
              <w:t xml:space="preserve">Backup routine for whatever database Phase 1 lands on.</w:t>
            </w:r>
          </w:p>
        </w:tc>
        <w:tc>
          <w:tcPr>
            <w:tcW w:type="dxa" w:w="2419"/>
            <w:shd w:fill="EDF2FB" w:val="clear"/>
            <w:tcMar>
              <w:top w:type="dxa" w:w="100"/>
              <w:left w:type="dxa" w:w="120"/>
              <w:bottom w:type="dxa" w:w="100"/>
              <w:right w:type="dxa" w:w="120"/>
            </w:tcMar>
            <w:vAlign w:val="center"/>
          </w:tcPr>
          <w:p>
            <w:r>
              <w:rPr>
                <w:b w:val="false"/>
                <w:bCs w:val="false"/>
                <w:color w:val="1F2937"/>
                <w:sz w:val="19"/>
                <w:szCs w:val="19"/>
              </w:rPr>
              <w:t xml:space="preserve">Dev partner</w:t>
            </w:r>
          </w:p>
        </w:tc>
        <w:tc>
          <w:tcPr>
            <w:tcW w:type="dxa" w:w="2419"/>
            <w:shd w:fill="EDF2FB" w:val="clear"/>
            <w:tcMar>
              <w:top w:type="dxa" w:w="100"/>
              <w:left w:type="dxa" w:w="120"/>
              <w:bottom w:type="dxa" w:w="100"/>
              <w:right w:type="dxa" w:w="120"/>
            </w:tcMar>
            <w:vAlign w:val="center"/>
          </w:tcPr>
          <w:p>
            <w:r>
              <w:rPr>
                <w:b w:val="false"/>
                <w:bCs w:val="false"/>
                <w:color w:val="1F2937"/>
                <w:sz w:val="19"/>
                <w:szCs w:val="19"/>
              </w:rPr>
              <w:t xml:space="preserve">1–2 days</w:t>
            </w:r>
          </w:p>
        </w:tc>
      </w:tr>
      <w:tr>
        <w:tc>
          <w:tcPr>
            <w:tcW w:type="dxa" w:w="5242"/>
            <w:shd w:fill="FFFFFF" w:val="clear"/>
            <w:tcMar>
              <w:top w:type="dxa" w:w="100"/>
              <w:left w:type="dxa" w:w="120"/>
              <w:bottom w:type="dxa" w:w="100"/>
              <w:right w:type="dxa" w:w="120"/>
            </w:tcMar>
            <w:vAlign w:val="center"/>
          </w:tcPr>
          <w:p>
            <w:r>
              <w:rPr>
                <w:b w:val="false"/>
                <w:bCs w:val="false"/>
                <w:color w:val="1F2937"/>
                <w:sz w:val="19"/>
                <w:szCs w:val="19"/>
              </w:rPr>
              <w:t xml:space="preserve">Short content/style guide so department pages stay consistent as more owners start editing.</w:t>
            </w:r>
          </w:p>
        </w:tc>
        <w:tc>
          <w:tcPr>
            <w:tcW w:type="dxa" w:w="2419"/>
            <w:shd w:fill="FFFFFF" w:val="clear"/>
            <w:tcMar>
              <w:top w:type="dxa" w:w="100"/>
              <w:left w:type="dxa" w:w="120"/>
              <w:bottom w:type="dxa" w:w="100"/>
              <w:right w:type="dxa" w:w="120"/>
            </w:tcMar>
            <w:vAlign w:val="center"/>
          </w:tcPr>
          <w:p>
            <w:r>
              <w:rPr>
                <w:b w:val="false"/>
                <w:bCs w:val="false"/>
                <w:color w:val="1F2937"/>
                <w:sz w:val="19"/>
                <w:szCs w:val="19"/>
              </w:rPr>
              <w:t xml:space="preserve">Ratana</w:t>
            </w:r>
          </w:p>
        </w:tc>
        <w:tc>
          <w:tcPr>
            <w:tcW w:type="dxa" w:w="2419"/>
            <w:shd w:fill="FFFFFF" w:val="clear"/>
            <w:tcMar>
              <w:top w:type="dxa" w:w="100"/>
              <w:left w:type="dxa" w:w="120"/>
              <w:bottom w:type="dxa" w:w="100"/>
              <w:right w:type="dxa" w:w="120"/>
            </w:tcMar>
            <w:vAlign w:val="center"/>
          </w:tcPr>
          <w:p>
            <w:r>
              <w:rPr>
                <w:b w:val="false"/>
                <w:bCs w:val="false"/>
                <w:color w:val="1F2937"/>
                <w:sz w:val="19"/>
                <w:szCs w:val="19"/>
              </w:rPr>
              <w:t xml:space="preserve">Half day</w:t>
            </w:r>
          </w:p>
        </w:tc>
      </w:tr>
      <w:tr>
        <w:tc>
          <w:tcPr>
            <w:tcW w:type="dxa" w:w="5242"/>
            <w:shd w:fill="EDF2FB" w:val="clear"/>
            <w:tcMar>
              <w:top w:type="dxa" w:w="100"/>
              <w:left w:type="dxa" w:w="120"/>
              <w:bottom w:type="dxa" w:w="100"/>
              <w:right w:type="dxa" w:w="120"/>
            </w:tcMar>
            <w:vAlign w:val="center"/>
          </w:tcPr>
          <w:p>
            <w:r>
              <w:rPr>
                <w:b w:val="false"/>
                <w:bCs w:val="false"/>
                <w:color w:val="1F2937"/>
                <w:sz w:val="19"/>
                <w:szCs w:val="19"/>
              </w:rPr>
              <w:t xml:space="preserve">Finish the empty placeholder pages (Education, Family Care, IT) before they're visible to more users.</w:t>
            </w:r>
          </w:p>
        </w:tc>
        <w:tc>
          <w:tcPr>
            <w:tcW w:type="dxa" w:w="2419"/>
            <w:shd w:fill="EDF2FB" w:val="clear"/>
            <w:tcMar>
              <w:top w:type="dxa" w:w="100"/>
              <w:left w:type="dxa" w:w="120"/>
              <w:bottom w:type="dxa" w:w="100"/>
              <w:right w:type="dxa" w:w="120"/>
            </w:tcMar>
            <w:vAlign w:val="center"/>
          </w:tcPr>
          <w:p>
            <w:r>
              <w:rPr>
                <w:b w:val="false"/>
                <w:bCs w:val="false"/>
                <w:color w:val="1F2937"/>
                <w:sz w:val="19"/>
                <w:szCs w:val="19"/>
              </w:rPr>
              <w:t xml:space="preserve">Ratana + dept leads</w:t>
            </w:r>
          </w:p>
        </w:tc>
        <w:tc>
          <w:tcPr>
            <w:tcW w:type="dxa" w:w="2419"/>
            <w:shd w:fill="EDF2FB" w:val="clear"/>
            <w:tcMar>
              <w:top w:type="dxa" w:w="100"/>
              <w:left w:type="dxa" w:w="120"/>
              <w:bottom w:type="dxa" w:w="100"/>
              <w:right w:type="dxa" w:w="120"/>
            </w:tcMar>
            <w:vAlign w:val="center"/>
          </w:tcPr>
          <w:p>
            <w:r>
              <w:rPr>
                <w:b w:val="false"/>
                <w:bCs w:val="false"/>
                <w:color w:val="1F2937"/>
                <w:sz w:val="19"/>
                <w:szCs w:val="19"/>
              </w:rPr>
              <w:t xml:space="preserve">1–2 days</w:t>
            </w:r>
          </w:p>
        </w:tc>
      </w:tr>
    </w:tbl>
    <w:p>
      <w:pPr>
        <w:pBdr>
          <w:bottom w:val="single" w:color="D1D5DB" w:sz="6" w:space="1"/>
        </w:pBdr>
        <w:spacing w:after="200" w:before="100"/>
      </w:pPr>
      <w:r>
        <w:t xml:space="preserve"/>
      </w:r>
    </w:p>
    <w:p>
      <w:pPr>
        <w:pStyle w:val="Heading1"/>
        <w:spacing w:after="140" w:before="320"/>
      </w:pPr>
      <w:r>
        <w:rPr>
          <w:b/>
          <w:bCs/>
          <w:color w:val="1F2A44"/>
          <w:sz w:val="26"/>
          <w:szCs w:val="26"/>
        </w:rPr>
        <w:t xml:space="preserve">Recommended next step</w:t>
      </w:r>
    </w:p>
    <w:p>
      <w:pPr>
        <w:spacing w:after="160" w:line="276"/>
      </w:pPr>
      <w:r>
        <w:rPr>
          <w:color w:val="1F2937"/>
          <w:sz w:val="21"/>
          <w:szCs w:val="21"/>
        </w:rPr>
        <w:t xml:space="preserve">Don't run all four phases at once. Start with Phase 1 — the Notion or Airtable backend for directory and announcements. Your Netlify config is already wired for it, so it's the fastest way to kill the git-push bottleneck. Everything after (permissions, workflows, ops) is easier once content isn't hardcoded.</w:t>
      </w:r>
    </w:p>
    <w:p>
      <w:pPr>
        <w:spacing w:after="160" w:line="276"/>
      </w:pPr>
      <w:r>
        <w:rPr>
          <w:color w:val="1F2937"/>
          <w:sz w:val="21"/>
          <w:szCs w:val="21"/>
        </w:rPr>
        <w:t xml:space="preserve">Rough total for a lean version of all four phases with one developer: 6–9 weeks of dev time, spread out around other priorities. Phase 1 alone gets you 80% of the day-to-day pain relief.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2026-07-21T16:53:24.694Z</dcterms:created>
  <dcterms:modified xsi:type="dcterms:W3CDTF">2026-07-21T16:53:24.695Z</dcterms:modified>
</cp:coreProperties>
</file>

<file path=docProps/custom.xml><?xml version="1.0" encoding="utf-8"?>
<Properties xmlns="http://schemas.openxmlformats.org/officeDocument/2006/custom-properties" xmlns:vt="http://schemas.openxmlformats.org/officeDocument/2006/docPropsVTypes"/>
</file>