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18B5F5AE"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56251C" w:rsidRPr="0056251C">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56251C" w:rsidRPr="0056251C">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56251C" w:rsidRPr="0056251C">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3DCEC1FC"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56251C" w:rsidRPr="0056251C">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56251C" w:rsidRPr="0056251C">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4BBE87B7"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56251C" w:rsidRPr="0056251C">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56251C" w:rsidRPr="0056251C">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56251C" w:rsidRPr="0056251C">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w:t>
      </w:r>
      <w:r w:rsidR="00642ACD">
        <w:rPr>
          <w:sz w:val="24"/>
          <w:szCs w:val="24"/>
          <w:lang w:val="en-US"/>
        </w:rPr>
        <w:lastRenderedPageBreak/>
        <w:t xml:space="preserve">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5EBED28F"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56251C" w:rsidRPr="0056251C">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56251C" w:rsidRPr="0056251C">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56251C" w:rsidRPr="0056251C">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56251C" w:rsidRPr="0056251C">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56251C" w:rsidRPr="0056251C">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56251C" w:rsidRPr="0056251C">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56251C" w:rsidRPr="0056251C">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67732BBC"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56251C" w:rsidRPr="0056251C">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4E79A6"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0F792F86"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56251C" w:rsidRPr="0056251C">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w:t>
      </w:r>
      <w:r w:rsidR="0028258A" w:rsidRPr="00355B73">
        <w:rPr>
          <w:sz w:val="24"/>
          <w:szCs w:val="24"/>
        </w:rPr>
        <w:t xml:space="preserve">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56251C" w:rsidRPr="0056251C">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4E79A6">
        <w:rPr>
          <w:sz w:val="24"/>
          <w:szCs w:val="24"/>
        </w:rPr>
        <w:t xml:space="preserve">Network </w:t>
      </w:r>
      <w:r w:rsidR="004E79A6"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7BD2D12F"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4E79A6">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2A188B" w:rsidRDefault="001408EE" w:rsidP="001408EE">
      <w:pPr>
        <w:jc w:val="left"/>
        <w:rPr>
          <w:sz w:val="24"/>
          <w:szCs w:val="24"/>
        </w:rPr>
      </w:pPr>
      <w:r w:rsidRPr="002A188B">
        <w:rPr>
          <w:sz w:val="24"/>
          <w:szCs w:val="24"/>
        </w:rPr>
        <w:t xml:space="preserve">The experiment section contains all of the components needed to produce results. This section contains a section on the data set used, preprocessing, the SMGAN architecture, </w:t>
      </w:r>
      <w:r w:rsidR="00B1065D" w:rsidRPr="002A188B">
        <w:rPr>
          <w:sz w:val="24"/>
          <w:szCs w:val="24"/>
        </w:rPr>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59FBDF6C"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56251C" w:rsidRPr="0056251C">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w:t>
      </w:r>
      <w:r w:rsidR="00093D28" w:rsidRPr="00355B73">
        <w:rPr>
          <w:sz w:val="24"/>
          <w:szCs w:val="24"/>
        </w:rPr>
        <w:lastRenderedPageBreak/>
        <w:t>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56251C" w:rsidRPr="0056251C">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0BF17BC8"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4E79A6" w:rsidRPr="004E79A6">
        <w:rPr>
          <w:sz w:val="24"/>
          <w:szCs w:val="24"/>
        </w:rPr>
        <w:t xml:space="preserve">Table </w:t>
      </w:r>
      <w:r w:rsidR="004E79A6" w:rsidRPr="004E79A6">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44FAD6D9"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4E79A6">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56251C" w:rsidRPr="0056251C">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5C14C916"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4E79A6" w:rsidRPr="004E79A6">
        <w:rPr>
          <w:sz w:val="24"/>
          <w:szCs w:val="24"/>
        </w:rPr>
        <w:t xml:space="preserve">Table </w:t>
      </w:r>
      <w:r w:rsidR="004E79A6" w:rsidRPr="004E79A6">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393A61C8"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4E79A6">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2009A9A4"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4E79A6"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5A2D2A6"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56251C" w:rsidRPr="0056251C">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48F4AB9B"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4E79A6">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56251C" w:rsidRPr="0056251C">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4B204427"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56251C" w:rsidRPr="0056251C">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07BC2B8B"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4E79A6">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26E16" w:rsidRPr="002F0E53">
            <w:rPr>
              <w:sz w:val="22"/>
              <w:szCs w:val="22"/>
            </w:rPr>
            <w:instrText xml:space="preserve"> CITATION Liu21 \l 1033 </w:instrText>
          </w:r>
          <w:r w:rsidR="00E26E16" w:rsidRPr="002F0E53">
            <w:rPr>
              <w:sz w:val="22"/>
              <w:szCs w:val="22"/>
            </w:rPr>
            <w:fldChar w:fldCharType="separate"/>
          </w:r>
          <w:r w:rsidR="0056251C" w:rsidRPr="0056251C">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49F386E8"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56251C" w:rsidRPr="0056251C">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5BEC61A5"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56251C" w:rsidRPr="0056251C">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4E79A6"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3D625B4A"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56251C" w:rsidRPr="0056251C">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58BA2DF3"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56251C" w:rsidRPr="0056251C">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56251C" w:rsidRPr="0056251C">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56251C" w:rsidRPr="0056251C">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7C092E7B" w:rsidR="007C1837" w:rsidRDefault="007C1837" w:rsidP="007C1837">
      <w:pPr>
        <w:pStyle w:val="Caption"/>
        <w:keepNext/>
      </w:pPr>
      <w:r>
        <w:t xml:space="preserve">Table </w:t>
      </w:r>
      <w:r w:rsidR="00A80AA7">
        <w:fldChar w:fldCharType="begin"/>
      </w:r>
      <w:r w:rsidR="00A80AA7">
        <w:instrText xml:space="preserve"> SEQ Table \* A</w:instrText>
      </w:r>
      <w:r w:rsidR="00A80AA7">
        <w:instrText xml:space="preserve">RABIC </w:instrText>
      </w:r>
      <w:r w:rsidR="00A80AA7">
        <w:fldChar w:fldCharType="separate"/>
      </w:r>
      <w:r w:rsidR="004E79A6">
        <w:rPr>
          <w:noProof/>
        </w:rPr>
        <w:t>3</w:t>
      </w:r>
      <w:r w:rsidR="00A80AA7">
        <w:rPr>
          <w:noProof/>
        </w:rPr>
        <w:fldChar w:fldCharType="end"/>
      </w:r>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3A30E6FA"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56251C" w:rsidRPr="0056251C">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4E79A6" w:rsidRPr="004E79A6">
        <w:rPr>
          <w:sz w:val="24"/>
          <w:szCs w:val="24"/>
        </w:rPr>
        <w:t xml:space="preserve">Table </w:t>
      </w:r>
      <w:r w:rsidR="004E79A6" w:rsidRPr="004E79A6">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059FA934" w:rsidR="001207F1" w:rsidRDefault="001207F1" w:rsidP="001207F1">
      <w:pPr>
        <w:pStyle w:val="Caption"/>
        <w:keepNext/>
      </w:pPr>
      <w:bookmarkStart w:id="6" w:name="_Ref175402836"/>
      <w:r>
        <w:t xml:space="preserve">Table </w:t>
      </w:r>
      <w:r w:rsidR="00A80AA7">
        <w:fldChar w:fldCharType="begin"/>
      </w:r>
      <w:r w:rsidR="00A80AA7">
        <w:instrText xml:space="preserve"> SEQ Table \* ARABIC </w:instrText>
      </w:r>
      <w:r w:rsidR="00A80AA7">
        <w:fldChar w:fldCharType="separate"/>
      </w:r>
      <w:r w:rsidR="004E79A6">
        <w:rPr>
          <w:noProof/>
        </w:rPr>
        <w:t>4</w:t>
      </w:r>
      <w:r w:rsidR="00A80AA7">
        <w:rPr>
          <w:noProof/>
        </w:rPr>
        <w:fldChar w:fldCharType="end"/>
      </w:r>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2D7B4763"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56251C" w:rsidRPr="0056251C">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4E79A6" w:rsidRPr="004E79A6">
        <w:rPr>
          <w:sz w:val="24"/>
          <w:szCs w:val="24"/>
        </w:rPr>
        <w:t xml:space="preserve">Figure </w:t>
      </w:r>
      <w:r w:rsidR="004E79A6" w:rsidRPr="004E79A6">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6ED7EFD8" w:rsidR="001544C9" w:rsidRDefault="001544C9" w:rsidP="001544C9">
      <w:pPr>
        <w:pStyle w:val="Caption"/>
        <w:keepNext/>
      </w:pPr>
      <w:bookmarkStart w:id="7" w:name="_Ref175146080"/>
      <w:r>
        <w:t xml:space="preserve">Figure </w:t>
      </w:r>
      <w:r w:rsidR="00A80AA7">
        <w:fldChar w:fldCharType="begin"/>
      </w:r>
      <w:r w:rsidR="00A80AA7">
        <w:instrText xml:space="preserve"> SEQ Figure \* ARABIC </w:instrText>
      </w:r>
      <w:r w:rsidR="00A80AA7">
        <w:fldChar w:fldCharType="separate"/>
      </w:r>
      <w:r w:rsidR="004E79A6">
        <w:rPr>
          <w:noProof/>
        </w:rPr>
        <w:t>4</w:t>
      </w:r>
      <w:r w:rsidR="00A80AA7">
        <w:rPr>
          <w:noProof/>
        </w:rPr>
        <w:fldChar w:fldCharType="end"/>
      </w:r>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13A77F48"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4E79A6" w:rsidRPr="004E79A6">
        <w:rPr>
          <w:sz w:val="24"/>
          <w:szCs w:val="24"/>
        </w:rPr>
        <w:t xml:space="preserve">Figure </w:t>
      </w:r>
      <w:r w:rsidR="004E79A6" w:rsidRPr="004E79A6">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1964DECD" w:rsidR="00100E62" w:rsidRDefault="00100E62" w:rsidP="003E2BF9">
      <w:pPr>
        <w:pStyle w:val="Caption"/>
        <w:keepNext/>
      </w:pPr>
      <w:bookmarkStart w:id="8" w:name="_Ref175151626"/>
      <w:r>
        <w:t xml:space="preserve">Figure </w:t>
      </w:r>
      <w:r w:rsidR="00A80AA7">
        <w:fldChar w:fldCharType="begin"/>
      </w:r>
      <w:r w:rsidR="00A80AA7">
        <w:instrText xml:space="preserve"> SEQ Figure \* ARABIC </w:instrText>
      </w:r>
      <w:r w:rsidR="00A80AA7">
        <w:fldChar w:fldCharType="separate"/>
      </w:r>
      <w:r w:rsidR="004E79A6">
        <w:rPr>
          <w:noProof/>
        </w:rPr>
        <w:t>5</w:t>
      </w:r>
      <w:r w:rsidR="00A80AA7">
        <w:rPr>
          <w:noProof/>
        </w:rPr>
        <w:fldChar w:fldCharType="end"/>
      </w:r>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600E8C00"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56251C" w:rsidRPr="0056251C">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56251C" w:rsidRPr="0056251C">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B62138">
            <w:rPr>
              <w:sz w:val="24"/>
              <w:szCs w:val="24"/>
              <w:lang w:val="en-US"/>
            </w:rPr>
            <w:instrText xml:space="preserve"> CITATION RDK24 \l 1033 </w:instrText>
          </w:r>
          <w:r w:rsidR="00B62138">
            <w:rPr>
              <w:sz w:val="24"/>
              <w:szCs w:val="24"/>
              <w:lang w:val="en-US"/>
            </w:rPr>
            <w:fldChar w:fldCharType="separate"/>
          </w:r>
          <w:r w:rsidR="0056251C" w:rsidRPr="0056251C">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56251C" w:rsidRPr="0056251C">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1B21C1E0"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56251C" w:rsidRPr="0056251C">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247B06B0"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56251C" w:rsidRPr="0056251C">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075F3C2E"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56251C" w:rsidRPr="0056251C">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10570098"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56251C" w:rsidRPr="0056251C">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480A5450"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56251C" w:rsidRPr="0056251C">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56251C" w:rsidRPr="0056251C">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4CA4D34E"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1A3FAE" w:rsidRPr="001A3FAE">
            <w:rPr>
              <w:noProof/>
              <w:sz w:val="24"/>
              <w:szCs w:val="24"/>
              <w:lang w:val="en-US"/>
            </w:rPr>
            <w:t>(Ertl, Estimation of synthetic accessibility score of drug-like molecules based on molecular complexity and fragment contributions,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D525A">
            <w:rPr>
              <w:sz w:val="24"/>
              <w:szCs w:val="24"/>
              <w:lang w:val="en-US"/>
            </w:rPr>
            <w:instrText xml:space="preserve"> CITATION Ert091 \l 1033 </w:instrText>
          </w:r>
          <w:r w:rsidR="00ED525A">
            <w:rPr>
              <w:sz w:val="24"/>
              <w:szCs w:val="24"/>
              <w:lang w:val="en-US"/>
            </w:rPr>
            <w:fldChar w:fldCharType="separate"/>
          </w:r>
          <w:r w:rsidR="0056251C" w:rsidRPr="0056251C">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3F8914BC" w:rsidR="00061733" w:rsidRDefault="00061733" w:rsidP="00061733">
      <w:pPr>
        <w:pStyle w:val="Caption"/>
        <w:keepNext/>
      </w:pPr>
      <w:bookmarkStart w:id="10" w:name="_Ref175302779"/>
      <w:r>
        <w:t xml:space="preserve">Table </w:t>
      </w:r>
      <w:r w:rsidR="00A80AA7">
        <w:fldChar w:fldCharType="begin"/>
      </w:r>
      <w:r w:rsidR="00A80AA7">
        <w:instrText xml:space="preserve"> SEQ Table \* ARABIC </w:instrText>
      </w:r>
      <w:r w:rsidR="00A80AA7">
        <w:fldChar w:fldCharType="separate"/>
      </w:r>
      <w:r w:rsidR="004E79A6">
        <w:rPr>
          <w:noProof/>
        </w:rPr>
        <w:t>5</w:t>
      </w:r>
      <w:r w:rsidR="00A80AA7">
        <w:rPr>
          <w:noProof/>
        </w:rPr>
        <w:fldChar w:fldCharType="end"/>
      </w:r>
      <w:bookmarkEnd w:id="10"/>
      <w:r>
        <w:t xml:space="preserve">. </w:t>
      </w:r>
      <w:r w:rsidR="00F45259">
        <w:t xml:space="preserve">MolGAN and SMGAN </w:t>
      </w:r>
      <w:r>
        <w:t>Best Scoring Results</w:t>
      </w:r>
    </w:p>
    <w:tbl>
      <w:tblPr>
        <w:tblW w:w="2189" w:type="dxa"/>
        <w:jc w:val="center"/>
        <w:tblLook w:val="04A0" w:firstRow="1" w:lastRow="0" w:firstColumn="1" w:lastColumn="0" w:noHBand="0" w:noVBand="1"/>
      </w:tblPr>
      <w:tblGrid>
        <w:gridCol w:w="1223"/>
        <w:gridCol w:w="736"/>
        <w:gridCol w:w="786"/>
      </w:tblGrid>
      <w:tr w:rsidR="00F06B0B" w:rsidRPr="00F06B0B" w14:paraId="49C50B9B" w14:textId="77777777" w:rsidTr="00A668CF">
        <w:trPr>
          <w:trHeight w:val="250"/>
          <w:jc w:val="center"/>
        </w:trPr>
        <w:tc>
          <w:tcPr>
            <w:tcW w:w="1113"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BEEC9EC"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Metric</w:t>
            </w:r>
          </w:p>
        </w:tc>
        <w:tc>
          <w:tcPr>
            <w:tcW w:w="502" w:type="dxa"/>
            <w:tcBorders>
              <w:top w:val="single" w:sz="4" w:space="0" w:color="auto"/>
              <w:left w:val="nil"/>
              <w:bottom w:val="single" w:sz="4" w:space="0" w:color="auto"/>
              <w:right w:val="single" w:sz="4" w:space="0" w:color="auto"/>
            </w:tcBorders>
            <w:shd w:val="clear" w:color="000000" w:fill="D0CECE"/>
            <w:noWrap/>
            <w:vAlign w:val="center"/>
            <w:hideMark/>
          </w:tcPr>
          <w:p w14:paraId="12C56C28"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SMGAN</w:t>
            </w:r>
          </w:p>
        </w:tc>
        <w:tc>
          <w:tcPr>
            <w:tcW w:w="574" w:type="dxa"/>
            <w:tcBorders>
              <w:top w:val="single" w:sz="4" w:space="0" w:color="auto"/>
              <w:left w:val="nil"/>
              <w:bottom w:val="single" w:sz="4" w:space="0" w:color="auto"/>
              <w:right w:val="single" w:sz="4" w:space="0" w:color="auto"/>
            </w:tcBorders>
            <w:shd w:val="clear" w:color="000000" w:fill="D0CECE"/>
            <w:noWrap/>
            <w:vAlign w:val="bottom"/>
            <w:hideMark/>
          </w:tcPr>
          <w:p w14:paraId="3AD2F31A" w14:textId="77777777" w:rsidR="00F06B0B" w:rsidRPr="00A668CF" w:rsidRDefault="00F06B0B" w:rsidP="001A3FAE">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MolGAN</w:t>
            </w:r>
          </w:p>
        </w:tc>
      </w:tr>
      <w:tr w:rsidR="00F06B0B" w:rsidRPr="00F06B0B" w14:paraId="3BF18A7F"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275B070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Valid (%)</w:t>
            </w:r>
          </w:p>
        </w:tc>
        <w:tc>
          <w:tcPr>
            <w:tcW w:w="502" w:type="dxa"/>
            <w:tcBorders>
              <w:top w:val="nil"/>
              <w:left w:val="nil"/>
              <w:bottom w:val="single" w:sz="4" w:space="0" w:color="auto"/>
              <w:right w:val="single" w:sz="4" w:space="0" w:color="auto"/>
            </w:tcBorders>
            <w:shd w:val="clear" w:color="auto" w:fill="auto"/>
            <w:noWrap/>
            <w:vAlign w:val="center"/>
            <w:hideMark/>
          </w:tcPr>
          <w:p w14:paraId="6A28BF6D"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31.20</w:t>
            </w:r>
          </w:p>
        </w:tc>
        <w:tc>
          <w:tcPr>
            <w:tcW w:w="574" w:type="dxa"/>
            <w:tcBorders>
              <w:top w:val="nil"/>
              <w:left w:val="nil"/>
              <w:bottom w:val="single" w:sz="4" w:space="0" w:color="auto"/>
              <w:right w:val="single" w:sz="4" w:space="0" w:color="auto"/>
            </w:tcBorders>
            <w:shd w:val="clear" w:color="auto" w:fill="auto"/>
            <w:noWrap/>
            <w:vAlign w:val="bottom"/>
            <w:hideMark/>
          </w:tcPr>
          <w:p w14:paraId="3844A16C"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58660BFB"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3C5AF0F2"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Unique (%)</w:t>
            </w:r>
          </w:p>
        </w:tc>
        <w:tc>
          <w:tcPr>
            <w:tcW w:w="502" w:type="dxa"/>
            <w:tcBorders>
              <w:top w:val="nil"/>
              <w:left w:val="nil"/>
              <w:bottom w:val="single" w:sz="4" w:space="0" w:color="auto"/>
              <w:right w:val="single" w:sz="4" w:space="0" w:color="auto"/>
            </w:tcBorders>
            <w:shd w:val="clear" w:color="000000" w:fill="F2F2F2"/>
            <w:noWrap/>
            <w:vAlign w:val="center"/>
            <w:hideMark/>
          </w:tcPr>
          <w:p w14:paraId="07DA405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0.05</w:t>
            </w:r>
          </w:p>
        </w:tc>
        <w:tc>
          <w:tcPr>
            <w:tcW w:w="574" w:type="dxa"/>
            <w:tcBorders>
              <w:top w:val="nil"/>
              <w:left w:val="nil"/>
              <w:bottom w:val="single" w:sz="4" w:space="0" w:color="auto"/>
              <w:right w:val="single" w:sz="4" w:space="0" w:color="auto"/>
            </w:tcBorders>
            <w:shd w:val="clear" w:color="000000" w:fill="F2F2F2"/>
            <w:noWrap/>
            <w:vAlign w:val="bottom"/>
            <w:hideMark/>
          </w:tcPr>
          <w:p w14:paraId="5AE32DEF"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0.03</w:t>
            </w:r>
          </w:p>
        </w:tc>
      </w:tr>
      <w:tr w:rsidR="00F06B0B" w:rsidRPr="00F06B0B" w14:paraId="71141485"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5DE6741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 Novel (%)</w:t>
            </w:r>
          </w:p>
        </w:tc>
        <w:tc>
          <w:tcPr>
            <w:tcW w:w="502" w:type="dxa"/>
            <w:tcBorders>
              <w:top w:val="nil"/>
              <w:left w:val="nil"/>
              <w:bottom w:val="single" w:sz="4" w:space="0" w:color="auto"/>
              <w:right w:val="single" w:sz="4" w:space="0" w:color="auto"/>
            </w:tcBorders>
            <w:shd w:val="clear" w:color="auto" w:fill="auto"/>
            <w:noWrap/>
            <w:vAlign w:val="center"/>
            <w:hideMark/>
          </w:tcPr>
          <w:p w14:paraId="6CFFD936"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c>
          <w:tcPr>
            <w:tcW w:w="574" w:type="dxa"/>
            <w:tcBorders>
              <w:top w:val="nil"/>
              <w:left w:val="nil"/>
              <w:bottom w:val="single" w:sz="4" w:space="0" w:color="auto"/>
              <w:right w:val="single" w:sz="4" w:space="0" w:color="auto"/>
            </w:tcBorders>
            <w:shd w:val="clear" w:color="auto" w:fill="auto"/>
            <w:noWrap/>
            <w:vAlign w:val="bottom"/>
            <w:hideMark/>
          </w:tcPr>
          <w:p w14:paraId="2E3CE46E"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68D9D10C"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2A6413E0"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Solubility</w:t>
            </w:r>
          </w:p>
        </w:tc>
        <w:tc>
          <w:tcPr>
            <w:tcW w:w="502" w:type="dxa"/>
            <w:tcBorders>
              <w:top w:val="nil"/>
              <w:left w:val="nil"/>
              <w:bottom w:val="single" w:sz="4" w:space="0" w:color="auto"/>
              <w:right w:val="single" w:sz="4" w:space="0" w:color="auto"/>
            </w:tcBorders>
            <w:shd w:val="clear" w:color="000000" w:fill="F2F2F2"/>
            <w:noWrap/>
            <w:vAlign w:val="center"/>
            <w:hideMark/>
          </w:tcPr>
          <w:p w14:paraId="5C5B3F0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0.60</w:t>
            </w:r>
          </w:p>
        </w:tc>
        <w:tc>
          <w:tcPr>
            <w:tcW w:w="574" w:type="dxa"/>
            <w:tcBorders>
              <w:top w:val="nil"/>
              <w:left w:val="nil"/>
              <w:bottom w:val="single" w:sz="4" w:space="0" w:color="auto"/>
              <w:right w:val="single" w:sz="4" w:space="0" w:color="auto"/>
            </w:tcBorders>
            <w:shd w:val="clear" w:color="000000" w:fill="F2F2F2"/>
            <w:noWrap/>
            <w:vAlign w:val="bottom"/>
            <w:hideMark/>
          </w:tcPr>
          <w:p w14:paraId="338DFAC3"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0.89</w:t>
            </w:r>
          </w:p>
        </w:tc>
      </w:tr>
      <w:tr w:rsidR="00F06B0B" w:rsidRPr="00F06B0B" w14:paraId="595D9813"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07359AC5"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Druglikeness</w:t>
            </w:r>
          </w:p>
        </w:tc>
        <w:tc>
          <w:tcPr>
            <w:tcW w:w="502" w:type="dxa"/>
            <w:tcBorders>
              <w:top w:val="nil"/>
              <w:left w:val="nil"/>
              <w:bottom w:val="single" w:sz="4" w:space="0" w:color="auto"/>
              <w:right w:val="single" w:sz="4" w:space="0" w:color="auto"/>
            </w:tcBorders>
            <w:shd w:val="clear" w:color="auto" w:fill="auto"/>
            <w:noWrap/>
            <w:vAlign w:val="center"/>
            <w:hideMark/>
          </w:tcPr>
          <w:p w14:paraId="2E7F302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0.02</w:t>
            </w:r>
          </w:p>
        </w:tc>
        <w:tc>
          <w:tcPr>
            <w:tcW w:w="574" w:type="dxa"/>
            <w:tcBorders>
              <w:top w:val="nil"/>
              <w:left w:val="nil"/>
              <w:bottom w:val="single" w:sz="4" w:space="0" w:color="auto"/>
              <w:right w:val="single" w:sz="4" w:space="0" w:color="auto"/>
            </w:tcBorders>
            <w:shd w:val="clear" w:color="auto" w:fill="auto"/>
            <w:noWrap/>
            <w:vAlign w:val="bottom"/>
            <w:hideMark/>
          </w:tcPr>
          <w:p w14:paraId="60668DDF"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0.62</w:t>
            </w:r>
          </w:p>
        </w:tc>
      </w:tr>
      <w:tr w:rsidR="00F06B0B" w:rsidRPr="00F06B0B" w14:paraId="5B7416C4"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769FF89A" w14:textId="48DA220B"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Synthesizability</w:t>
            </w:r>
          </w:p>
        </w:tc>
        <w:tc>
          <w:tcPr>
            <w:tcW w:w="502" w:type="dxa"/>
            <w:tcBorders>
              <w:top w:val="nil"/>
              <w:left w:val="nil"/>
              <w:bottom w:val="single" w:sz="4" w:space="0" w:color="auto"/>
              <w:right w:val="single" w:sz="4" w:space="0" w:color="auto"/>
            </w:tcBorders>
            <w:shd w:val="clear" w:color="000000" w:fill="F2F2F2"/>
            <w:noWrap/>
            <w:vAlign w:val="center"/>
            <w:hideMark/>
          </w:tcPr>
          <w:p w14:paraId="721114C4"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0.46</w:t>
            </w:r>
          </w:p>
        </w:tc>
        <w:tc>
          <w:tcPr>
            <w:tcW w:w="574" w:type="dxa"/>
            <w:tcBorders>
              <w:top w:val="nil"/>
              <w:left w:val="nil"/>
              <w:bottom w:val="single" w:sz="4" w:space="0" w:color="auto"/>
              <w:right w:val="single" w:sz="4" w:space="0" w:color="auto"/>
            </w:tcBorders>
            <w:shd w:val="clear" w:color="000000" w:fill="F2F2F2"/>
            <w:noWrap/>
            <w:vAlign w:val="bottom"/>
            <w:hideMark/>
          </w:tcPr>
          <w:p w14:paraId="1456A7E7" w14:textId="77777777" w:rsidR="00F06B0B" w:rsidRPr="00A668CF" w:rsidRDefault="00F06B0B" w:rsidP="001A3FAE">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0303A809"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4E79A6" w:rsidRPr="004E79A6">
        <w:rPr>
          <w:sz w:val="24"/>
          <w:szCs w:val="24"/>
        </w:rPr>
        <w:t xml:space="preserve">Table </w:t>
      </w:r>
      <w:r w:rsidR="004E79A6" w:rsidRPr="004E79A6">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4E79A6" w:rsidRPr="004E79A6">
        <w:rPr>
          <w:sz w:val="24"/>
          <w:szCs w:val="24"/>
        </w:rPr>
        <w:t xml:space="preserve">Figure </w:t>
      </w:r>
      <w:r w:rsidR="004E79A6" w:rsidRPr="004E79A6">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4E79A6" w:rsidRPr="004E79A6">
        <w:rPr>
          <w:sz w:val="24"/>
          <w:szCs w:val="24"/>
        </w:rPr>
        <w:t xml:space="preserve">Figure </w:t>
      </w:r>
      <w:r w:rsidR="004E79A6" w:rsidRPr="004E79A6">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74D72D2F" w:rsidR="00100E62" w:rsidRDefault="00100E62" w:rsidP="00100E62">
      <w:pPr>
        <w:pStyle w:val="Caption"/>
        <w:keepNext/>
        <w:jc w:val="both"/>
      </w:pPr>
      <w:bookmarkStart w:id="11" w:name="_Ref175232419"/>
      <w:r>
        <w:t xml:space="preserve">Figure </w:t>
      </w:r>
      <w:r w:rsidR="00A80AA7">
        <w:fldChar w:fldCharType="begin"/>
      </w:r>
      <w:r w:rsidR="00A80AA7">
        <w:instrText xml:space="preserve"> SEQ Figure \* ARABIC </w:instrText>
      </w:r>
      <w:r w:rsidR="00A80AA7">
        <w:fldChar w:fldCharType="separate"/>
      </w:r>
      <w:r w:rsidR="004E79A6">
        <w:rPr>
          <w:noProof/>
        </w:rPr>
        <w:t>6</w:t>
      </w:r>
      <w:r w:rsidR="00A80AA7">
        <w:rPr>
          <w:noProof/>
        </w:rPr>
        <w:fldChar w:fldCharType="end"/>
      </w:r>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693893FD" w:rsidR="007139B1" w:rsidRDefault="007139B1" w:rsidP="007139B1">
      <w:pPr>
        <w:pStyle w:val="Caption"/>
        <w:keepNext/>
      </w:pPr>
      <w:bookmarkStart w:id="12" w:name="_Ref175232391"/>
      <w:r>
        <w:t xml:space="preserve">Figure </w:t>
      </w:r>
      <w:r w:rsidR="00A80AA7">
        <w:fldChar w:fldCharType="begin"/>
      </w:r>
      <w:r w:rsidR="00A80AA7">
        <w:instrText xml:space="preserve"> SEQ Figure \* ARABIC </w:instrText>
      </w:r>
      <w:r w:rsidR="00A80AA7">
        <w:fldChar w:fldCharType="separate"/>
      </w:r>
      <w:r w:rsidR="004E79A6">
        <w:rPr>
          <w:noProof/>
        </w:rPr>
        <w:t>7</w:t>
      </w:r>
      <w:r w:rsidR="00A80AA7">
        <w:rPr>
          <w:noProof/>
        </w:rPr>
        <w:fldChar w:fldCharType="end"/>
      </w:r>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7C848085"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r w:rsidR="006573AE">
        <w:rPr>
          <w:sz w:val="24"/>
          <w:szCs w:val="24"/>
        </w:rPr>
        <w:t>is</w:t>
      </w:r>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4E79A6" w:rsidRPr="00355B73">
        <w:rPr>
          <w:sz w:val="24"/>
          <w:szCs w:val="24"/>
        </w:rPr>
        <w:t>Evaluation Metrics</w:t>
      </w:r>
      <w:r>
        <w:rPr>
          <w:sz w:val="24"/>
          <w:szCs w:val="24"/>
        </w:rPr>
        <w:fldChar w:fldCharType="end"/>
      </w:r>
      <w:r>
        <w:rPr>
          <w:sz w:val="24"/>
          <w:szCs w:val="24"/>
        </w:rPr>
        <w:t>.</w:t>
      </w:r>
      <w:r w:rsidR="00A84A87">
        <w:rPr>
          <w:sz w:val="24"/>
          <w:szCs w:val="24"/>
        </w:rPr>
        <w:t xml:space="preserve"> </w:t>
      </w:r>
      <w:r w:rsidR="006573AE">
        <w:rPr>
          <w:sz w:val="24"/>
          <w:szCs w:val="24"/>
        </w:rPr>
        <w:t xml:space="preserve">In addition, MolGAN scored better on novelty, solubility, druglikeness and synthesizability. But SMGAN scored nearly twice as good on the uniqueness score, and as good as MolGAN on novelty. However, there are many ways to improve SMGAN performance that are low hanging fruit so to speak. For example, adding viability metrics to the loss function. </w:t>
      </w:r>
      <w:r w:rsidR="004D466F">
        <w:rPr>
          <w:sz w:val="24"/>
          <w:szCs w:val="24"/>
        </w:rPr>
        <w:t xml:space="preserve">Perhaps using deep reinforcement learning like MolGAN could drastically raise SMGAN’s overall </w:t>
      </w:r>
      <w:r w:rsidR="006573AE">
        <w:rPr>
          <w:sz w:val="24"/>
          <w:szCs w:val="24"/>
        </w:rPr>
        <w:t>molecule synthesis performance</w:t>
      </w:r>
      <w:r w:rsidR="004D466F">
        <w:rPr>
          <w:sz w:val="24"/>
          <w:szCs w:val="24"/>
        </w:rPr>
        <w:t xml:space="preserv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309E58BA" w14:textId="77777777" w:rsidR="0056251C" w:rsidRPr="0056251C" w:rsidRDefault="00224391" w:rsidP="0056251C">
              <w:pPr>
                <w:pStyle w:val="Bibliography"/>
                <w:ind w:left="720" w:hanging="720"/>
                <w:jc w:val="left"/>
                <w:rPr>
                  <w:noProof/>
                  <w:sz w:val="24"/>
                  <w:szCs w:val="24"/>
                </w:rPr>
              </w:pPr>
              <w:r w:rsidRPr="0056251C">
                <w:rPr>
                  <w:sz w:val="24"/>
                  <w:szCs w:val="24"/>
                </w:rPr>
                <w:fldChar w:fldCharType="begin"/>
              </w:r>
              <w:r w:rsidRPr="0056251C">
                <w:rPr>
                  <w:sz w:val="24"/>
                  <w:szCs w:val="24"/>
                  <w:lang w:val="es-ES"/>
                </w:rPr>
                <w:instrText xml:space="preserve"> BIBLIOGRAPHY </w:instrText>
              </w:r>
              <w:r w:rsidRPr="0056251C">
                <w:rPr>
                  <w:sz w:val="24"/>
                  <w:szCs w:val="24"/>
                </w:rPr>
                <w:fldChar w:fldCharType="separate"/>
              </w:r>
              <w:r w:rsidR="0056251C" w:rsidRPr="0056251C">
                <w:rPr>
                  <w:noProof/>
                  <w:sz w:val="24"/>
                  <w:szCs w:val="24"/>
                  <w:lang w:val="es-ES"/>
                </w:rPr>
                <w:t xml:space="preserve">Alqahtani, H. E. (19 de Dec de 2019). </w:t>
              </w:r>
              <w:r w:rsidR="0056251C" w:rsidRPr="0056251C">
                <w:rPr>
                  <w:noProof/>
                  <w:sz w:val="24"/>
                  <w:szCs w:val="24"/>
                </w:rPr>
                <w:t>Applications of Generative Adversarial Networks (GANS): An Updated Review.</w:t>
              </w:r>
            </w:p>
            <w:p w14:paraId="45BE9AEE" w14:textId="77777777" w:rsidR="0056251C" w:rsidRPr="0056251C" w:rsidRDefault="0056251C" w:rsidP="0056251C">
              <w:pPr>
                <w:pStyle w:val="Bibliography"/>
                <w:ind w:left="720" w:hanging="720"/>
                <w:jc w:val="left"/>
                <w:rPr>
                  <w:noProof/>
                  <w:sz w:val="24"/>
                  <w:szCs w:val="24"/>
                  <w:lang w:val="de-DE"/>
                </w:rPr>
              </w:pPr>
              <w:r w:rsidRPr="0056251C">
                <w:rPr>
                  <w:noProof/>
                  <w:sz w:val="24"/>
                  <w:szCs w:val="24"/>
                  <w:lang w:val="sv-SE"/>
                </w:rPr>
                <w:t xml:space="preserve">Arjovsky, M. E. (26 de Jan de 2017). </w:t>
              </w:r>
              <w:r w:rsidRPr="0056251C">
                <w:rPr>
                  <w:noProof/>
                  <w:sz w:val="24"/>
                  <w:szCs w:val="24"/>
                  <w:lang w:val="de-DE"/>
                </w:rPr>
                <w:t>Wasserstein GAN.</w:t>
              </w:r>
            </w:p>
            <w:p w14:paraId="3C4A819D" w14:textId="77777777" w:rsidR="0056251C" w:rsidRPr="0056251C" w:rsidRDefault="0056251C" w:rsidP="0056251C">
              <w:pPr>
                <w:pStyle w:val="Bibliography"/>
                <w:ind w:left="720" w:hanging="720"/>
                <w:jc w:val="left"/>
                <w:rPr>
                  <w:noProof/>
                  <w:sz w:val="24"/>
                  <w:szCs w:val="24"/>
                </w:rPr>
              </w:pPr>
              <w:r w:rsidRPr="0056251C">
                <w:rPr>
                  <w:noProof/>
                  <w:sz w:val="24"/>
                  <w:szCs w:val="24"/>
                  <w:lang w:val="de-DE"/>
                </w:rPr>
                <w:t xml:space="preserve">Bickerton, G. R. (2012). </w:t>
              </w:r>
              <w:r w:rsidRPr="0056251C">
                <w:rPr>
                  <w:noProof/>
                  <w:sz w:val="24"/>
                  <w:szCs w:val="24"/>
                </w:rPr>
                <w:t>Quantifying the chemical beauty of drugs.</w:t>
              </w:r>
            </w:p>
            <w:p w14:paraId="115B461F" w14:textId="77777777" w:rsidR="0056251C" w:rsidRPr="0056251C" w:rsidRDefault="0056251C" w:rsidP="0056251C">
              <w:pPr>
                <w:pStyle w:val="Bibliography"/>
                <w:ind w:left="720" w:hanging="720"/>
                <w:jc w:val="left"/>
                <w:rPr>
                  <w:noProof/>
                  <w:sz w:val="24"/>
                  <w:szCs w:val="24"/>
                </w:rPr>
              </w:pPr>
              <w:r w:rsidRPr="0056251C">
                <w:rPr>
                  <w:noProof/>
                  <w:sz w:val="24"/>
                  <w:szCs w:val="24"/>
                </w:rPr>
                <w:t>Bidisha, S. (2019). NeVAE: A Deep Generative Model for Molecular Graphs.</w:t>
              </w:r>
            </w:p>
            <w:p w14:paraId="759DBDD1" w14:textId="77777777" w:rsidR="0056251C" w:rsidRPr="0056251C" w:rsidRDefault="0056251C" w:rsidP="0056251C">
              <w:pPr>
                <w:pStyle w:val="Bibliography"/>
                <w:ind w:left="720" w:hanging="720"/>
                <w:jc w:val="left"/>
                <w:rPr>
                  <w:noProof/>
                  <w:sz w:val="24"/>
                  <w:szCs w:val="24"/>
                </w:rPr>
              </w:pPr>
              <w:r w:rsidRPr="0056251C">
                <w:rPr>
                  <w:noProof/>
                  <w:sz w:val="24"/>
                  <w:szCs w:val="24"/>
                </w:rPr>
                <w:t>Comer, J. a. (2001). Lipophiicity profiles: theory and measurement. Zurick, Switzerland.</w:t>
              </w:r>
            </w:p>
            <w:p w14:paraId="3F8801B9" w14:textId="77777777" w:rsidR="0056251C" w:rsidRPr="0056251C" w:rsidRDefault="0056251C" w:rsidP="0056251C">
              <w:pPr>
                <w:pStyle w:val="Bibliography"/>
                <w:ind w:left="720" w:hanging="720"/>
                <w:jc w:val="left"/>
                <w:rPr>
                  <w:noProof/>
                  <w:sz w:val="24"/>
                  <w:szCs w:val="24"/>
                </w:rPr>
              </w:pPr>
              <w:r w:rsidRPr="0056251C">
                <w:rPr>
                  <w:noProof/>
                  <w:sz w:val="24"/>
                  <w:szCs w:val="24"/>
                </w:rPr>
                <w:t>Cordeonnier, J.-B. E.-A. (20 de May de 2021). Multi-Head Attention: Collaborate Instead of Concatenate.</w:t>
              </w:r>
            </w:p>
            <w:p w14:paraId="5FB6E75A" w14:textId="77777777" w:rsidR="0056251C" w:rsidRPr="0056251C" w:rsidRDefault="0056251C" w:rsidP="0056251C">
              <w:pPr>
                <w:pStyle w:val="Bibliography"/>
                <w:ind w:left="720" w:hanging="720"/>
                <w:jc w:val="left"/>
                <w:rPr>
                  <w:noProof/>
                  <w:sz w:val="24"/>
                  <w:szCs w:val="24"/>
                </w:rPr>
              </w:pPr>
              <w:r w:rsidRPr="0056251C">
                <w:rPr>
                  <w:noProof/>
                  <w:sz w:val="24"/>
                  <w:szCs w:val="24"/>
                </w:rPr>
                <w:t>Das, B. (2018). An Improved Text Sentiment Classification Model Using TF-IDF and Next Word Negation.</w:t>
              </w:r>
            </w:p>
            <w:p w14:paraId="06D65D09"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(2009). Estimation of synthetic accessibility score of drug-like molecules based on molecular complexity and fragment contributions. </w:t>
              </w:r>
              <w:r w:rsidRPr="0056251C">
                <w:rPr>
                  <w:i/>
                  <w:iCs/>
                  <w:noProof/>
                  <w:sz w:val="24"/>
                  <w:szCs w:val="24"/>
                </w:rPr>
                <w:t>Journal of Cheminformatics</w:t>
              </w:r>
              <w:r w:rsidRPr="0056251C">
                <w:rPr>
                  <w:noProof/>
                  <w:sz w:val="24"/>
                  <w:szCs w:val="24"/>
                </w:rPr>
                <w:t>, 1-8.</w:t>
              </w:r>
            </w:p>
            <w:p w14:paraId="68BBE6FA"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(1 de 1 de 2009). </w:t>
              </w:r>
              <w:r w:rsidRPr="0056251C">
                <w:rPr>
                  <w:i/>
                  <w:iCs/>
                  <w:noProof/>
                  <w:sz w:val="24"/>
                  <w:szCs w:val="24"/>
                </w:rPr>
                <w:t>sascorer</w:t>
              </w:r>
              <w:r w:rsidRPr="0056251C">
                <w:rPr>
                  <w:noProof/>
                  <w:sz w:val="24"/>
                  <w:szCs w:val="24"/>
                </w:rPr>
                <w:t>. Obtenido de github: https://github.com/rdkit/rdkit/blob/master/Contrib/SA_Score/sascorer.py</w:t>
              </w:r>
            </w:p>
            <w:p w14:paraId="0B98F451" w14:textId="77777777" w:rsidR="0056251C" w:rsidRPr="0056251C" w:rsidRDefault="0056251C" w:rsidP="0056251C">
              <w:pPr>
                <w:pStyle w:val="Bibliography"/>
                <w:ind w:left="720" w:hanging="720"/>
                <w:jc w:val="left"/>
                <w:rPr>
                  <w:noProof/>
                  <w:sz w:val="24"/>
                  <w:szCs w:val="24"/>
                </w:rPr>
              </w:pPr>
              <w:r w:rsidRPr="0056251C">
                <w:rPr>
                  <w:noProof/>
                  <w:sz w:val="24"/>
                  <w:szCs w:val="24"/>
                </w:rPr>
                <w:t>Goodfellow, E. A. (10 de June de 2014). Generative Adversarial Networks.</w:t>
              </w:r>
            </w:p>
            <w:p w14:paraId="05E185B2" w14:textId="77777777" w:rsidR="0056251C" w:rsidRPr="0056251C" w:rsidRDefault="0056251C" w:rsidP="0056251C">
              <w:pPr>
                <w:pStyle w:val="Bibliography"/>
                <w:ind w:left="720" w:hanging="720"/>
                <w:jc w:val="left"/>
                <w:rPr>
                  <w:noProof/>
                  <w:sz w:val="24"/>
                  <w:szCs w:val="24"/>
                </w:rPr>
              </w:pPr>
              <w:r w:rsidRPr="0056251C">
                <w:rPr>
                  <w:noProof/>
                  <w:sz w:val="24"/>
                  <w:szCs w:val="24"/>
                </w:rPr>
                <w:t>Hankun Dai, E. A. (24 de Febuary de 2018). Syntax-Directed Variational Autoencoder for Structured Data.</w:t>
              </w:r>
            </w:p>
            <w:p w14:paraId="37D2AEF8"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56251C">
                <w:rPr>
                  <w:i/>
                  <w:iCs/>
                  <w:noProof/>
                  <w:sz w:val="24"/>
                  <w:szCs w:val="24"/>
                </w:rPr>
                <w:t>Computing in Science \&amp; Engineering</w:t>
              </w:r>
              <w:r w:rsidRPr="0056251C">
                <w:rPr>
                  <w:noProof/>
                  <w:sz w:val="24"/>
                  <w:szCs w:val="24"/>
                </w:rPr>
                <w:t>, 90-95.</w:t>
              </w:r>
            </w:p>
            <w:p w14:paraId="288F2781" w14:textId="77777777" w:rsidR="0056251C" w:rsidRPr="0056251C" w:rsidRDefault="0056251C" w:rsidP="0056251C">
              <w:pPr>
                <w:pStyle w:val="Bibliography"/>
                <w:ind w:left="720" w:hanging="720"/>
                <w:jc w:val="left"/>
                <w:rPr>
                  <w:noProof/>
                  <w:sz w:val="24"/>
                  <w:szCs w:val="24"/>
                </w:rPr>
              </w:pPr>
              <w:r w:rsidRPr="0056251C">
                <w:rPr>
                  <w:noProof/>
                  <w:sz w:val="24"/>
                  <w:szCs w:val="24"/>
                </w:rPr>
                <w:t>Jaun-Ni Wu, E. A. (2024). t-SMILES: A Fragment-based Molecular Representation Framework for De Novo Ligand Design. Hunan, China.</w:t>
              </w:r>
            </w:p>
            <w:p w14:paraId="16EB3750" w14:textId="77777777" w:rsidR="0056251C" w:rsidRPr="0056251C" w:rsidRDefault="0056251C" w:rsidP="0056251C">
              <w:pPr>
                <w:pStyle w:val="Bibliography"/>
                <w:ind w:left="720" w:hanging="720"/>
                <w:jc w:val="left"/>
                <w:rPr>
                  <w:noProof/>
                  <w:sz w:val="24"/>
                  <w:szCs w:val="24"/>
                </w:rPr>
              </w:pPr>
              <w:r w:rsidRPr="0056251C">
                <w:rPr>
                  <w:noProof/>
                  <w:sz w:val="24"/>
                  <w:szCs w:val="24"/>
                </w:rPr>
                <w:t>Jin, W. E. (29 de March de 2019). Junction Tree Variational Autoencoder for Molecular Graph Generation.</w:t>
              </w:r>
            </w:p>
            <w:p w14:paraId="58B5BB6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Kim, S. (2017). </w:t>
              </w:r>
              <w:r w:rsidRPr="0056251C">
                <w:rPr>
                  <w:i/>
                  <w:iCs/>
                  <w:noProof/>
                  <w:sz w:val="24"/>
                  <w:szCs w:val="24"/>
                </w:rPr>
                <w:t>Line Notation (SNUKES and InCHI)</w:t>
              </w:r>
              <w:r w:rsidRPr="0056251C">
                <w:rPr>
                  <w:noProof/>
                  <w:sz w:val="24"/>
                  <w:szCs w:val="24"/>
                </w:rPr>
                <w:t xml:space="preserve">. </w:t>
              </w:r>
              <w:r w:rsidRPr="0056251C">
                <w:rPr>
                  <w:noProof/>
                  <w:sz w:val="24"/>
                  <w:szCs w:val="24"/>
                  <w:lang w:val="es-ES"/>
                </w:rPr>
                <w:t>Obtenido de LibreTexts Chemistry.</w:t>
              </w:r>
            </w:p>
            <w:p w14:paraId="4EE40363" w14:textId="77777777" w:rsidR="0056251C" w:rsidRPr="0056251C" w:rsidRDefault="0056251C" w:rsidP="0056251C">
              <w:pPr>
                <w:pStyle w:val="Bibliography"/>
                <w:ind w:left="720" w:hanging="720"/>
                <w:jc w:val="left"/>
                <w:rPr>
                  <w:noProof/>
                  <w:sz w:val="24"/>
                  <w:szCs w:val="24"/>
                  <w:lang w:val="sv-SE"/>
                </w:rPr>
              </w:pPr>
              <w:r w:rsidRPr="0056251C">
                <w:rPr>
                  <w:noProof/>
                  <w:sz w:val="24"/>
                  <w:szCs w:val="24"/>
                  <w:lang w:val="es-ES"/>
                </w:rPr>
                <w:t xml:space="preserve">Kusner, M. E. (6 de March de 2017). </w:t>
              </w:r>
              <w:r w:rsidRPr="0056251C">
                <w:rPr>
                  <w:noProof/>
                  <w:sz w:val="24"/>
                  <w:szCs w:val="24"/>
                  <w:lang w:val="sv-SE"/>
                </w:rPr>
                <w:t>Grammer Variational Autoencoder.</w:t>
              </w:r>
            </w:p>
            <w:p w14:paraId="1C62CF0C"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Li, L. E. (16 de March de 2018). </w:t>
              </w:r>
              <w:r w:rsidRPr="0056251C">
                <w:rPr>
                  <w:noProof/>
                  <w:sz w:val="24"/>
                  <w:szCs w:val="24"/>
                </w:rPr>
                <w:t>A System for Massively Parallel Hyperparameter Tuning.</w:t>
              </w:r>
            </w:p>
            <w:p w14:paraId="15ADD049" w14:textId="77777777" w:rsidR="0056251C" w:rsidRPr="0056251C" w:rsidRDefault="0056251C" w:rsidP="0056251C">
              <w:pPr>
                <w:pStyle w:val="Bibliography"/>
                <w:ind w:left="720" w:hanging="720"/>
                <w:jc w:val="left"/>
                <w:rPr>
                  <w:noProof/>
                  <w:sz w:val="24"/>
                  <w:szCs w:val="24"/>
                </w:rPr>
              </w:pPr>
              <w:r w:rsidRPr="0056251C">
                <w:rPr>
                  <w:noProof/>
                  <w:sz w:val="24"/>
                  <w:szCs w:val="24"/>
                </w:rPr>
                <w:t>Liu, X. E. (2021). Bi-directional gated recurrent unit neural network based nonlinear equalizer for coherent optical communication systems.</w:t>
              </w:r>
            </w:p>
            <w:p w14:paraId="481C3A97"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Mangalam, K. G. (29 de Dec de 2021). </w:t>
              </w:r>
              <w:r w:rsidRPr="0056251C">
                <w:rPr>
                  <w:noProof/>
                  <w:sz w:val="24"/>
                  <w:szCs w:val="24"/>
                </w:rPr>
                <w:t>Overcoming Mode Collapse with Adaptive Multi Adversarial Training.</w:t>
              </w:r>
            </w:p>
            <w:p w14:paraId="7E0083E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National Library of Medicine. (22 de July de 2024). </w:t>
              </w:r>
              <w:r w:rsidRPr="0056251C">
                <w:rPr>
                  <w:i/>
                  <w:iCs/>
                  <w:noProof/>
                  <w:sz w:val="24"/>
                  <w:szCs w:val="24"/>
                </w:rPr>
                <w:t>National Center for Biotechnology Information</w:t>
              </w:r>
              <w:r w:rsidRPr="0056251C">
                <w:rPr>
                  <w:noProof/>
                  <w:sz w:val="24"/>
                  <w:szCs w:val="24"/>
                </w:rPr>
                <w:t xml:space="preserve">. </w:t>
              </w:r>
              <w:r w:rsidRPr="0056251C">
                <w:rPr>
                  <w:noProof/>
                  <w:sz w:val="24"/>
                  <w:szCs w:val="24"/>
                  <w:lang w:val="es-ES"/>
                </w:rPr>
                <w:t>Obtenido de PubChem: https://pubchem.ncbi.nlm.nih.gov/</w:t>
              </w:r>
            </w:p>
            <w:p w14:paraId="74D20977"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Nickolls, J. E. (2 de March de 2008). </w:t>
              </w:r>
              <w:r w:rsidRPr="0056251C">
                <w:rPr>
                  <w:noProof/>
                  <w:sz w:val="24"/>
                  <w:szCs w:val="24"/>
                </w:rPr>
                <w:t>Scalable Parallel Programming with CUDA.</w:t>
              </w:r>
            </w:p>
            <w:p w14:paraId="38C20980"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Nicola De Cao, T. K. (2018). </w:t>
              </w:r>
              <w:r w:rsidRPr="0056251C">
                <w:rPr>
                  <w:noProof/>
                  <w:sz w:val="24"/>
                  <w:szCs w:val="24"/>
                </w:rPr>
                <w:t>MolGAN: An Implicit Generative Model for Small Molecular Graphs. Stochholm, Sweden.</w:t>
              </w:r>
            </w:p>
            <w:p w14:paraId="06F3434D" w14:textId="77777777" w:rsidR="0056251C" w:rsidRPr="0056251C" w:rsidRDefault="0056251C" w:rsidP="0056251C">
              <w:pPr>
                <w:pStyle w:val="Bibliography"/>
                <w:ind w:left="720" w:hanging="720"/>
                <w:jc w:val="left"/>
                <w:rPr>
                  <w:noProof/>
                  <w:sz w:val="24"/>
                  <w:szCs w:val="24"/>
                </w:rPr>
              </w:pPr>
              <w:r w:rsidRPr="0056251C">
                <w:rPr>
                  <w:noProof/>
                  <w:sz w:val="24"/>
                  <w:szCs w:val="24"/>
                </w:rPr>
                <w:t>Pagnomi, A. E. (11 de December de 2018). Conditional Variational Autoencoder for Neural Machine Translation.</w:t>
              </w:r>
            </w:p>
            <w:p w14:paraId="3D69A59C"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Pedregosa, F. E. (2011). Scikit-learn: Machine Learning in {P}ython}. </w:t>
              </w:r>
              <w:r w:rsidRPr="0056251C">
                <w:rPr>
                  <w:i/>
                  <w:iCs/>
                  <w:noProof/>
                  <w:sz w:val="24"/>
                  <w:szCs w:val="24"/>
                </w:rPr>
                <w:t>Journal of Machine Learning Research</w:t>
              </w:r>
              <w:r w:rsidRPr="0056251C">
                <w:rPr>
                  <w:noProof/>
                  <w:sz w:val="24"/>
                  <w:szCs w:val="24"/>
                </w:rPr>
                <w:t>, 2825-2830.</w:t>
              </w:r>
            </w:p>
            <w:p w14:paraId="190313D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Phrma. (22 de July de 2024). </w:t>
              </w:r>
              <w:r w:rsidRPr="0056251C">
                <w:rPr>
                  <w:i/>
                  <w:iCs/>
                  <w:noProof/>
                  <w:sz w:val="24"/>
                  <w:szCs w:val="24"/>
                </w:rPr>
                <w:t>Research &amp; Development Policy Framework</w:t>
              </w:r>
              <w:r w:rsidRPr="0056251C">
                <w:rPr>
                  <w:noProof/>
                  <w:sz w:val="24"/>
                  <w:szCs w:val="24"/>
                </w:rPr>
                <w:t xml:space="preserve">. </w:t>
              </w:r>
              <w:r w:rsidRPr="0056251C">
                <w:rPr>
                  <w:noProof/>
                  <w:sz w:val="24"/>
                  <w:szCs w:val="24"/>
                  <w:lang w:val="es-ES"/>
                </w:rPr>
                <w:t>Obtenido de phrma.org: https://phrma.org/policy-issues/Research-and-Development-Policy-Framework</w:t>
              </w:r>
            </w:p>
            <w:p w14:paraId="261CBB21"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Pytorch. (20 de August de 2024). </w:t>
              </w:r>
              <w:r w:rsidRPr="0056251C">
                <w:rPr>
                  <w:i/>
                  <w:iCs/>
                  <w:noProof/>
                  <w:sz w:val="24"/>
                  <w:szCs w:val="24"/>
                  <w:lang w:val="es-ES"/>
                </w:rPr>
                <w:t>Adam</w:t>
              </w:r>
              <w:r w:rsidRPr="0056251C">
                <w:rPr>
                  <w:noProof/>
                  <w:sz w:val="24"/>
                  <w:szCs w:val="24"/>
                  <w:lang w:val="es-ES"/>
                </w:rPr>
                <w:t>. Obtenido de Pytorch: https://pytorch.org/docs/stable/generated/torch.optim.Adam.html</w:t>
              </w:r>
            </w:p>
            <w:p w14:paraId="3743B848"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Ray. (20 de 8 de 2024). </w:t>
              </w:r>
              <w:r w:rsidRPr="0056251C">
                <w:rPr>
                  <w:i/>
                  <w:iCs/>
                  <w:noProof/>
                  <w:sz w:val="24"/>
                  <w:szCs w:val="24"/>
                  <w:lang w:val="es-ES"/>
                </w:rPr>
                <w:t>Tune</w:t>
              </w:r>
              <w:r w:rsidRPr="0056251C">
                <w:rPr>
                  <w:noProof/>
                  <w:sz w:val="24"/>
                  <w:szCs w:val="24"/>
                  <w:lang w:val="es-ES"/>
                </w:rPr>
                <w:t>. Obtenido de Ray: https://docs.ray.io/en/latest/tune/index.html</w:t>
              </w:r>
            </w:p>
            <w:p w14:paraId="3C016D1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Ray. (20 de 8 de 2024). </w:t>
              </w:r>
              <w:r w:rsidRPr="0056251C">
                <w:rPr>
                  <w:i/>
                  <w:iCs/>
                  <w:noProof/>
                  <w:sz w:val="24"/>
                  <w:szCs w:val="24"/>
                </w:rPr>
                <w:t>Tune Trial Schedulers</w:t>
              </w:r>
              <w:r w:rsidRPr="0056251C">
                <w:rPr>
                  <w:noProof/>
                  <w:sz w:val="24"/>
                  <w:szCs w:val="24"/>
                </w:rPr>
                <w:t xml:space="preserve">. </w:t>
              </w:r>
              <w:r w:rsidRPr="0056251C">
                <w:rPr>
                  <w:noProof/>
                  <w:sz w:val="24"/>
                  <w:szCs w:val="24"/>
                  <w:lang w:val="es-ES"/>
                </w:rPr>
                <w:t>Obtenido de Ray: https://docs.ray.io/en/latest/tune/api/schedulers.html</w:t>
              </w:r>
            </w:p>
            <w:p w14:paraId="1DC2B10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RDKit. (2023). </w:t>
              </w:r>
              <w:r w:rsidRPr="0056251C">
                <w:rPr>
                  <w:i/>
                  <w:iCs/>
                  <w:noProof/>
                  <w:sz w:val="24"/>
                  <w:szCs w:val="24"/>
                  <w:lang w:val="es-ES"/>
                </w:rPr>
                <w:t>rdkit.Chem.rdMolTransforms module</w:t>
              </w:r>
              <w:r w:rsidRPr="0056251C">
                <w:rPr>
                  <w:noProof/>
                  <w:sz w:val="24"/>
                  <w:szCs w:val="24"/>
                  <w:lang w:val="es-ES"/>
                </w:rPr>
                <w:t>. Obtenido de rdkit.org: https://www.rdkit.org/docs/source/rdkit.Chem.rdMolTransforms.html</w:t>
              </w:r>
            </w:p>
            <w:p w14:paraId="510EDAD9"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RDKit. (20 de August de 2024). </w:t>
              </w:r>
              <w:r w:rsidRPr="0056251C">
                <w:rPr>
                  <w:i/>
                  <w:iCs/>
                  <w:noProof/>
                  <w:sz w:val="24"/>
                  <w:szCs w:val="24"/>
                </w:rPr>
                <w:t>RDKit: Open-Source Cheminformatics Software</w:t>
              </w:r>
              <w:r w:rsidRPr="0056251C">
                <w:rPr>
                  <w:noProof/>
                  <w:sz w:val="24"/>
                  <w:szCs w:val="24"/>
                </w:rPr>
                <w:t xml:space="preserve">. </w:t>
              </w:r>
              <w:r w:rsidRPr="0056251C">
                <w:rPr>
                  <w:noProof/>
                  <w:sz w:val="24"/>
                  <w:szCs w:val="24"/>
                  <w:lang w:val="es-ES"/>
                </w:rPr>
                <w:t>Obtenido de rdkit.org: 2024</w:t>
              </w:r>
            </w:p>
            <w:p w14:paraId="41EE873B"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lastRenderedPageBreak/>
                <w:t xml:space="preserve">Rigoni, D. E. (1 de Sep de 2020). </w:t>
              </w:r>
              <w:r w:rsidRPr="0056251C">
                <w:rPr>
                  <w:noProof/>
                  <w:sz w:val="24"/>
                  <w:szCs w:val="24"/>
                </w:rPr>
                <w:t>Conditional Constrained Graph Variational Autoencoders for Molecule Design.</w:t>
              </w:r>
            </w:p>
            <w:p w14:paraId="76C6B873"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Simonosvsky, M. K. (9 de Feb de 2018). </w:t>
              </w:r>
              <w:r w:rsidRPr="0056251C">
                <w:rPr>
                  <w:noProof/>
                  <w:sz w:val="24"/>
                  <w:szCs w:val="24"/>
                </w:rPr>
                <w:t>GraphVAE: Towards Generation of Small Graphs Using Variational Autoencoders.</w:t>
              </w:r>
            </w:p>
            <w:p w14:paraId="409F01B3" w14:textId="77777777" w:rsidR="0056251C" w:rsidRPr="0056251C" w:rsidRDefault="0056251C" w:rsidP="0056251C">
              <w:pPr>
                <w:pStyle w:val="Bibliography"/>
                <w:ind w:left="720" w:hanging="720"/>
                <w:jc w:val="left"/>
                <w:rPr>
                  <w:noProof/>
                  <w:sz w:val="24"/>
                  <w:szCs w:val="24"/>
                </w:rPr>
              </w:pPr>
              <w:r w:rsidRPr="0056251C">
                <w:rPr>
                  <w:noProof/>
                  <w:sz w:val="24"/>
                  <w:szCs w:val="24"/>
                </w:rPr>
                <w:t>Van Rossum, G. a. (2009). Python 3 Reference Manual. Scotts Valley, CA, United States.</w:t>
              </w:r>
            </w:p>
            <w:p w14:paraId="2F10F57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Vasquez J, V. (22 de August de 2024). </w:t>
              </w:r>
              <w:r w:rsidRPr="0056251C">
                <w:rPr>
                  <w:i/>
                  <w:iCs/>
                  <w:noProof/>
                  <w:sz w:val="24"/>
                  <w:szCs w:val="24"/>
                  <w:lang w:val="es-ES"/>
                </w:rPr>
                <w:t>SMGAN</w:t>
              </w:r>
              <w:r w:rsidRPr="0056251C">
                <w:rPr>
                  <w:noProof/>
                  <w:sz w:val="24"/>
                  <w:szCs w:val="24"/>
                  <w:lang w:val="es-ES"/>
                </w:rPr>
                <w:t>. Obtenido de github: https://github.com/vanthony715/SMGAN</w:t>
              </w:r>
            </w:p>
            <w:p w14:paraId="38A67E7F"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Vaswani, A. E. (12 de June de 2017). </w:t>
              </w:r>
              <w:r w:rsidRPr="0056251C">
                <w:rPr>
                  <w:noProof/>
                  <w:sz w:val="24"/>
                  <w:szCs w:val="24"/>
                </w:rPr>
                <w:t>Attention is All You Need.</w:t>
              </w:r>
            </w:p>
            <w:p w14:paraId="664FAFEB"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Weininger, D. (1987 de June de 1987). </w:t>
              </w:r>
              <w:r w:rsidRPr="0056251C">
                <w:rPr>
                  <w:noProof/>
                  <w:sz w:val="24"/>
                  <w:szCs w:val="24"/>
                </w:rPr>
                <w:t>SMILES, a Chemical Language and Information System. 1. Introduction to Methodology and Encoding Rules. Claremont, California, United States.</w:t>
              </w:r>
            </w:p>
            <w:p w14:paraId="52755EA5" w14:textId="182B4D97" w:rsidR="00224391" w:rsidRPr="00C651CD" w:rsidRDefault="00224391" w:rsidP="0056251C">
              <w:pPr>
                <w:jc w:val="left"/>
                <w:rPr>
                  <w:sz w:val="24"/>
                  <w:szCs w:val="24"/>
                </w:rPr>
              </w:pPr>
              <w:r w:rsidRPr="0056251C">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3FAE"/>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77E13"/>
    <w:rsid w:val="0028258A"/>
    <w:rsid w:val="002856A0"/>
    <w:rsid w:val="00295363"/>
    <w:rsid w:val="002A188B"/>
    <w:rsid w:val="002C0F22"/>
    <w:rsid w:val="002C1F59"/>
    <w:rsid w:val="002E4CCC"/>
    <w:rsid w:val="002F0E53"/>
    <w:rsid w:val="002F6058"/>
    <w:rsid w:val="003008EA"/>
    <w:rsid w:val="00300FE5"/>
    <w:rsid w:val="00301396"/>
    <w:rsid w:val="0030549E"/>
    <w:rsid w:val="00337EE3"/>
    <w:rsid w:val="00340C12"/>
    <w:rsid w:val="003538A3"/>
    <w:rsid w:val="00355B73"/>
    <w:rsid w:val="00370FB8"/>
    <w:rsid w:val="00394033"/>
    <w:rsid w:val="003A4A31"/>
    <w:rsid w:val="003B16D4"/>
    <w:rsid w:val="003B1B29"/>
    <w:rsid w:val="003B5EFA"/>
    <w:rsid w:val="003C1ECC"/>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D466F"/>
    <w:rsid w:val="004E79A6"/>
    <w:rsid w:val="004F1F42"/>
    <w:rsid w:val="005109BB"/>
    <w:rsid w:val="00517688"/>
    <w:rsid w:val="00520AC4"/>
    <w:rsid w:val="00533EB1"/>
    <w:rsid w:val="005409FD"/>
    <w:rsid w:val="005548E0"/>
    <w:rsid w:val="00561D9E"/>
    <w:rsid w:val="0056251C"/>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573AE"/>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0AA7"/>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66F3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84549"/>
    <w:rsid w:val="00E97613"/>
    <w:rsid w:val="00EA3A7F"/>
    <w:rsid w:val="00EA4700"/>
    <w:rsid w:val="00EA7FA7"/>
    <w:rsid w:val="00EB0FFF"/>
    <w:rsid w:val="00EB2B90"/>
    <w:rsid w:val="00EB416B"/>
    <w:rsid w:val="00EC0FB7"/>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06630105">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66407132">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19943952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29190670">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3099918">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0818438">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2315952">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2660718">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47549071">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41136725">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0764535">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3222251">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77333319">
      <w:bodyDiv w:val="1"/>
      <w:marLeft w:val="0"/>
      <w:marRight w:val="0"/>
      <w:marTop w:val="0"/>
      <w:marBottom w:val="0"/>
      <w:divBdr>
        <w:top w:val="none" w:sz="0" w:space="0" w:color="auto"/>
        <w:left w:val="none" w:sz="0" w:space="0" w:color="auto"/>
        <w:bottom w:val="none" w:sz="0" w:space="0" w:color="auto"/>
        <w:right w:val="none" w:sz="0" w:space="0" w:color="auto"/>
      </w:divBdr>
    </w:div>
    <w:div w:id="777457162">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2331516">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23283287">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49177692">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4733505">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067928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22108108">
      <w:bodyDiv w:val="1"/>
      <w:marLeft w:val="0"/>
      <w:marRight w:val="0"/>
      <w:marTop w:val="0"/>
      <w:marBottom w:val="0"/>
      <w:divBdr>
        <w:top w:val="none" w:sz="0" w:space="0" w:color="auto"/>
        <w:left w:val="none" w:sz="0" w:space="0" w:color="auto"/>
        <w:bottom w:val="none" w:sz="0" w:space="0" w:color="auto"/>
        <w:right w:val="none" w:sz="0" w:space="0" w:color="auto"/>
      </w:divBdr>
    </w:div>
    <w:div w:id="932512264">
      <w:bodyDiv w:val="1"/>
      <w:marLeft w:val="0"/>
      <w:marRight w:val="0"/>
      <w:marTop w:val="0"/>
      <w:marBottom w:val="0"/>
      <w:divBdr>
        <w:top w:val="none" w:sz="0" w:space="0" w:color="auto"/>
        <w:left w:val="none" w:sz="0" w:space="0" w:color="auto"/>
        <w:bottom w:val="none" w:sz="0" w:space="0" w:color="auto"/>
        <w:right w:val="none" w:sz="0" w:space="0" w:color="auto"/>
      </w:divBdr>
    </w:div>
    <w:div w:id="937563187">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5312111">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56060860">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098953">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250610">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17123388">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143803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39496403">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085044">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09284695">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1106391">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7849136">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4476788">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2116119">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31974954">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7895481">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5675239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69519500">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5589799">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01264421">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68496616">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87305007">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5520970">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803960554">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058689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607638">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44778144">
      <w:bodyDiv w:val="1"/>
      <w:marLeft w:val="0"/>
      <w:marRight w:val="0"/>
      <w:marTop w:val="0"/>
      <w:marBottom w:val="0"/>
      <w:divBdr>
        <w:top w:val="none" w:sz="0" w:space="0" w:color="auto"/>
        <w:left w:val="none" w:sz="0" w:space="0" w:color="auto"/>
        <w:bottom w:val="none" w:sz="0" w:space="0" w:color="auto"/>
        <w:right w:val="none" w:sz="0" w:space="0" w:color="auto"/>
      </w:divBdr>
    </w:div>
    <w:div w:id="1847403190">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75993340">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4123632">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36</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29</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30</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
    <b:Tag>Ert091</b:Tag>
    <b:SourceType>InternetSite</b:SourceType>
    <b:Guid>{98FAD4B3-5997-4A91-BE96-93981E005D5D}</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RefOrder>35</b:RefOrder>
  </b:Source>
</b:Sources>
</file>

<file path=customXml/itemProps1.xml><?xml version="1.0" encoding="utf-8"?>
<ds:datastoreItem xmlns:ds="http://schemas.openxmlformats.org/officeDocument/2006/customXml" ds:itemID="{8FD6368A-EE93-4D2B-A8D1-563E2732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29</cp:revision>
  <cp:lastPrinted>2024-08-24T23:58:00Z</cp:lastPrinted>
  <dcterms:created xsi:type="dcterms:W3CDTF">2024-08-22T14:36:00Z</dcterms:created>
  <dcterms:modified xsi:type="dcterms:W3CDTF">2024-08-27T14:44:00Z</dcterms:modified>
</cp:coreProperties>
</file>