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jc w:val="center"/>
      </w:pPr>
      <w:r>
        <w:rPr>
          <w:b/>
          <w:color w:val="17365D"/>
          <w:sz w:val="60"/>
        </w:rPr>
        <w:t>PAYKX</w:t>
      </w:r>
    </w:p>
    <w:p>
      <w:pPr>
        <w:jc w:val="center"/>
      </w:pPr>
      <w:r>
        <w:rPr>
          <w:b/>
          <w:sz w:val="34"/>
        </w:rPr>
        <w:t>TÀI LIỆU ĐẶC TẢ YÊU CẦU PHẦN MỀM (SRS)</w:t>
        <w:br/>
        <w:t>Chức năng hoàn tiền giao dịch</w:t>
      </w:r>
    </w:p>
    <w:p/>
    <w:p>
      <w:pPr>
        <w:jc w:val="center"/>
      </w:pPr>
      <w:r>
        <w:t>Môn học: Nhập Môn Công Nghệ Thông Tin</w:t>
      </w:r>
    </w:p>
    <w:p>
      <w:pPr>
        <w:jc w:val="center"/>
      </w:pPr>
      <w:r>
        <w:t>Lớp: HCMKS26CNTT2</w:t>
      </w:r>
    </w:p>
    <w:p>
      <w:pPr>
        <w:jc w:val="center"/>
      </w:pPr>
      <w:r>
        <w:t>Phiên bản: 1.0</w:t>
      </w:r>
    </w:p>
    <w:p>
      <w:pPr>
        <w:jc w:val="center"/>
      </w:pPr>
      <w:r>
        <w:t>Ngày: 26/10/2026</w:t>
      </w:r>
    </w:p>
    <w:p>
      <w:pPr>
        <w:jc w:val="center"/>
      </w:pPr>
      <w:r>
        <w:t>Trạng thái: Bản đề xuất phục vụ bài tập</w:t>
      </w:r>
    </w:p>
    <w:p/>
    <w:p>
      <w:pPr>
        <w:jc w:val="center"/>
      </w:pPr>
      <w:r>
        <w:rPr>
          <w:i/>
        </w:rPr>
        <w:t>Mục tiêu: mô tả rõ yêu cầu, quy tắc và cách kiểm thử chức năng hoàn tiền của ví điện tử PayKX.</w:t>
      </w:r>
    </w:p>
    <w:p>
      <w:r>
        <w:br w:type="page"/>
      </w:r>
    </w:p>
    <w:p>
      <w:pPr>
        <w:pStyle w:val="Heading1"/>
      </w:pPr>
      <w:r>
        <w:t>Mục lục</w:t>
      </w:r>
    </w:p>
    <w:p>
      <w:r>
        <w:fldChar w:fldCharType="begin"/>
        <w:instrText xml:space="preserve">TOC \o "1-2" \h \z \u</w:instrText>
        <w:fldChar w:fldCharType="separate">
          <w:t>Cập nhật trường khi mở tài liệu</w:t>
        </w:fldChar>
        <w:fldChar w:fldCharType="end"/>
      </w:r>
    </w:p>
    <w:p>
      <w:r>
        <w:t>Lưu ý: Nếu mục lục chưa hiển thị số trang, mở Word, nhấp phải vào mục lục và chọn Update Field / Update entire table.</w:t>
      </w:r>
    </w:p>
    <w:p>
      <w:pPr>
        <w:pStyle w:val="Heading1"/>
      </w:pPr>
      <w:r>
        <w:t>1. Giới thiệu</w:t>
      </w:r>
    </w:p>
    <w:p>
      <w:pPr>
        <w:pStyle w:val="Heading2"/>
      </w:pPr>
      <w:r>
        <w:t>1.1 Mục đích</w:t>
      </w:r>
    </w:p>
    <w:p>
      <w:r>
        <w:t>Tài liệu SRS xác định yêu cầu cho chức năng hoàn tiền của PayKX, một ví điện tử giả định dành cho sinh viên. Tài liệu giúp nhóm phát triển, kiểm thử và người phụ trách nghiệp vụ hiểu thống nhất về phạm vi và kết quả mong đợi.</w:t>
      </w:r>
    </w:p>
    <w:p>
      <w:pPr>
        <w:pStyle w:val="Heading2"/>
      </w:pPr>
      <w:r>
        <w:t>1.2 Phạm vi sản phẩm</w:t>
      </w:r>
    </w:p>
    <w:p>
      <w:r>
        <w:t>PayKX cho phép sinh viên thanh toán các dịch vụ hỗ trợ trong ứng dụng. Khi giao dịch đáp ứng điều kiện chương trình, hệ thống có thể hoàn một phần hoặc toàn bộ số tiền về ví người dùng. Chức năng này không thay thế quy trình khiếu nại hoặc hoàn tiền do ngân hàng xử lý.</w:t>
      </w:r>
    </w:p>
    <w:p>
      <w:pPr>
        <w:pStyle w:val="Heading2"/>
      </w:pPr>
      <w:r>
        <w:t>1.3 Thuật ngữ</w:t>
      </w:r>
    </w:p>
    <w:p>
      <w:pPr>
        <w:pStyle w:val="ListBullet"/>
      </w:pPr>
      <w:r>
        <w:t>Giao dịch: một hoạt động thanh toán được ghi nhận bằng mã giao dịch duy nhất.</w:t>
      </w:r>
    </w:p>
    <w:p>
      <w:pPr>
        <w:pStyle w:val="ListBullet"/>
      </w:pPr>
      <w:r>
        <w:t>Hoàn tiền: khoản tiền được trả lại vào số dư ví sau khi giao dịch được xác nhận đủ điều kiện.</w:t>
      </w:r>
    </w:p>
    <w:p>
      <w:pPr>
        <w:pStyle w:val="ListBullet"/>
      </w:pPr>
      <w:r>
        <w:t>Đối soát: so sánh dữ liệu giao dịch PayKX với dữ liệu từ đối tác để phát hiện sai lệch.</w:t>
      </w:r>
    </w:p>
    <w:p>
      <w:pPr>
        <w:pStyle w:val="Heading2"/>
      </w:pPr>
      <w:r>
        <w:t>1.4 Đối tượng sử dụng</w:t>
      </w:r>
    </w:p>
    <w:p>
      <w:r>
        <w:t>Người dùng là sinh viên đã đăng ký PayKX; nhân viên hỗ trợ xem trạng thái yêu cầu; quản trị viên theo dõi lịch sử và xử lý trường hợp cần kiểm tra.</w:t>
      </w:r>
    </w:p>
    <w:p>
      <w:r>
        <w:br w:type="page"/>
      </w:r>
    </w:p>
    <w:p>
      <w:pPr>
        <w:pStyle w:val="Heading1"/>
      </w:pPr>
      <w:r>
        <w:t>2. Mô tả tổng quan</w:t>
      </w:r>
    </w:p>
    <w:p>
      <w:pPr>
        <w:pStyle w:val="Heading2"/>
      </w:pPr>
      <w:r>
        <w:t>2.1 Bối cảnh vận hành</w:t>
      </w:r>
    </w:p>
    <w:p>
      <w:r>
        <w:t>Người dùng gửi yêu cầu hoàn tiền từ lịch sử giao dịch. Hệ thống kiểm tra trạng thái thanh toán, thời hạn yêu cầu, chính sách ưu đãi và trạng thái hoàn tiền trước đó. Nếu hợp lệ, hệ thống tạo yêu cầu, ghi nhận kết quả và cập nhật số dư ví.</w:t>
      </w:r>
    </w:p>
    <w:p>
      <w:pPr>
        <w:pStyle w:val="Heading2"/>
      </w:pPr>
      <w:r>
        <w:t>2.2 Giả định và giới hạn</w:t>
      </w:r>
    </w:p>
    <w:p>
      <w:pPr>
        <w:pStyle w:val="ListBullet"/>
      </w:pPr>
      <w:r>
        <w:t>Đây là mô hình phục vụ học tập; số liệu, tên đối tác và quy tắc là giả định.</w:t>
      </w:r>
    </w:p>
    <w:p>
      <w:pPr>
        <w:pStyle w:val="ListBullet"/>
      </w:pPr>
      <w:r>
        <w:t>Mỗi giao dịch có một mã duy nhất và một trạng thái hiện tại.</w:t>
      </w:r>
    </w:p>
    <w:p>
      <w:pPr>
        <w:pStyle w:val="ListBullet"/>
      </w:pPr>
      <w:r>
        <w:t>Không cho phép hoàn vượt quá số tiền thực trả của giao dịch.</w:t>
      </w:r>
    </w:p>
    <w:p>
      <w:pPr>
        <w:pStyle w:val="ListBullet"/>
      </w:pPr>
      <w:r>
        <w:t>Giao dịch đã hoàn đủ tiền không được tạo thêm yêu cầu hoàn tiền.</w:t>
      </w:r>
    </w:p>
    <w:p>
      <w:pPr>
        <w:pStyle w:val="Heading2"/>
      </w:pPr>
      <w:r>
        <w:t>2.3 Quy trình chính</w:t>
      </w:r>
    </w:p>
    <w:p>
      <w:pPr>
        <w:pStyle w:val="ListNumber"/>
      </w:pPr>
      <w:r>
        <w:t>Người dùng mở Lịch sử giao dịch và chọn giao dịch cần hoàn.</w:t>
      </w:r>
    </w:p>
    <w:p>
      <w:pPr>
        <w:pStyle w:val="ListNumber"/>
      </w:pPr>
      <w:r>
        <w:t>Ứng dụng hiển thị số tiền, thời gian, trạng thái và lý do có thể chọn.</w:t>
      </w:r>
    </w:p>
    <w:p>
      <w:pPr>
        <w:pStyle w:val="ListNumber"/>
      </w:pPr>
      <w:r>
        <w:t>Người dùng gửi yêu cầu; hệ thống kiểm tra điều kiện và phát hiện yêu cầu trùng.</w:t>
      </w:r>
    </w:p>
    <w:p>
      <w:pPr>
        <w:pStyle w:val="ListNumber"/>
      </w:pPr>
      <w:r>
        <w:t>Nếu hợp lệ, hệ thống tạo mã yêu cầu và chuyển sang trạng thái Đang xử lý.</w:t>
      </w:r>
    </w:p>
    <w:p>
      <w:pPr>
        <w:pStyle w:val="ListNumber"/>
      </w:pPr>
      <w:r>
        <w:t>Khi xử lý thành công, số dư ví được cập nhật và người dùng nhận thông báo.</w:t>
      </w:r>
    </w:p>
    <w:p>
      <w:pPr>
        <w:pStyle w:val="ListNumber"/>
      </w:pPr>
      <w:r>
        <w:t>Nếu không hợp lệ hoặc xử lý thất bại, hệ thống hiển thị lý do và lưu nhật ký.</w:t>
      </w:r>
    </w:p>
    <w:p>
      <w:pPr>
        <w:pStyle w:val="Heading2"/>
      </w:pPr>
      <w:r>
        <w:t>2.4 Quy tắc nghiệp vụ</w:t>
      </w:r>
    </w:p>
    <w:p>
      <w:pPr>
        <w:pStyle w:val="ListBullet"/>
      </w:pPr>
      <w:r>
        <w:t>BR-01: Chỉ giao dịch thanh toán thành công mới được xem xét hoàn tiền.</w:t>
      </w:r>
    </w:p>
    <w:p>
      <w:pPr>
        <w:pStyle w:val="ListBullet"/>
      </w:pPr>
      <w:r>
        <w:t>BR-02: Mỗi yêu cầu phải có mã yêu cầu duy nhất.</w:t>
      </w:r>
    </w:p>
    <w:p>
      <w:pPr>
        <w:pStyle w:val="ListBullet"/>
      </w:pPr>
      <w:r>
        <w:t>BR-03: Tổng tiền đã hoàn và đang chờ hoàn không được vượt số tiền đủ điều kiện.</w:t>
      </w:r>
    </w:p>
    <w:p>
      <w:pPr>
        <w:pStyle w:val="ListBullet"/>
      </w:pPr>
      <w:r>
        <w:t>BR-04: Mọi thay đổi trạng thái phải lưu thời gian và mã tham chiếu.</w:t>
      </w:r>
    </w:p>
    <w:p>
      <w:pPr>
        <w:pStyle w:val="ListBullet"/>
      </w:pPr>
      <w:r>
        <w:t>BR-05: Dữ liệu cá nhân chỉ hiển thị cho người có quyền phù hợp.</w:t>
      </w:r>
    </w:p>
    <w:p>
      <w:r>
        <w:br w:type="page"/>
      </w:r>
    </w:p>
    <w:p>
      <w:pPr>
        <w:pStyle w:val="Heading1"/>
      </w:pPr>
      <w:r>
        <w:t>3. Yêu cầu chức năng</w:t>
      </w:r>
    </w:p>
    <w:p>
      <w:pPr>
        <w:pStyle w:val="Heading2"/>
      </w:pPr>
      <w:r>
        <w:t>3.1 FR-01 – Chọn giao dịch</w:t>
      </w:r>
    </w:p>
    <w:p>
      <w:r>
        <w:t>Mô tả: Người dùng có thể chọn một giao dịch từ lịch sử để xem thông tin và bắt đầu yêu cầu hoàn tiền.</w:t>
      </w:r>
    </w:p>
    <w:p>
      <w:pPr>
        <w:pStyle w:val="ListBullet"/>
      </w:pPr>
      <w:r>
        <w:t>Đầu vào: mã giao dịch do người dùng chọn.</w:t>
      </w:r>
    </w:p>
    <w:p>
      <w:pPr>
        <w:pStyle w:val="ListBullet"/>
      </w:pPr>
      <w:r>
        <w:t>Xử lý: hệ thống tải thông tin giao dịch và kiểm tra quyền sở hữu.</w:t>
      </w:r>
    </w:p>
    <w:p>
      <w:pPr>
        <w:pStyle w:val="ListBullet"/>
      </w:pPr>
      <w:r>
        <w:t>Đầu ra: thông tin giao dịch, số tiền đủ điều kiện và trạng thái hoàn tiền.</w:t>
      </w:r>
    </w:p>
    <w:p>
      <w:pPr>
        <w:pStyle w:val="ListBullet"/>
      </w:pPr>
      <w:r>
        <w:t>Tiêu chí chấp nhận: không hiển thị dữ liệu giao dịch của tài khoản khác; giao dịch không tồn tại phải có thông báo dễ hiểu.</w:t>
      </w:r>
    </w:p>
    <w:p>
      <w:pPr>
        <w:pStyle w:val="Heading2"/>
      </w:pPr>
      <w:r>
        <w:t>3.2 FR-02 – Kiểm tra điều kiện hoàn tiền</w:t>
      </w:r>
    </w:p>
    <w:p>
      <w:r>
        <w:t>Hệ thống kiểm tra giao dịch đã thanh toán thành công, còn trong thời hạn chính sách, chưa hoàn đủ và không có yêu cầu trùng đang xử lý.</w:t>
      </w:r>
    </w:p>
    <w:p>
      <w:pPr>
        <w:pStyle w:val="ListBullet"/>
      </w:pPr>
      <w:r>
        <w:t>Nếu hợp lệ: cho phép tiếp tục gửi yêu cầu.</w:t>
      </w:r>
    </w:p>
    <w:p>
      <w:pPr>
        <w:pStyle w:val="ListBullet"/>
      </w:pPr>
      <w:r>
        <w:t>Nếu không hợp lệ: chặn thao tác và nêu nguyên nhân cụ thể.</w:t>
      </w:r>
    </w:p>
    <w:p>
      <w:pPr>
        <w:pStyle w:val="ListBullet"/>
      </w:pPr>
      <w:r>
        <w:t>Tiêu chí chấp nhận: cùng một giao dịch không thể tạo hai yêu cầu hoàn tiền đang hoạt động.</w:t>
      </w:r>
    </w:p>
    <w:p>
      <w:pPr>
        <w:pStyle w:val="Heading2"/>
      </w:pPr>
      <w:r>
        <w:t>3.3 FR-03 – Tạo yêu cầu hoàn tiền</w:t>
      </w:r>
    </w:p>
    <w:p>
      <w:r>
        <w:t>Người dùng chọn lý do, xem lại số tiền dự kiến và xác nhận gửi yêu cầu. Hệ thống tạo mã yêu cầu, lưu người gửi, mã giao dịch, số tiền, lý do, thời điểm và trạng thái ban đầu.</w:t>
      </w:r>
    </w:p>
    <w:p>
      <w:pPr>
        <w:pStyle w:val="ListBullet"/>
      </w:pPr>
      <w:r>
        <w:t>Trường bắt buộc: mã giao dịch, mã người dùng, số tiền, lý do, thời gian tạo.</w:t>
      </w:r>
    </w:p>
    <w:p>
      <w:pPr>
        <w:pStyle w:val="ListBullet"/>
      </w:pPr>
      <w:r>
        <w:t>Tiêu chí chấp nhận: nếu thiếu trường bắt buộc, hệ thống yêu cầu bổ sung; không ghi nhận yêu cầu thiếu dữ liệu.</w:t>
      </w:r>
    </w:p>
    <w:p>
      <w:pPr>
        <w:pStyle w:val="Heading2"/>
      </w:pPr>
      <w:r>
        <w:t>3.4 FR-04 – Xử lý kết quả</w:t>
      </w:r>
    </w:p>
    <w:p>
      <w:r>
        <w:t>Hệ thống tiếp nhận kết quả xử lý từ bộ phận phụ trách hoặc dịch vụ thanh toán. Trạng thái có thể là Đang xử lý, Thành công, Từ chối hoặc Thất bại.</w:t>
      </w:r>
    </w:p>
    <w:p>
      <w:pPr>
        <w:pStyle w:val="ListBullet"/>
      </w:pPr>
      <w:r>
        <w:t>Khi thành công: cập nhật số dư ví đúng một lần và lưu mã tham chiếu.</w:t>
      </w:r>
    </w:p>
    <w:p>
      <w:pPr>
        <w:pStyle w:val="ListBullet"/>
      </w:pPr>
      <w:r>
        <w:t>Khi thất bại: không cộng tiền vào ví; ghi nhận lý do để hỗ trợ kiểm tra.</w:t>
      </w:r>
    </w:p>
    <w:p>
      <w:r>
        <w:br w:type="page"/>
      </w:r>
    </w:p>
    <w:p>
      <w:pPr>
        <w:pStyle w:val="Heading1"/>
      </w:pPr>
      <w:r>
        <w:t>4. Yêu cầu bổ sung và dữ liệu</w:t>
      </w:r>
    </w:p>
    <w:p>
      <w:pPr>
        <w:pStyle w:val="Heading2"/>
      </w:pPr>
      <w:r>
        <w:t>4.1 FR-05 – Thông báo trạng thái</w:t>
      </w:r>
    </w:p>
    <w:p>
      <w:r>
        <w:t>Ứng dụng thông báo khi yêu cầu được tạo, hoàn tất hoặc bị từ chối. Thông báo cần hiển thị mã yêu cầu, trạng thái và hướng dẫn liên hệ hỗ trợ nếu cần.</w:t>
      </w:r>
    </w:p>
    <w:p>
      <w:pPr>
        <w:pStyle w:val="Heading2"/>
      </w:pPr>
      <w:r>
        <w:t>4.2 FR-06 – Lịch sử và tra cứu</w:t>
      </w:r>
    </w:p>
    <w:p>
      <w:r>
        <w:t>Người dùng xem được các yêu cầu hoàn tiền của mình theo thời gian. Nhân viên được phân quyền có thể tra cứu bằng mã giao dịch hoặc mã yêu cầu. Mọi thao tác tra cứu quản trị cần được ghi nhật ký.</w:t>
      </w:r>
    </w:p>
    <w:p>
      <w:pPr>
        <w:pStyle w:val="Heading2"/>
      </w:pPr>
      <w:r>
        <w:t>4.3 Cấu trúc dữ liệu đề xuất</w:t>
      </w:r>
    </w:p>
    <w:p>
      <w:pPr>
        <w:pStyle w:val="ListBullet"/>
      </w:pPr>
      <w:r>
        <w:t>RefundRequest: RefundID, TransactionID, UserID, Amount, Reason, Status, CreatedAt, UpdatedAt, ReferenceCode.</w:t>
      </w:r>
    </w:p>
    <w:p>
      <w:pPr>
        <w:pStyle w:val="ListBullet"/>
      </w:pPr>
      <w:r>
        <w:t>Transaction: TransactionID, UserID, TransactionDate, GrossAmount, Fee, NetAmount, PaymentStatus.</w:t>
      </w:r>
    </w:p>
    <w:p>
      <w:pPr>
        <w:pStyle w:val="ListBullet"/>
      </w:pPr>
      <w:r>
        <w:t>User: UserID, FullName, StudentEmail, WalletStatus.</w:t>
      </w:r>
    </w:p>
    <w:p>
      <w:r>
        <w:t>Mỗi bản ghi (Record) là một yêu cầu hoặc giao dịch riêng. Mỗi trường (Field) là một thuộc tính như TransactionID hoặc Amount. Mã định danh không được trùng và số tiền phải lưu ở dạng số.</w:t>
      </w:r>
    </w:p>
    <w:p>
      <w:pPr>
        <w:pStyle w:val="Heading2"/>
      </w:pPr>
      <w:r>
        <w:t>4.4 Yêu cầu phi chức năng</w:t>
      </w:r>
    </w:p>
    <w:p>
      <w:pPr>
        <w:pStyle w:val="ListBullet"/>
      </w:pPr>
      <w:r>
        <w:t>NFR-01 Hiệu năng: thông tin lịch sử thông thường hiển thị trong vòng 3 giây ở điều kiện mạng ổn định.</w:t>
      </w:r>
    </w:p>
    <w:p>
      <w:pPr>
        <w:pStyle w:val="ListBullet"/>
      </w:pPr>
      <w:r>
        <w:t>NFR-02 Bảo mật: xác thực người dùng, phân quyền nhân viên và không lưu mật khẩu dạng văn bản thuần.</w:t>
      </w:r>
    </w:p>
    <w:p>
      <w:pPr>
        <w:pStyle w:val="ListBullet"/>
      </w:pPr>
      <w:r>
        <w:t>NFR-03 Toàn vẹn: xử lý hoàn tiền phải chống ghi nhận hai lần khi yêu cầu được gửi lại.</w:t>
      </w:r>
    </w:p>
    <w:p>
      <w:pPr>
        <w:pStyle w:val="ListBullet"/>
      </w:pPr>
      <w:r>
        <w:t>NFR-04 Khả dụng: khi dịch vụ thanh toán gián đoạn, yêu cầu cần được giữ trạng thái phù hợp và có thể tra cứu.</w:t>
      </w:r>
    </w:p>
    <w:p>
      <w:pPr>
        <w:pStyle w:val="ListBullet"/>
      </w:pPr>
      <w:r>
        <w:t>NFR-05 Khả năng kiểm toán: lưu dấu thời gian, trạng thái cũ/mới và mã tham chiếu cho các lần cập nhật.</w:t>
      </w:r>
    </w:p>
    <w:p>
      <w:pPr>
        <w:pStyle w:val="Heading2"/>
      </w:pPr>
      <w:r>
        <w:t>4.5 Giao diện và thông báo lỗi</w:t>
      </w:r>
    </w:p>
    <w:p>
      <w:r>
        <w:t>Nút gửi yêu cầu cần có trạng thái đang xử lý để tránh nhấn nhiều lần. Thông báo lỗi phải nêu hành động tiếp theo, không hiển thị thông tin nhạy cảm hoặc lỗi kỹ thuật nội bộ.</w:t>
      </w:r>
    </w:p>
    <w:p>
      <w:r>
        <w:br w:type="page"/>
      </w:r>
    </w:p>
    <w:p>
      <w:pPr>
        <w:pStyle w:val="Heading1"/>
      </w:pPr>
      <w:r>
        <w:t>5. Kiểm thử và tiêu chí nghiệm thu</w:t>
      </w:r>
    </w:p>
    <w:p>
      <w:pPr>
        <w:pStyle w:val="Heading2"/>
      </w:pPr>
      <w:r>
        <w:t>5.1 Các trường hợp kiểm thử</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sz w:val="16"/>
              </w:rPr>
              <w:t>Mã test</w:t>
            </w:r>
          </w:p>
        </w:tc>
        <w:tc>
          <w:tcPr>
            <w:tcW w:type="dxa" w:w="3312"/>
          </w:tcPr>
          <w:p>
            <w:r>
              <w:rPr>
                <w:sz w:val="16"/>
              </w:rPr>
              <w:t>Dữ liệu / tình huống</w:t>
            </w:r>
          </w:p>
        </w:tc>
        <w:tc>
          <w:tcPr>
            <w:tcW w:type="dxa" w:w="3312"/>
          </w:tcPr>
          <w:p>
            <w:r>
              <w:rPr>
                <w:sz w:val="16"/>
              </w:rPr>
              <w:t>Kết quả mong đợi</w:t>
            </w:r>
          </w:p>
        </w:tc>
      </w:tr>
      <w:tr>
        <w:tc>
          <w:tcPr>
            <w:tcW w:type="dxa" w:w="3312"/>
          </w:tcPr>
          <w:p>
            <w:r>
              <w:rPr>
                <w:sz w:val="16"/>
              </w:rPr>
              <w:t>TC-01</w:t>
            </w:r>
          </w:p>
        </w:tc>
        <w:tc>
          <w:tcPr>
            <w:tcW w:type="dxa" w:w="3312"/>
          </w:tcPr>
          <w:p>
            <w:r>
              <w:rPr>
                <w:sz w:val="16"/>
              </w:rPr>
              <w:t>Giao dịch thanh toán thành công, còn hạn, chưa hoàn</w:t>
            </w:r>
          </w:p>
        </w:tc>
        <w:tc>
          <w:tcPr>
            <w:tcW w:type="dxa" w:w="3312"/>
          </w:tcPr>
          <w:p>
            <w:r>
              <w:rPr>
                <w:sz w:val="16"/>
              </w:rPr>
              <w:t>Tạo yêu cầu và sinh mã yêu cầu.</w:t>
            </w:r>
          </w:p>
        </w:tc>
      </w:tr>
      <w:tr>
        <w:tc>
          <w:tcPr>
            <w:tcW w:type="dxa" w:w="3312"/>
          </w:tcPr>
          <w:p>
            <w:r>
              <w:rPr>
                <w:sz w:val="16"/>
              </w:rPr>
              <w:t>TC-02</w:t>
            </w:r>
          </w:p>
        </w:tc>
        <w:tc>
          <w:tcPr>
            <w:tcW w:type="dxa" w:w="3312"/>
          </w:tcPr>
          <w:p>
            <w:r>
              <w:rPr>
                <w:sz w:val="16"/>
              </w:rPr>
              <w:t>Giao dịch đang chờ thanh toán</w:t>
            </w:r>
          </w:p>
        </w:tc>
        <w:tc>
          <w:tcPr>
            <w:tcW w:type="dxa" w:w="3312"/>
          </w:tcPr>
          <w:p>
            <w:r>
              <w:rPr>
                <w:sz w:val="16"/>
              </w:rPr>
              <w:t>Không cho gửi yêu cầu; hiển thị lý do.</w:t>
            </w:r>
          </w:p>
        </w:tc>
      </w:tr>
      <w:tr>
        <w:tc>
          <w:tcPr>
            <w:tcW w:type="dxa" w:w="3312"/>
          </w:tcPr>
          <w:p>
            <w:r>
              <w:rPr>
                <w:sz w:val="16"/>
              </w:rPr>
              <w:t>TC-03</w:t>
            </w:r>
          </w:p>
        </w:tc>
        <w:tc>
          <w:tcPr>
            <w:tcW w:type="dxa" w:w="3312"/>
          </w:tcPr>
          <w:p>
            <w:r>
              <w:rPr>
                <w:sz w:val="16"/>
              </w:rPr>
              <w:t>Giao dịch đã hoàn đủ tiền</w:t>
            </w:r>
          </w:p>
        </w:tc>
        <w:tc>
          <w:tcPr>
            <w:tcW w:type="dxa" w:w="3312"/>
          </w:tcPr>
          <w:p>
            <w:r>
              <w:rPr>
                <w:sz w:val="16"/>
              </w:rPr>
              <w:t>Chặn yêu cầu mới.</w:t>
            </w:r>
          </w:p>
        </w:tc>
      </w:tr>
      <w:tr>
        <w:tc>
          <w:tcPr>
            <w:tcW w:type="dxa" w:w="3312"/>
          </w:tcPr>
          <w:p>
            <w:r>
              <w:rPr>
                <w:sz w:val="16"/>
              </w:rPr>
              <w:t>TC-04</w:t>
            </w:r>
          </w:p>
        </w:tc>
        <w:tc>
          <w:tcPr>
            <w:tcW w:type="dxa" w:w="3312"/>
          </w:tcPr>
          <w:p>
            <w:r>
              <w:rPr>
                <w:sz w:val="16"/>
              </w:rPr>
              <w:t>Nhấn gửi hai lần liên tiếp</w:t>
            </w:r>
          </w:p>
        </w:tc>
        <w:tc>
          <w:tcPr>
            <w:tcW w:type="dxa" w:w="3312"/>
          </w:tcPr>
          <w:p>
            <w:r>
              <w:rPr>
                <w:sz w:val="16"/>
              </w:rPr>
              <w:t>Chỉ tạo một yêu cầu đang hoạt động.</w:t>
            </w:r>
          </w:p>
        </w:tc>
      </w:tr>
      <w:tr>
        <w:tc>
          <w:tcPr>
            <w:tcW w:type="dxa" w:w="3312"/>
          </w:tcPr>
          <w:p>
            <w:r>
              <w:rPr>
                <w:sz w:val="16"/>
              </w:rPr>
              <w:t>TC-05</w:t>
            </w:r>
          </w:p>
        </w:tc>
        <w:tc>
          <w:tcPr>
            <w:tcW w:type="dxa" w:w="3312"/>
          </w:tcPr>
          <w:p>
            <w:r>
              <w:rPr>
                <w:sz w:val="16"/>
              </w:rPr>
              <w:t>Dịch vụ xử lý hoàn tiền trả về thất bại</w:t>
            </w:r>
          </w:p>
        </w:tc>
        <w:tc>
          <w:tcPr>
            <w:tcW w:type="dxa" w:w="3312"/>
          </w:tcPr>
          <w:p>
            <w:r>
              <w:rPr>
                <w:sz w:val="16"/>
              </w:rPr>
              <w:t>Không cộng tiền vào ví; lưu lỗi và trạng thái.</w:t>
            </w:r>
          </w:p>
        </w:tc>
      </w:tr>
      <w:tr>
        <w:tc>
          <w:tcPr>
            <w:tcW w:type="dxa" w:w="3312"/>
          </w:tcPr>
          <w:p>
            <w:r>
              <w:rPr>
                <w:sz w:val="16"/>
              </w:rPr>
              <w:t>TC-06</w:t>
            </w:r>
          </w:p>
        </w:tc>
        <w:tc>
          <w:tcPr>
            <w:tcW w:type="dxa" w:w="3312"/>
          </w:tcPr>
          <w:p>
            <w:r>
              <w:rPr>
                <w:sz w:val="16"/>
              </w:rPr>
              <w:t>Người dùng truy cập giao dịch của tài khoản khác</w:t>
            </w:r>
          </w:p>
        </w:tc>
        <w:tc>
          <w:tcPr>
            <w:tcW w:type="dxa" w:w="3312"/>
          </w:tcPr>
          <w:p>
            <w:r>
              <w:rPr>
                <w:sz w:val="16"/>
              </w:rPr>
              <w:t>Từ chối truy cập và ghi nhận sự kiện phù hợp.</w:t>
            </w:r>
          </w:p>
        </w:tc>
      </w:tr>
    </w:tbl>
    <w:p>
      <w:pPr>
        <w:pStyle w:val="Heading2"/>
      </w:pPr>
      <w:r>
        <w:t>5.2 Điều kiện nghiệm thu</w:t>
      </w:r>
    </w:p>
    <w:p>
      <w:pPr>
        <w:pStyle w:val="ListBullet"/>
      </w:pPr>
      <w:r>
        <w:t>Tất cả trường hợp kiểm thử quan trọng đạt kết quả mong đợi.</w:t>
      </w:r>
    </w:p>
    <w:p>
      <w:pPr>
        <w:pStyle w:val="ListBullet"/>
      </w:pPr>
      <w:r>
        <w:t>Số tiền hoàn không vượt số tiền đủ điều kiện và không bị cộng trùng.</w:t>
      </w:r>
    </w:p>
    <w:p>
      <w:pPr>
        <w:pStyle w:val="ListBullet"/>
      </w:pPr>
      <w:r>
        <w:t>Người dùng xem được trạng thái mới nhất của yêu cầu.</w:t>
      </w:r>
    </w:p>
    <w:p>
      <w:pPr>
        <w:pStyle w:val="ListBullet"/>
      </w:pPr>
      <w:r>
        <w:t>Nhật ký đủ thông tin để truy vết khi đối soát phát hiện sai lệch.</w:t>
      </w:r>
    </w:p>
    <w:p>
      <w:pPr>
        <w:pStyle w:val="Heading2"/>
      </w:pPr>
      <w:r>
        <w:t>5.3 Rủi ro và hướng xử lý</w:t>
      </w:r>
    </w:p>
    <w:p>
      <w:r>
        <w:t>Rủi ro: dữ liệu từ đối tác về chậm, mã giao dịch có khoảng trắng hoặc người dùng gửi yêu cầu lặp. Hướng xử lý: chuẩn hóa mã bằng TRIM khi đối soát, dùng mã giao dịch duy nhất, kiểm tra trạng thái trước khi ghi nhận và lưu các trường hợp lệch để xử lý thủ công.</w:t>
      </w:r>
    </w:p>
    <w:p>
      <w:pPr>
        <w:pStyle w:val="Heading2"/>
      </w:pPr>
      <w:r>
        <w:t>5.4 Phê duyệt</w:t>
      </w:r>
    </w:p>
    <w:p>
      <w:r>
        <w:t>Đại diện nghiệp vụ: ____________________     Người kiểm thử: ____________________</w:t>
      </w:r>
    </w:p>
    <w:p>
      <w:r>
        <w:t>Ngày phê duyệt: ____ / ____ / ______</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Tài liệu học tập giả định – Phiên bản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PayKX | Tài liệu đặc tả yêu cầu phần mềm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