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4A6E"/>
          <w:sz w:val="42"/>
        </w:rPr>
        <w:t>TÀI LIỆU ĐẶC TẢ YÊU CẦU PHẦN MỀM</w:t>
      </w:r>
    </w:p>
    <w:p>
      <w:pPr>
        <w:jc w:val="center"/>
      </w:pPr>
      <w:r>
        <w:rPr>
          <w:b/>
          <w:color w:val="167D9A"/>
          <w:sz w:val="30"/>
        </w:rPr>
        <w:t>SRS — Module Bệnh án điện tử | Clinic-Cloud</w:t>
      </w:r>
    </w:p>
    <w:p>
      <w:pPr>
        <w:jc w:val="center"/>
      </w:pPr>
      <w:r>
        <w:rPr>
          <w:i/>
          <w:color w:val="5A646E"/>
          <w:sz w:val="18"/>
        </w:rPr>
        <w:t>Phiên bản 1.0  •  Tài liệu bài tập  •  Ngày 27/10/2026</w:t>
      </w:r>
    </w:p>
    <w:tbl>
      <w:tblPr>
        <w:tblStyle w:val="TableGrid"/>
        <w:tblW w:type="auto" w:w="0"/>
        <w:tblLook w:firstColumn="1" w:firstRow="1" w:lastColumn="0" w:lastRow="0" w:noHBand="0" w:noVBand="1" w:val="04A0"/>
      </w:tblPr>
      <w:tblGrid>
        <w:gridCol w:w="10166"/>
      </w:tblGrid>
      <w:tr>
        <w:tc>
          <w:tcPr>
            <w:tcW w:type="dxa" w:w="10166"/>
            <w:vAlign w:val="center"/>
            <w:shd w:fill="E7F2F7"/>
          </w:tcPr>
          <w:p>
            <w:pPr>
              <w:spacing w:after="20"/>
            </w:pPr>
            <w:r/>
            <w:r>
              <w:rPr>
                <w:b/>
                <w:color w:val="174A6E"/>
                <w:sz w:val="18"/>
              </w:rPr>
              <w:t>LƯU Ý: Đây là đề xuất học tập, không phải hệ thống đã triển khai hoặc được chứng nhận an toàn. File Excel đi kèm chỉ chứa dữ liệu giả lập; không nhập thông tin sức khỏe thật.</w:t>
            </w:r>
          </w:p>
        </w:tc>
      </w:tr>
    </w:tbl>
    <w:p/>
    <w:p>
      <w:pPr>
        <w:pStyle w:val="Heading1"/>
      </w:pPr>
      <w:r>
        <w:t>1. Mục đích và phạm vi</w:t>
      </w:r>
    </w:p>
    <w:p>
      <w:r>
        <w:t>Tài liệu mô tả yêu cầu cho module Bệnh án điện tử của phòng khám startup. Mục tiêu là lưu trữ hồ sơ tập trung, hỗ trợ bác sĩ tra cứu và cập nhật thông tin khám, đồng thời hạn chế truy cập trái phép vào dữ liệu sức khỏe.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4A6E"/>
          </w:tcPr>
          <w:p>
            <w:pPr>
              <w:spacing w:after="20"/>
            </w:pPr>
            <w:r/>
            <w:r>
              <w:rPr>
                <w:b/>
                <w:color w:val="FFFFFF"/>
                <w:sz w:val="18"/>
              </w:rPr>
              <w:t>Nội dung</w:t>
            </w:r>
          </w:p>
        </w:tc>
        <w:tc>
          <w:tcPr>
            <w:tcW w:type="dxa" w:w="5083"/>
            <w:vAlign w:val="center"/>
            <w:shd w:fill="174A6E"/>
          </w:tcPr>
          <w:p>
            <w:pPr>
              <w:spacing w:after="20"/>
            </w:pPr>
            <w:r/>
            <w:r>
              <w:rPr>
                <w:b/>
                <w:color w:val="FFFFFF"/>
                <w:sz w:val="18"/>
              </w:rPr>
              <w:t>Mô tả</w:t>
            </w:r>
          </w:p>
        </w:tc>
      </w:tr>
      <w:tr>
        <w:tc>
          <w:tcPr>
            <w:tcW w:type="dxa" w:w="5083"/>
            <w:vAlign w:val="center"/>
          </w:tcPr>
          <w:p>
            <w:pPr>
              <w:spacing w:after="20"/>
            </w:pPr>
            <w:r/>
            <w:r>
              <w:rPr>
                <w:b w:val="0"/>
                <w:sz w:val="17"/>
              </w:rPr>
              <w:t>Trong phạm vi</w:t>
            </w:r>
          </w:p>
        </w:tc>
        <w:tc>
          <w:tcPr>
            <w:tcW w:type="dxa" w:w="5083"/>
            <w:vAlign w:val="center"/>
          </w:tcPr>
          <w:p>
            <w:pPr>
              <w:spacing w:after="20"/>
            </w:pPr>
            <w:r/>
            <w:r>
              <w:rPr>
                <w:b w:val="0"/>
                <w:sz w:val="17"/>
              </w:rPr>
              <w:t>Hồ sơ bệnh nhân; thông tin lần khám; ghi nhận chẩn đoán, kế hoạch điều trị và đơn thuốc; tìm kiếm; phân quyền; nhật ký truy cập; sao lưu.</w:t>
            </w:r>
          </w:p>
        </w:tc>
      </w:tr>
      <w:tr>
        <w:tc>
          <w:tcPr>
            <w:tcW w:type="dxa" w:w="5083"/>
            <w:vAlign w:val="center"/>
            <w:shd w:fill="F1F6F9"/>
          </w:tcPr>
          <w:p>
            <w:pPr>
              <w:spacing w:after="20"/>
            </w:pPr>
            <w:r/>
            <w:r>
              <w:rPr>
                <w:b w:val="0"/>
                <w:sz w:val="17"/>
              </w:rPr>
              <w:t>Ngoài phạm vi bản đề xuất</w:t>
            </w:r>
          </w:p>
        </w:tc>
        <w:tc>
          <w:tcPr>
            <w:tcW w:type="dxa" w:w="5083"/>
            <w:vAlign w:val="center"/>
            <w:shd w:fill="F1F6F9"/>
          </w:tcPr>
          <w:p>
            <w:pPr>
              <w:spacing w:after="20"/>
            </w:pPr>
            <w:r/>
            <w:r>
              <w:rPr>
                <w:b w:val="0"/>
                <w:sz w:val="17"/>
              </w:rPr>
              <w:t>Chẩn đoán tự động; kết nối trực tiếp với bệnh viện/bảo hiểm; triển khai cloud thật; xác nhận tuân thủ pháp luật hoặc chứng nhận bảo mật.</w:t>
            </w:r>
          </w:p>
        </w:tc>
      </w:tr>
      <w:tr>
        <w:tc>
          <w:tcPr>
            <w:tcW w:type="dxa" w:w="5083"/>
            <w:vAlign w:val="center"/>
          </w:tcPr>
          <w:p>
            <w:pPr>
              <w:spacing w:after="20"/>
            </w:pPr>
            <w:r/>
            <w:r>
              <w:rPr>
                <w:b w:val="0"/>
                <w:sz w:val="17"/>
              </w:rPr>
              <w:t>Người dùng chính</w:t>
            </w:r>
          </w:p>
        </w:tc>
        <w:tc>
          <w:tcPr>
            <w:tcW w:type="dxa" w:w="5083"/>
            <w:vAlign w:val="center"/>
          </w:tcPr>
          <w:p>
            <w:pPr>
              <w:spacing w:after="20"/>
            </w:pPr>
            <w:r/>
            <w:r>
              <w:rPr>
                <w:b w:val="0"/>
                <w:sz w:val="17"/>
              </w:rPr>
              <w:t>Lễ tân, bác sĩ, quản trị hệ thống; mỗi vai trò chỉ được xem/sửa phần dữ liệu cần cho công việc.</w:t>
            </w:r>
          </w:p>
        </w:tc>
      </w:tr>
    </w:tbl>
    <w:p>
      <w:pPr>
        <w:spacing w:after="20"/>
      </w:pPr>
    </w:p>
    <w:p>
      <w:pPr>
        <w:pStyle w:val="Heading1"/>
      </w:pPr>
      <w:r>
        <w:t>2. Bối cảnh và giải pháp Clinic-Cloud tích hợp</w:t>
      </w:r>
    </w:p>
    <w:p>
      <w:r>
        <w:t>“Clinic-Cloud tích hợp” trong bài này là phương án kết nối quy trình nghiệp vụ với một ứng dụng quản lý hồ sơ chạy trên hạ tầng đám mây: nhân viên đăng nhập ứng dụng, ứng dụng kiểm tra quyền rồi đọc/ghi dữ liệu trong kho tập trung. Đây là mô tả giải pháp, không phải yêu cầu tự xây máy chủ cloud.</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4A6E"/>
          </w:tcPr>
          <w:p>
            <w:pPr>
              <w:spacing w:after="20"/>
            </w:pPr>
            <w:r/>
            <w:r>
              <w:rPr>
                <w:b/>
                <w:color w:val="FFFFFF"/>
                <w:sz w:val="18"/>
              </w:rPr>
              <w:t>Thành phần</w:t>
            </w:r>
          </w:p>
        </w:tc>
        <w:tc>
          <w:tcPr>
            <w:tcW w:type="dxa" w:w="5083"/>
            <w:vAlign w:val="center"/>
            <w:shd w:fill="174A6E"/>
          </w:tcPr>
          <w:p>
            <w:pPr>
              <w:spacing w:after="20"/>
            </w:pPr>
            <w:r/>
            <w:r>
              <w:rPr>
                <w:b/>
                <w:color w:val="FFFFFF"/>
                <w:sz w:val="18"/>
              </w:rPr>
              <w:t>Vai trò trong quy trình</w:t>
            </w:r>
          </w:p>
        </w:tc>
      </w:tr>
      <w:tr>
        <w:tc>
          <w:tcPr>
            <w:tcW w:type="dxa" w:w="5083"/>
            <w:vAlign w:val="center"/>
          </w:tcPr>
          <w:p>
            <w:pPr>
              <w:spacing w:after="20"/>
            </w:pPr>
            <w:r/>
            <w:r>
              <w:rPr>
                <w:b w:val="0"/>
                <w:sz w:val="17"/>
              </w:rPr>
              <w:t>Ứng dụng Clinic-Cloud</w:t>
            </w:r>
          </w:p>
        </w:tc>
        <w:tc>
          <w:tcPr>
            <w:tcW w:type="dxa" w:w="5083"/>
            <w:vAlign w:val="center"/>
          </w:tcPr>
          <w:p>
            <w:pPr>
              <w:spacing w:after="20"/>
            </w:pPr>
            <w:r/>
            <w:r>
              <w:rPr>
                <w:b w:val="0"/>
                <w:sz w:val="17"/>
              </w:rPr>
              <w:t>Giao diện web/app để lập hồ sơ, ghi nhận lần khám, tra cứu và quản lý quyền.</w:t>
            </w:r>
          </w:p>
        </w:tc>
      </w:tr>
      <w:tr>
        <w:tc>
          <w:tcPr>
            <w:tcW w:type="dxa" w:w="5083"/>
            <w:vAlign w:val="center"/>
            <w:shd w:fill="F1F6F9"/>
          </w:tcPr>
          <w:p>
            <w:pPr>
              <w:spacing w:after="20"/>
            </w:pPr>
            <w:r/>
            <w:r>
              <w:rPr>
                <w:b w:val="0"/>
                <w:sz w:val="17"/>
              </w:rPr>
              <w:t>Kho dữ liệu tập trung</w:t>
            </w:r>
          </w:p>
        </w:tc>
        <w:tc>
          <w:tcPr>
            <w:tcW w:type="dxa" w:w="5083"/>
            <w:vAlign w:val="center"/>
            <w:shd w:fill="F1F6F9"/>
          </w:tcPr>
          <w:p>
            <w:pPr>
              <w:spacing w:after="20"/>
            </w:pPr>
            <w:r/>
            <w:r>
              <w:rPr>
                <w:b w:val="0"/>
                <w:sz w:val="17"/>
              </w:rPr>
              <w:t>Lưu dữ liệu có cấu trúc; mỗi bệnh nhân có mã định danh duy nhất, mỗi lần khám là một bản ghi riêng.</w:t>
            </w:r>
          </w:p>
        </w:tc>
      </w:tr>
      <w:tr>
        <w:tc>
          <w:tcPr>
            <w:tcW w:type="dxa" w:w="5083"/>
            <w:vAlign w:val="center"/>
          </w:tcPr>
          <w:p>
            <w:pPr>
              <w:spacing w:after="20"/>
            </w:pPr>
            <w:r/>
            <w:r>
              <w:rPr>
                <w:b w:val="0"/>
                <w:sz w:val="17"/>
              </w:rPr>
              <w:t>Kiểm soát truy cập &amp; audit log</w:t>
            </w:r>
          </w:p>
        </w:tc>
        <w:tc>
          <w:tcPr>
            <w:tcW w:type="dxa" w:w="5083"/>
            <w:vAlign w:val="center"/>
          </w:tcPr>
          <w:p>
            <w:pPr>
              <w:spacing w:after="20"/>
            </w:pPr>
            <w:r/>
            <w:r>
              <w:rPr>
                <w:b w:val="0"/>
                <w:sz w:val="17"/>
              </w:rPr>
              <w:t>Xác thực người dùng, áp dụng quyền theo vai trò và ghi nhận ai đã xem/sửa dữ liệu nào, khi nào.</w:t>
            </w:r>
          </w:p>
        </w:tc>
      </w:tr>
      <w:tr>
        <w:tc>
          <w:tcPr>
            <w:tcW w:type="dxa" w:w="5083"/>
            <w:vAlign w:val="center"/>
            <w:shd w:fill="F1F6F9"/>
          </w:tcPr>
          <w:p>
            <w:pPr>
              <w:spacing w:after="20"/>
            </w:pPr>
            <w:r/>
            <w:r>
              <w:rPr>
                <w:b w:val="0"/>
                <w:sz w:val="17"/>
              </w:rPr>
              <w:t>Sao lưu &amp; khôi phục</w:t>
            </w:r>
          </w:p>
        </w:tc>
        <w:tc>
          <w:tcPr>
            <w:tcW w:type="dxa" w:w="5083"/>
            <w:vAlign w:val="center"/>
            <w:shd w:fill="F1F6F9"/>
          </w:tcPr>
          <w:p>
            <w:pPr>
              <w:spacing w:after="20"/>
            </w:pPr>
            <w:r/>
            <w:r>
              <w:rPr>
                <w:b w:val="0"/>
                <w:sz w:val="17"/>
              </w:rPr>
              <w:t>Tạo bản sao dự phòng, kiểm tra khả năng khôi phục định kỳ.</w:t>
            </w:r>
          </w:p>
        </w:tc>
      </w:tr>
      <w:tr>
        <w:tc>
          <w:tcPr>
            <w:tcW w:type="dxa" w:w="5083"/>
            <w:vAlign w:val="center"/>
          </w:tcPr>
          <w:p>
            <w:pPr>
              <w:spacing w:after="20"/>
            </w:pPr>
            <w:r/>
            <w:r>
              <w:rPr>
                <w:b w:val="0"/>
                <w:sz w:val="17"/>
              </w:rPr>
              <w:t>Word và Excel trong bài tập</w:t>
            </w:r>
          </w:p>
        </w:tc>
        <w:tc>
          <w:tcPr>
            <w:tcW w:type="dxa" w:w="5083"/>
            <w:vAlign w:val="center"/>
          </w:tcPr>
          <w:p>
            <w:pPr>
              <w:spacing w:after="20"/>
            </w:pPr>
            <w:r/>
            <w:r>
              <w:rPr>
                <w:b w:val="0"/>
                <w:sz w:val="17"/>
              </w:rPr>
              <w:t>Word dùng trình bày SRS; Excel minh họa cấu trúc 1.000 hồ sơ giả lập và thống kê nhóm bệnh. Excel không phải kho bệnh án sản xuất.</w:t>
            </w:r>
          </w:p>
        </w:tc>
      </w:tr>
    </w:tbl>
    <w:p>
      <w:pPr>
        <w:spacing w:after="20"/>
      </w:pPr>
    </w:p>
    <w:p>
      <w:r>
        <w:rPr>
          <w:b/>
        </w:rPr>
        <w:t xml:space="preserve">Luồng minh họa: </w:t>
      </w:r>
      <w:r>
        <w:t>Lễ tân tạo/tìm hồ sơ → bác sĩ mở hồ sơ theo quyền → ghi nhận lần khám → hệ thống lưu và ghi nhật ký → dữ liệu được sao lưu theo lịch.</w:t>
      </w:r>
    </w:p>
    <w:p>
      <w:pPr>
        <w:pStyle w:val="Heading1"/>
      </w:pPr>
      <w:r>
        <w:t>3. Yêu cầu chức năng (Functional Requirements)</w:t>
      </w:r>
    </w:p>
    <w:p>
      <w:r>
        <w:t>Yêu cầu chức năng mô tả hệ thống phải làm được những việc gì.</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4A6E"/>
          </w:tcPr>
          <w:p>
            <w:pPr>
              <w:spacing w:after="20"/>
            </w:pPr>
            <w:r/>
            <w:r>
              <w:rPr>
                <w:b/>
                <w:color w:val="FFFFFF"/>
                <w:sz w:val="18"/>
              </w:rPr>
              <w:t>Mã</w:t>
            </w:r>
          </w:p>
        </w:tc>
        <w:tc>
          <w:tcPr>
            <w:tcW w:type="dxa" w:w="5083"/>
            <w:vAlign w:val="center"/>
            <w:shd w:fill="174A6E"/>
          </w:tcPr>
          <w:p>
            <w:pPr>
              <w:spacing w:after="20"/>
            </w:pPr>
            <w:r/>
            <w:r>
              <w:rPr>
                <w:b/>
                <w:color w:val="FFFFFF"/>
                <w:sz w:val="18"/>
              </w:rPr>
              <w:t>Yêu cầu</w:t>
            </w:r>
          </w:p>
        </w:tc>
      </w:tr>
      <w:tr>
        <w:tc>
          <w:tcPr>
            <w:tcW w:type="dxa" w:w="5083"/>
            <w:vAlign w:val="center"/>
          </w:tcPr>
          <w:p>
            <w:pPr>
              <w:spacing w:after="20"/>
            </w:pPr>
            <w:r/>
            <w:r>
              <w:rPr>
                <w:b w:val="0"/>
                <w:sz w:val="17"/>
              </w:rPr>
              <w:t>FR-01</w:t>
            </w:r>
          </w:p>
        </w:tc>
        <w:tc>
          <w:tcPr>
            <w:tcW w:type="dxa" w:w="5083"/>
            <w:vAlign w:val="center"/>
          </w:tcPr>
          <w:p>
            <w:pPr>
              <w:spacing w:after="20"/>
            </w:pPr>
            <w:r/>
            <w:r>
              <w:rPr>
                <w:b w:val="0"/>
                <w:sz w:val="17"/>
              </w:rPr>
              <w:t>Tạo hồ sơ bệnh nhân với mã bệnh nhân duy nhất; kiểm tra trùng mã trước khi lưu.</w:t>
            </w:r>
          </w:p>
        </w:tc>
      </w:tr>
      <w:tr>
        <w:tc>
          <w:tcPr>
            <w:tcW w:type="dxa" w:w="5083"/>
            <w:vAlign w:val="center"/>
            <w:shd w:fill="F1F6F9"/>
          </w:tcPr>
          <w:p>
            <w:pPr>
              <w:spacing w:after="20"/>
            </w:pPr>
            <w:r/>
            <w:r>
              <w:rPr>
                <w:b w:val="0"/>
                <w:sz w:val="17"/>
              </w:rPr>
              <w:t>FR-02</w:t>
            </w:r>
          </w:p>
        </w:tc>
        <w:tc>
          <w:tcPr>
            <w:tcW w:type="dxa" w:w="5083"/>
            <w:vAlign w:val="center"/>
            <w:shd w:fill="F1F6F9"/>
          </w:tcPr>
          <w:p>
            <w:pPr>
              <w:spacing w:after="20"/>
            </w:pPr>
            <w:r/>
            <w:r>
              <w:rPr>
                <w:b w:val="0"/>
                <w:sz w:val="17"/>
              </w:rPr>
              <w:t>Tìm hồ sơ theo mã bệnh nhân; người có quyền phù hợp có thể tìm theo họ tên hoặc thông tin được phép.</w:t>
            </w:r>
          </w:p>
        </w:tc>
      </w:tr>
      <w:tr>
        <w:tc>
          <w:tcPr>
            <w:tcW w:type="dxa" w:w="5083"/>
            <w:vAlign w:val="center"/>
          </w:tcPr>
          <w:p>
            <w:pPr>
              <w:spacing w:after="20"/>
            </w:pPr>
            <w:r/>
            <w:r>
              <w:rPr>
                <w:b w:val="0"/>
                <w:sz w:val="17"/>
              </w:rPr>
              <w:t>FR-03</w:t>
            </w:r>
          </w:p>
        </w:tc>
        <w:tc>
          <w:tcPr>
            <w:tcW w:type="dxa" w:w="5083"/>
            <w:vAlign w:val="center"/>
          </w:tcPr>
          <w:p>
            <w:pPr>
              <w:spacing w:after="20"/>
            </w:pPr>
            <w:r/>
            <w:r>
              <w:rPr>
                <w:b w:val="0"/>
                <w:sz w:val="17"/>
              </w:rPr>
              <w:t>Bác sĩ được ghi nhận ngày khám, triệu chứng, chẩn đoán, kế hoạch điều trị và đơn thuốc.</w:t>
            </w:r>
          </w:p>
        </w:tc>
      </w:tr>
      <w:tr>
        <w:tc>
          <w:tcPr>
            <w:tcW w:type="dxa" w:w="5083"/>
            <w:vAlign w:val="center"/>
            <w:shd w:fill="F1F6F9"/>
          </w:tcPr>
          <w:p>
            <w:pPr>
              <w:spacing w:after="20"/>
            </w:pPr>
            <w:r/>
            <w:r>
              <w:rPr>
                <w:b w:val="0"/>
                <w:sz w:val="17"/>
              </w:rPr>
              <w:t>FR-04</w:t>
            </w:r>
          </w:p>
        </w:tc>
        <w:tc>
          <w:tcPr>
            <w:tcW w:type="dxa" w:w="5083"/>
            <w:vAlign w:val="center"/>
            <w:shd w:fill="F1F6F9"/>
          </w:tcPr>
          <w:p>
            <w:pPr>
              <w:spacing w:after="20"/>
            </w:pPr>
            <w:r/>
            <w:r>
              <w:rPr>
                <w:b w:val="0"/>
                <w:sz w:val="17"/>
              </w:rPr>
              <w:t>Cho phép xem lịch sử các lần khám theo từng bệnh nhân; không ghi đè lần khám cũ khi tạo lần khám mới.</w:t>
            </w:r>
          </w:p>
        </w:tc>
      </w:tr>
      <w:tr>
        <w:tc>
          <w:tcPr>
            <w:tcW w:type="dxa" w:w="5083"/>
            <w:vAlign w:val="center"/>
          </w:tcPr>
          <w:p>
            <w:pPr>
              <w:spacing w:after="20"/>
            </w:pPr>
            <w:r/>
            <w:r>
              <w:rPr>
                <w:b w:val="0"/>
                <w:sz w:val="17"/>
              </w:rPr>
              <w:t>FR-05</w:t>
            </w:r>
          </w:p>
        </w:tc>
        <w:tc>
          <w:tcPr>
            <w:tcW w:type="dxa" w:w="5083"/>
            <w:vAlign w:val="center"/>
          </w:tcPr>
          <w:p>
            <w:pPr>
              <w:spacing w:after="20"/>
            </w:pPr>
            <w:r/>
            <w:r>
              <w:rPr>
                <w:b w:val="0"/>
                <w:sz w:val="17"/>
              </w:rPr>
              <w:t>Cho phép cập nhật thông tin hành chính; lưu người sửa và thời điểm sửa.</w:t>
            </w:r>
          </w:p>
        </w:tc>
      </w:tr>
      <w:tr>
        <w:tc>
          <w:tcPr>
            <w:tcW w:type="dxa" w:w="5083"/>
            <w:vAlign w:val="center"/>
            <w:shd w:fill="F1F6F9"/>
          </w:tcPr>
          <w:p>
            <w:pPr>
              <w:spacing w:after="20"/>
            </w:pPr>
            <w:r/>
            <w:r>
              <w:rPr>
                <w:b w:val="0"/>
                <w:sz w:val="17"/>
              </w:rPr>
              <w:t>FR-06</w:t>
            </w:r>
          </w:p>
        </w:tc>
        <w:tc>
          <w:tcPr>
            <w:tcW w:type="dxa" w:w="5083"/>
            <w:vAlign w:val="center"/>
            <w:shd w:fill="F1F6F9"/>
          </w:tcPr>
          <w:p>
            <w:pPr>
              <w:spacing w:after="20"/>
            </w:pPr>
            <w:r/>
            <w:r>
              <w:rPr>
                <w:b w:val="0"/>
                <w:sz w:val="17"/>
              </w:rPr>
              <w:t>Cho phép lọc/tổng hợp số lượt theo nhóm bệnh để báo cáo; báo cáo chỉ hiển thị dữ liệu cần thiết.</w:t>
            </w:r>
          </w:p>
        </w:tc>
      </w:tr>
    </w:tbl>
    <w:p>
      <w:pPr>
        <w:spacing w:after="20"/>
      </w:pPr>
    </w:p>
    <w:p>
      <w:pPr>
        <w:pStyle w:val="Heading1"/>
      </w:pPr>
      <w:r>
        <w:t>4. Yêu cầu phi chức năng (Non-functional Requirements)</w:t>
      </w:r>
    </w:p>
    <w:p>
      <w:r>
        <w:t>Yêu cầu phi chức năng mô tả chất lượng, mức an toàn và giới hạn hoạt động. Các ngưỡng dưới đây là mục tiêu đề xuất cho bài tập, cần được phòng khám xác nhận trước triển khai.</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4A6E"/>
          </w:tcPr>
          <w:p>
            <w:pPr>
              <w:spacing w:after="20"/>
            </w:pPr>
            <w:r/>
            <w:r>
              <w:rPr>
                <w:b/>
                <w:color w:val="FFFFFF"/>
                <w:sz w:val="18"/>
              </w:rPr>
              <w:t>Mã</w:t>
            </w:r>
          </w:p>
        </w:tc>
        <w:tc>
          <w:tcPr>
            <w:tcW w:type="dxa" w:w="5083"/>
            <w:vAlign w:val="center"/>
            <w:shd w:fill="174A6E"/>
          </w:tcPr>
          <w:p>
            <w:pPr>
              <w:spacing w:after="20"/>
            </w:pPr>
            <w:r/>
            <w:r>
              <w:rPr>
                <w:b/>
                <w:color w:val="FFFFFF"/>
                <w:sz w:val="18"/>
              </w:rPr>
              <w:t>Tiêu chí đề xuất</w:t>
            </w:r>
          </w:p>
        </w:tc>
      </w:tr>
      <w:tr>
        <w:tc>
          <w:tcPr>
            <w:tcW w:type="dxa" w:w="5083"/>
            <w:vAlign w:val="center"/>
          </w:tcPr>
          <w:p>
            <w:pPr>
              <w:spacing w:after="20"/>
            </w:pPr>
            <w:r/>
            <w:r>
              <w:rPr>
                <w:b w:val="0"/>
                <w:sz w:val="17"/>
              </w:rPr>
              <w:t>NFR-S01 — Phân quyền</w:t>
            </w:r>
          </w:p>
        </w:tc>
        <w:tc>
          <w:tcPr>
            <w:tcW w:type="dxa" w:w="5083"/>
            <w:vAlign w:val="center"/>
          </w:tcPr>
          <w:p>
            <w:pPr>
              <w:spacing w:after="20"/>
            </w:pPr>
            <w:r/>
            <w:r>
              <w:rPr>
                <w:b w:val="0"/>
                <w:sz w:val="17"/>
              </w:rPr>
              <w:t>Áp dụng RBAC tối thiểu: lễ tân quản lý thông tin hành chính; bác sĩ xem hồ sơ phục vụ điều trị và cập nhật lần khám; quản trị viên quản lý tài khoản/cấu hình. Tài khoản không có quyền bị từ chối truy cập.</w:t>
            </w:r>
          </w:p>
        </w:tc>
      </w:tr>
      <w:tr>
        <w:tc>
          <w:tcPr>
            <w:tcW w:type="dxa" w:w="5083"/>
            <w:vAlign w:val="center"/>
            <w:shd w:fill="F1F6F9"/>
          </w:tcPr>
          <w:p>
            <w:pPr>
              <w:spacing w:after="20"/>
            </w:pPr>
            <w:r/>
            <w:r>
              <w:rPr>
                <w:b w:val="0"/>
                <w:sz w:val="17"/>
              </w:rPr>
              <w:t>NFR-S02 — Xác thực</w:t>
            </w:r>
          </w:p>
        </w:tc>
        <w:tc>
          <w:tcPr>
            <w:tcW w:type="dxa" w:w="5083"/>
            <w:vAlign w:val="center"/>
            <w:shd w:fill="F1F6F9"/>
          </w:tcPr>
          <w:p>
            <w:pPr>
              <w:spacing w:after="20"/>
            </w:pPr>
            <w:r/>
            <w:r>
              <w:rPr>
                <w:b w:val="0"/>
                <w:sz w:val="17"/>
              </w:rPr>
              <w:t>Mỗi nhân viên dùng tài khoản riêng; yêu cầu mật khẩu mạnh và MFA cho tài khoản có quyền truy cập hồ sơ hoặc quản trị.</w:t>
            </w:r>
          </w:p>
        </w:tc>
      </w:tr>
      <w:tr>
        <w:tc>
          <w:tcPr>
            <w:tcW w:type="dxa" w:w="5083"/>
            <w:vAlign w:val="center"/>
          </w:tcPr>
          <w:p>
            <w:pPr>
              <w:spacing w:after="20"/>
            </w:pPr>
            <w:r/>
            <w:r>
              <w:rPr>
                <w:b w:val="0"/>
                <w:sz w:val="17"/>
              </w:rPr>
              <w:t>NFR-S03 — Mã hóa</w:t>
            </w:r>
          </w:p>
        </w:tc>
        <w:tc>
          <w:tcPr>
            <w:tcW w:type="dxa" w:w="5083"/>
            <w:vAlign w:val="center"/>
          </w:tcPr>
          <w:p>
            <w:pPr>
              <w:spacing w:after="20"/>
            </w:pPr>
            <w:r/>
            <w:r>
              <w:rPr>
                <w:b w:val="0"/>
                <w:sz w:val="17"/>
              </w:rPr>
              <w:t>Mã hóa dữ liệu khi truyền bằng TLS 1.2 trở lên và dữ liệu lưu trữ bằng cơ chế mã hóa mạnh do nền tảng hỗ trợ; khóa mã hóa được quản lý riêng.</w:t>
            </w:r>
          </w:p>
        </w:tc>
      </w:tr>
      <w:tr>
        <w:tc>
          <w:tcPr>
            <w:tcW w:type="dxa" w:w="5083"/>
            <w:vAlign w:val="center"/>
            <w:shd w:fill="F1F6F9"/>
          </w:tcPr>
          <w:p>
            <w:pPr>
              <w:spacing w:after="20"/>
            </w:pPr>
            <w:r/>
            <w:r>
              <w:rPr>
                <w:b w:val="0"/>
                <w:sz w:val="17"/>
              </w:rPr>
              <w:t>NFR-S04 — Nhật ký</w:t>
            </w:r>
          </w:p>
        </w:tc>
        <w:tc>
          <w:tcPr>
            <w:tcW w:type="dxa" w:w="5083"/>
            <w:vAlign w:val="center"/>
            <w:shd w:fill="F1F6F9"/>
          </w:tcPr>
          <w:p>
            <w:pPr>
              <w:spacing w:after="20"/>
            </w:pPr>
            <w:r/>
            <w:r>
              <w:rPr>
                <w:b w:val="0"/>
                <w:sz w:val="17"/>
              </w:rPr>
              <w:t>Ghi nhật ký đăng nhập, xem, tạo, sửa, xuất và xóa; nhật ký có thời điểm, tài khoản, đối tượng và hành động; người dùng thông thường không được tự sửa/xóa nhật ký.</w:t>
            </w:r>
          </w:p>
        </w:tc>
      </w:tr>
      <w:tr>
        <w:tc>
          <w:tcPr>
            <w:tcW w:type="dxa" w:w="5083"/>
            <w:vAlign w:val="center"/>
          </w:tcPr>
          <w:p>
            <w:pPr>
              <w:spacing w:after="20"/>
            </w:pPr>
            <w:r/>
            <w:r>
              <w:rPr>
                <w:b w:val="0"/>
                <w:sz w:val="17"/>
              </w:rPr>
              <w:t>NFR-S05 — Sao lưu/khôi phục</w:t>
            </w:r>
          </w:p>
        </w:tc>
        <w:tc>
          <w:tcPr>
            <w:tcW w:type="dxa" w:w="5083"/>
            <w:vAlign w:val="center"/>
          </w:tcPr>
          <w:p>
            <w:pPr>
              <w:spacing w:after="20"/>
            </w:pPr>
            <w:r/>
            <w:r>
              <w:rPr>
                <w:b w:val="0"/>
                <w:sz w:val="17"/>
              </w:rPr>
              <w:t>Sao lưu tự động tối thiểu hằng ngày; mục tiêu đề xuất RPO ≤ 24 giờ, RTO ≤ 8 giờ; thử khôi phục tối thiểu mỗi quý và lưu bằng chứng kiểm thử.</w:t>
            </w:r>
          </w:p>
        </w:tc>
      </w:tr>
      <w:tr>
        <w:tc>
          <w:tcPr>
            <w:tcW w:type="dxa" w:w="5083"/>
            <w:vAlign w:val="center"/>
            <w:shd w:fill="F1F6F9"/>
          </w:tcPr>
          <w:p>
            <w:pPr>
              <w:spacing w:after="20"/>
            </w:pPr>
            <w:r/>
            <w:r>
              <w:rPr>
                <w:b w:val="0"/>
                <w:sz w:val="17"/>
              </w:rPr>
              <w:t>NFR-P01 — Hiệu năng</w:t>
            </w:r>
          </w:p>
        </w:tc>
        <w:tc>
          <w:tcPr>
            <w:tcW w:type="dxa" w:w="5083"/>
            <w:vAlign w:val="center"/>
            <w:shd w:fill="F1F6F9"/>
          </w:tcPr>
          <w:p>
            <w:pPr>
              <w:spacing w:after="20"/>
            </w:pPr>
            <w:r/>
            <w:r>
              <w:rPr>
                <w:b w:val="0"/>
                <w:sz w:val="17"/>
              </w:rPr>
              <w:t>Với 100 người dùng đồng thời trong điều kiện tải đã thống nhất, 95% thao tác tra cứu hồ sơ hoàn tất trong ≤ 3 giây, không tính thời gian mạng phía người dùng.</w:t>
            </w:r>
          </w:p>
        </w:tc>
      </w:tr>
      <w:tr>
        <w:tc>
          <w:tcPr>
            <w:tcW w:type="dxa" w:w="5083"/>
            <w:vAlign w:val="center"/>
          </w:tcPr>
          <w:p>
            <w:pPr>
              <w:spacing w:after="20"/>
            </w:pPr>
            <w:r/>
            <w:r>
              <w:rPr>
                <w:b w:val="0"/>
                <w:sz w:val="17"/>
              </w:rPr>
              <w:t>NFR-A01 — Khả dụng</w:t>
            </w:r>
          </w:p>
        </w:tc>
        <w:tc>
          <w:tcPr>
            <w:tcW w:type="dxa" w:w="5083"/>
            <w:vAlign w:val="center"/>
          </w:tcPr>
          <w:p>
            <w:pPr>
              <w:spacing w:after="20"/>
            </w:pPr>
            <w:r/>
            <w:r>
              <w:rPr>
                <w:b w:val="0"/>
                <w:sz w:val="17"/>
              </w:rPr>
              <w:t>Mục tiêu khả dụng đề xuất 99,5% theo tháng, không tính thời gian bảo trì đã thông báo; cần theo dõi và báo cáo sự cố.</w:t>
            </w:r>
          </w:p>
        </w:tc>
      </w:tr>
      <w:tr>
        <w:tc>
          <w:tcPr>
            <w:tcW w:type="dxa" w:w="5083"/>
            <w:vAlign w:val="center"/>
            <w:shd w:fill="F1F6F9"/>
          </w:tcPr>
          <w:p>
            <w:pPr>
              <w:spacing w:after="20"/>
            </w:pPr>
            <w:r/>
            <w:r>
              <w:rPr>
                <w:b w:val="0"/>
                <w:sz w:val="17"/>
              </w:rPr>
              <w:t>NFR-PR01 — Quyền riêng tư</w:t>
            </w:r>
          </w:p>
        </w:tc>
        <w:tc>
          <w:tcPr>
            <w:tcW w:type="dxa" w:w="5083"/>
            <w:vAlign w:val="center"/>
            <w:shd w:fill="F1F6F9"/>
          </w:tcPr>
          <w:p>
            <w:pPr>
              <w:spacing w:after="20"/>
            </w:pPr>
            <w:r/>
            <w:r>
              <w:rPr>
                <w:b w:val="0"/>
                <w:sz w:val="17"/>
              </w:rPr>
              <w:t>Chỉ thu thập dữ liệu cần thiết; giới hạn thời hạn lưu trữ và xử lý yêu cầu truy cập/chỉnh sửa theo chính sách được phê duyệt và quy định hiện hành.</w:t>
            </w:r>
          </w:p>
        </w:tc>
      </w:tr>
    </w:tbl>
    <w:p>
      <w:pPr>
        <w:spacing w:after="20"/>
      </w:pPr>
    </w:p>
    <w:p>
      <w:r>
        <w:rPr>
          <w:b/>
        </w:rPr>
        <w:t xml:space="preserve">Lưu ý pháp lý: </w:t>
      </w:r>
      <w:r>
        <w:t>Dữ liệu sức khỏe là dữ liệu nhạy cảm. Trước khi triển khai thật, cần rà soát quy định Việt Nam hiện hành, hợp đồng với nhà cung cấp cloud, nơi lưu trữ dữ liệu, quy trình ứng phó sự cố và chính sách lưu/xóa dữ liệu; tài liệu này không thay thế tư vấn pháp lý.</w:t>
      </w:r>
    </w:p>
    <w:p>
      <w:pPr>
        <w:pStyle w:val="Heading1"/>
      </w:pPr>
      <w:r>
        <w:t>5. Mô hình dữ liệu và xử lý ô trống trong Excel</w:t>
      </w:r>
    </w:p>
    <w:p>
      <w:pPr>
        <w:pStyle w:val="ListBullet"/>
        <w:spacing w:after="60"/>
      </w:pPr>
      <w:r>
        <w:t>Mỗi hàng là một bệnh nhân; mỗi cột là một thuộc tính; PatientID là khóa định danh duy nhất. Không gộp ô trong vùng dữ liệu.</w:t>
      </w:r>
    </w:p>
    <w:p>
      <w:pPr>
        <w:pStyle w:val="ListBullet"/>
        <w:spacing w:after="60"/>
      </w:pPr>
      <w:r>
        <w:t>Ô trống ở trường tùy chọn có nghĩa là chưa có thông tin; không tự bịa dữ liệu và không xóa cả hồ sơ chỉ vì thiếu một vài trường.</w:t>
      </w:r>
    </w:p>
    <w:p>
      <w:pPr>
        <w:pStyle w:val="ListBullet"/>
        <w:spacing w:after="60"/>
      </w:pPr>
      <w:r>
        <w:t>Để AutoFilter không bị đứt: giữ vùng dữ liệu thành một khối liên tục, không chèn hàng hoàn toàn trống hoặc dòng tiêu đề phụ vào giữa; chọn vùng và Ctrl + T, tích “My table has headers”. Excel Table sẽ bao gồm các ô trống bên trong bản ghi.</w:t>
      </w:r>
    </w:p>
    <w:p>
      <w:pPr>
        <w:pStyle w:val="ListBullet"/>
        <w:spacing w:after="60"/>
      </w:pPr>
      <w:r>
        <w:t>Nếu có hàng hoàn toàn trống do định dạng/dán dữ liệu, xác minh trước; xóa hàng phân cách không phải bản ghi hoặc mở rộng/chỉnh lại Table Range. Không xóa bản ghi bệnh nhân hợp lệ.</w:t>
      </w:r>
    </w:p>
    <w:p>
      <w:pPr>
        <w:pStyle w:val="ListBullet"/>
        <w:spacing w:after="60"/>
      </w:pPr>
      <w:r>
        <w:t>File Excel đi kèm có sheet Patients (1.000 dòng dữ liệu giả lập) và Dashboard (đếm nhóm bệnh + Donut Chart). Các giá trị liên hệ được gắn nhãn DEMO, không dùng để liên lạc.</w:t>
      </w:r>
    </w:p>
    <w:p>
      <w:pPr>
        <w:pStyle w:val="Heading1"/>
      </w:pPr>
      <w:r>
        <w:t>6. Kiểm thử và tiêu chí chấp nhận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4A6E"/>
          </w:tcPr>
          <w:p>
            <w:pPr>
              <w:spacing w:after="20"/>
            </w:pPr>
            <w:r/>
            <w:r>
              <w:rPr>
                <w:b/>
                <w:color w:val="FFFFFF"/>
                <w:sz w:val="18"/>
              </w:rPr>
              <w:t>Mã kiểm thử</w:t>
            </w:r>
          </w:p>
        </w:tc>
        <w:tc>
          <w:tcPr>
            <w:tcW w:type="dxa" w:w="5083"/>
            <w:vAlign w:val="center"/>
            <w:shd w:fill="174A6E"/>
          </w:tcPr>
          <w:p>
            <w:pPr>
              <w:spacing w:after="20"/>
            </w:pPr>
            <w:r/>
            <w:r>
              <w:rPr>
                <w:b/>
                <w:color w:val="FFFFFF"/>
                <w:sz w:val="18"/>
              </w:rPr>
              <w:t>Kết quả mong đợi</w:t>
            </w:r>
          </w:p>
        </w:tc>
      </w:tr>
      <w:tr>
        <w:tc>
          <w:tcPr>
            <w:tcW w:type="dxa" w:w="5083"/>
            <w:vAlign w:val="center"/>
          </w:tcPr>
          <w:p>
            <w:pPr>
              <w:spacing w:after="20"/>
            </w:pPr>
            <w:r/>
            <w:r>
              <w:rPr>
                <w:b w:val="0"/>
                <w:sz w:val="17"/>
              </w:rPr>
              <w:t>TC-01</w:t>
            </w:r>
          </w:p>
        </w:tc>
        <w:tc>
          <w:tcPr>
            <w:tcW w:type="dxa" w:w="5083"/>
            <w:vAlign w:val="center"/>
          </w:tcPr>
          <w:p>
            <w:pPr>
              <w:spacing w:after="20"/>
            </w:pPr>
            <w:r/>
            <w:r>
              <w:rPr>
                <w:b w:val="0"/>
                <w:sz w:val="17"/>
              </w:rPr>
              <w:t>Tạo hồ sơ với PatientID mới; hệ thống lưu thành công và tìm lại được.</w:t>
            </w:r>
          </w:p>
        </w:tc>
      </w:tr>
      <w:tr>
        <w:tc>
          <w:tcPr>
            <w:tcW w:type="dxa" w:w="5083"/>
            <w:vAlign w:val="center"/>
            <w:shd w:fill="F1F6F9"/>
          </w:tcPr>
          <w:p>
            <w:pPr>
              <w:spacing w:after="20"/>
            </w:pPr>
            <w:r/>
            <w:r>
              <w:rPr>
                <w:b w:val="0"/>
                <w:sz w:val="17"/>
              </w:rPr>
              <w:t>TC-02</w:t>
            </w:r>
          </w:p>
        </w:tc>
        <w:tc>
          <w:tcPr>
            <w:tcW w:type="dxa" w:w="5083"/>
            <w:vAlign w:val="center"/>
            <w:shd w:fill="F1F6F9"/>
          </w:tcPr>
          <w:p>
            <w:pPr>
              <w:spacing w:after="20"/>
            </w:pPr>
            <w:r/>
            <w:r>
              <w:rPr>
                <w:b w:val="0"/>
                <w:sz w:val="17"/>
              </w:rPr>
              <w:t>Tạo hồ sơ trùng PatientID; hệ thống từ chối hoặc yêu cầu xử lý trùng, không tạo bản ghi trùng.</w:t>
            </w:r>
          </w:p>
        </w:tc>
      </w:tr>
      <w:tr>
        <w:tc>
          <w:tcPr>
            <w:tcW w:type="dxa" w:w="5083"/>
            <w:vAlign w:val="center"/>
          </w:tcPr>
          <w:p>
            <w:pPr>
              <w:spacing w:after="20"/>
            </w:pPr>
            <w:r/>
            <w:r>
              <w:rPr>
                <w:b w:val="0"/>
                <w:sz w:val="17"/>
              </w:rPr>
              <w:t>TC-03</w:t>
            </w:r>
          </w:p>
        </w:tc>
        <w:tc>
          <w:tcPr>
            <w:tcW w:type="dxa" w:w="5083"/>
            <w:vAlign w:val="center"/>
          </w:tcPr>
          <w:p>
            <w:pPr>
              <w:spacing w:after="20"/>
            </w:pPr>
            <w:r/>
            <w:r>
              <w:rPr>
                <w:b w:val="0"/>
                <w:sz w:val="17"/>
              </w:rPr>
              <w:t>Tài khoản lễ tân thử mở phần ghi chẩn đoán; hệ thống từ chối nếu vai trò không có quyền.</w:t>
            </w:r>
          </w:p>
        </w:tc>
      </w:tr>
      <w:tr>
        <w:tc>
          <w:tcPr>
            <w:tcW w:type="dxa" w:w="5083"/>
            <w:vAlign w:val="center"/>
            <w:shd w:fill="F1F6F9"/>
          </w:tcPr>
          <w:p>
            <w:pPr>
              <w:spacing w:after="20"/>
            </w:pPr>
            <w:r/>
            <w:r>
              <w:rPr>
                <w:b w:val="0"/>
                <w:sz w:val="17"/>
              </w:rPr>
              <w:t>TC-04</w:t>
            </w:r>
          </w:p>
        </w:tc>
        <w:tc>
          <w:tcPr>
            <w:tcW w:type="dxa" w:w="5083"/>
            <w:vAlign w:val="center"/>
            <w:shd w:fill="F1F6F9"/>
          </w:tcPr>
          <w:p>
            <w:pPr>
              <w:spacing w:after="20"/>
            </w:pPr>
            <w:r/>
            <w:r>
              <w:rPr>
                <w:b w:val="0"/>
                <w:sz w:val="17"/>
              </w:rPr>
              <w:t>Để trống một trường tùy chọn giữa các dòng Excel; Table/Filter vẫn áp dụng tới dòng cuối, lọc các cột khác bình thường.</w:t>
            </w:r>
          </w:p>
        </w:tc>
      </w:tr>
      <w:tr>
        <w:tc>
          <w:tcPr>
            <w:tcW w:type="dxa" w:w="5083"/>
            <w:vAlign w:val="center"/>
          </w:tcPr>
          <w:p>
            <w:pPr>
              <w:spacing w:after="20"/>
            </w:pPr>
            <w:r/>
            <w:r>
              <w:rPr>
                <w:b w:val="0"/>
                <w:sz w:val="17"/>
              </w:rPr>
              <w:t>TC-05</w:t>
            </w:r>
          </w:p>
        </w:tc>
        <w:tc>
          <w:tcPr>
            <w:tcW w:type="dxa" w:w="5083"/>
            <w:vAlign w:val="center"/>
          </w:tcPr>
          <w:p>
            <w:pPr>
              <w:spacing w:after="20"/>
            </w:pPr>
            <w:r/>
            <w:r>
              <w:rPr>
                <w:b w:val="0"/>
                <w:sz w:val="17"/>
              </w:rPr>
              <w:t>Đối chiếu tổng số hồ sơ trong Dashboard bằng 1.000; Donut Chart phản ánh số lượng theo nhóm bệnh giả lập.</w:t>
            </w:r>
          </w:p>
        </w:tc>
      </w:tr>
      <w:tr>
        <w:tc>
          <w:tcPr>
            <w:tcW w:type="dxa" w:w="5083"/>
            <w:vAlign w:val="center"/>
            <w:shd w:fill="F1F6F9"/>
          </w:tcPr>
          <w:p>
            <w:pPr>
              <w:spacing w:after="20"/>
            </w:pPr>
            <w:r/>
            <w:r>
              <w:rPr>
                <w:b w:val="0"/>
                <w:sz w:val="17"/>
              </w:rPr>
              <w:t>TC-06</w:t>
            </w:r>
          </w:p>
        </w:tc>
        <w:tc>
          <w:tcPr>
            <w:tcW w:type="dxa" w:w="5083"/>
            <w:vAlign w:val="center"/>
            <w:shd w:fill="F1F6F9"/>
          </w:tcPr>
          <w:p>
            <w:pPr>
              <w:spacing w:after="20"/>
            </w:pPr>
            <w:r/>
            <w:r>
              <w:rPr>
                <w:b w:val="0"/>
                <w:sz w:val="17"/>
              </w:rPr>
              <w:t>Thử khôi phục bản sao lưu theo kịch bản; ghi nhận thời gian khôi phục và dữ liệu bị mất (nếu có).</w:t>
            </w:r>
          </w:p>
        </w:tc>
      </w:tr>
    </w:tbl>
    <w:p>
      <w:pPr>
        <w:spacing w:after="20"/>
      </w:pPr>
    </w:p>
    <w:p>
      <w:pPr>
        <w:pStyle w:val="Heading1"/>
      </w:pPr>
      <w:r>
        <w:t>7. Thao tác sửa nhầm Heading trong Word</w:t>
      </w:r>
    </w:p>
    <w:p>
      <w:r>
        <w:t>Nếu một đoạn văn thường bị gán nhầm Heading 1/Heading 2: đặt con trỏ trong đoạn hoặc chọn đoạn đó, nhấn Ctrl + Shift + N để chuyển về kiểu Normal. Kiểm tra lại Navigation Pane/mục lục để chắc chắn đoạn văn không còn bị nhận là tiêu đề. Thao tác này sửa kiểu đoạn văn, không xóa nội dung.</w:t>
      </w:r>
    </w:p>
    <w:p>
      <w:pPr>
        <w:pStyle w:val="Heading1"/>
      </w:pPr>
      <w:r>
        <w:t>8. Giả định và giới hạn</w:t>
      </w:r>
    </w:p>
    <w:p>
      <w:pPr>
        <w:pStyle w:val="ListBullet"/>
        <w:spacing w:after="60"/>
      </w:pPr>
      <w:r>
        <w:t>Đề bài không nêu nền tảng cloud, số người dùng, quy mô giao dịch hoặc chính sách lưu trữ; các con số hiệu năng/khả dụng/sao lưu trong SRS là mục tiêu minh họa cần được xác nhận.</w:t>
      </w:r>
    </w:p>
    <w:p>
      <w:pPr>
        <w:pStyle w:val="ListBullet"/>
        <w:spacing w:after="60"/>
      </w:pPr>
      <w:r>
        <w:t>Workbook là sản phẩm minh họa cho Database Mindset và biểu đồ, không có xác thực/phân quyền phù hợp để lưu hồ sơ sức khỏe thật.</w:t>
      </w:r>
    </w:p>
    <w:p>
      <w:pPr>
        <w:pStyle w:val="ListBullet"/>
        <w:spacing w:after="60"/>
      </w:pPr>
      <w:r>
        <w:t>Số liệu bệnh trong workbook được tạo ngẫu nhiên để thực hành, không đại diện cho dịch tễ thực tế và không dùng cho quyết định y tế.</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Clinic-Cloud • SRS bài tập • Dữ liệu minh họa, không dùng cho chăm sóc bệnh nhân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4A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67D9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67D9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4A6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