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c>
          <w:tcPr>
            <w:tcW w:type="dxa" w:w="38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TẬP ĐOÀN CN THAN - KS VIỆT NAM</w:t>
            </w:r>
          </w:p>
          <w:p>
            <w:pPr>
              <w:jc w:val="center"/>
            </w:pPr>
            <w:r>
              <w:rPr>
                <w:rFonts w:ascii="Times New Roman" w:cs="Times New Roman" w:eastAsia="Times New Roman" w:hAnsi="Times New Roman"/>
                <w:b/>
                <w:bCs/>
                <w:sz w:val="24"/>
                <w:szCs w:val="24"/>
              </w:rPr>
              <w:t xml:space="preserve">CÔNG TY THAN DƯƠNG HUY - TKV</w:t>
            </w:r>
          </w:p>
          <w:p>
            <w:pPr>
              <w:jc w:val="center"/>
            </w:pPr>
            <w:r>
              <w:rPr>
                <w:rFonts w:ascii="Times New Roman" w:cs="Times New Roman" w:eastAsia="Times New Roman" w:hAnsi="Times New Roman"/>
                <w:sz w:val="24"/>
                <w:szCs w:val="24"/>
              </w:rPr>
              <w:t xml:space="preserve">———————</w:t>
            </w:r>
          </w:p>
          <w:p>
            <w:pPr>
              <w:jc w:val="center"/>
            </w:pPr>
            <w:r>
              <w:rPr>
                <w:rFonts w:ascii="Times New Roman" w:cs="Times New Roman" w:eastAsia="Times New Roman" w:hAnsi="Times New Roman"/>
                <w:sz w:val="24"/>
                <w:szCs w:val="24"/>
              </w:rPr>
              <w:t xml:space="preserve">Số:          /BC-TDH</w:t>
            </w:r>
          </w:p>
        </w:tc>
        <w:tc>
          <w:tcPr>
            <w:tcW w:type="dxa" w:w="5271"/>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jc w:val="center"/>
            </w:pPr>
            <w:r>
              <w:rPr>
                <w:rFonts w:ascii="Times New Roman" w:cs="Times New Roman" w:eastAsia="Times New Roman" w:hAnsi="Times New Roman"/>
                <w:sz w:val="24"/>
                <w:szCs w:val="24"/>
              </w:rPr>
              <w:t xml:space="preserve">———————————</w:t>
            </w:r>
          </w:p>
          <w:p>
            <w:pPr>
              <w:jc w:val="center"/>
            </w:pPr>
            <w:r>
              <w:rPr>
                <w:rFonts w:ascii="Times New Roman" w:cs="Times New Roman" w:eastAsia="Times New Roman" w:hAnsi="Times New Roman"/>
                <w:i/>
                <w:iCs/>
                <w:sz w:val="24"/>
                <w:szCs w:val="24"/>
              </w:rPr>
              <w:t xml:space="preserve">Quảng Ninh, ngày      tháng 10 năm 2026</w:t>
            </w:r>
          </w:p>
        </w:tc>
      </w:tr>
    </w:tbl>
    <w:p>
      <w:pPr>
        <w:spacing w:after="0" w:before="240" w:line="300"/>
        <w:ind w:firstLine="0"/>
        <w:jc w:val="center"/>
      </w:pPr>
      <w:r>
        <w:rPr>
          <w:rFonts w:ascii="Times New Roman" w:cs="Times New Roman" w:eastAsia="Times New Roman" w:hAnsi="Times New Roman"/>
          <w:b/>
          <w:bCs/>
          <w:sz w:val="28"/>
          <w:szCs w:val="28"/>
        </w:rPr>
        <w:t xml:space="preserve">BÁO CÁO</w:t>
      </w:r>
    </w:p>
    <w:p>
      <w:pPr>
        <w:spacing w:after="200" w:before="0" w:line="300"/>
        <w:ind w:firstLine="0"/>
        <w:jc w:val="center"/>
      </w:pPr>
      <w:r>
        <w:rPr>
          <w:rFonts w:ascii="Times New Roman" w:cs="Times New Roman" w:eastAsia="Times New Roman" w:hAnsi="Times New Roman"/>
          <w:b/>
          <w:bCs/>
          <w:sz w:val="26"/>
          <w:szCs w:val="26"/>
        </w:rPr>
        <w:t xml:space="preserve">Kết quả thực hiện kế hoạch sản xuất 9 tháng năm 2026</w:t>
      </w:r>
    </w:p>
    <w:p>
      <w:pPr>
        <w:spacing w:after="200" w:before="0" w:line="300"/>
        <w:ind w:firstLine="0"/>
        <w:jc w:val="center"/>
      </w:pPr>
      <w:r>
        <w:rPr>
          <w:rFonts w:ascii="Times New Roman" w:cs="Times New Roman" w:eastAsia="Times New Roman" w:hAnsi="Times New Roman"/>
          <w:b w:val="false"/>
          <w:bCs w:val="false"/>
          <w:sz w:val="26"/>
          <w:szCs w:val="26"/>
        </w:rPr>
        <w:t xml:space="preserve">Kính gửi: Tập đoàn Công nghiệp Than - Khoáng sản Việt Nam.</w:t>
      </w:r>
    </w:p>
    <w:p>
      <w:pPr>
        <w:spacing w:after="80" w:before="0" w:line="300"/>
        <w:ind w:firstLine="567"/>
        <w:jc w:val="both"/>
      </w:pPr>
      <w:r>
        <w:rPr>
          <w:rFonts w:ascii="Times New Roman" w:cs="Times New Roman" w:eastAsia="Times New Roman" w:hAnsi="Times New Roman"/>
          <w:sz w:val="26"/>
          <w:szCs w:val="26"/>
        </w:rPr>
        <w:t xml:space="preserve">Căn cứ Quyết định số 2675/QĐ-TKV và Kế hoạch số 3374/KH-TKV của Tập đoàn Công nghiệp Than - Khoáng sản Việt Nam về kế hoạch phối hợp kinh doanh năm 2026;</w:t>
      </w:r>
    </w:p>
    <w:p>
      <w:pPr>
        <w:spacing w:after="80" w:before="0" w:line="300"/>
        <w:ind w:firstLine="567"/>
        <w:jc w:val="both"/>
      </w:pPr>
      <w:r>
        <w:rPr>
          <w:rFonts w:ascii="Times New Roman" w:cs="Times New Roman" w:eastAsia="Times New Roman" w:hAnsi="Times New Roman"/>
          <w:sz w:val="26"/>
          <w:szCs w:val="26"/>
        </w:rPr>
        <w:t xml:space="preserve">Căn cứ số liệu tổng hợp khối lượng mỏ (KLM) thực hiện từ tháng 01 đến tháng 9 năm 2026 (bảng tổng hợp chốt ngày 13/10/2026);</w:t>
      </w:r>
    </w:p>
    <w:p>
      <w:pPr>
        <w:spacing w:after="80" w:before="0" w:line="300"/>
        <w:ind w:firstLine="567"/>
        <w:jc w:val="both"/>
      </w:pPr>
      <w:r>
        <w:rPr>
          <w:rFonts w:ascii="Times New Roman" w:cs="Times New Roman" w:eastAsia="Times New Roman" w:hAnsi="Times New Roman"/>
          <w:sz w:val="26"/>
          <w:szCs w:val="26"/>
        </w:rPr>
        <w:t xml:space="preserve">Công ty than Dương Huy - TKV báo cáo kết quả thực hiện kế hoạch sản xuất 9 tháng năm 2026 như sau:</w:t>
      </w:r>
    </w:p>
    <w:p>
      <w:pPr>
        <w:keepNext/>
        <w:spacing w:after="80" w:before="160" w:line="300"/>
        <w:ind w:firstLine="0"/>
        <w:jc w:val="both"/>
      </w:pPr>
      <w:r>
        <w:rPr>
          <w:rFonts w:ascii="Times New Roman" w:cs="Times New Roman" w:eastAsia="Times New Roman" w:hAnsi="Times New Roman"/>
          <w:b/>
          <w:bCs/>
          <w:sz w:val="26"/>
          <w:szCs w:val="26"/>
        </w:rPr>
        <w:t xml:space="preserve">I. KẾT QUẢ THỰC HIỆN CÁC CHỈ TIÊU CHỦ YẾU</w:t>
      </w:r>
    </w:p>
    <w:p>
      <w:pPr>
        <w:keepNext/>
        <w:spacing w:after="60" w:before="100" w:line="300"/>
        <w:ind w:firstLine="0"/>
        <w:jc w:val="both"/>
      </w:pPr>
      <w:r>
        <w:rPr>
          <w:rFonts w:ascii="Times New Roman" w:cs="Times New Roman" w:eastAsia="Times New Roman" w:hAnsi="Times New Roman"/>
          <w:b/>
          <w:bCs/>
          <w:i/>
          <w:iCs/>
          <w:sz w:val="26"/>
          <w:szCs w:val="26"/>
        </w:rPr>
        <w:t xml:space="preserve">1. Tổng hợp các chỉ tiêu chủ yếu</w:t>
      </w:r>
    </w:p>
    <w:p>
      <w:pPr>
        <w:keepNext/>
        <w:spacing w:after="60" w:before="80" w:line="300"/>
        <w:ind w:firstLine="0"/>
        <w:jc w:val="left"/>
      </w:pPr>
      <w:r>
        <w:rPr>
          <w:rFonts w:ascii="Times New Roman" w:cs="Times New Roman" w:eastAsia="Times New Roman" w:hAnsi="Times New Roman"/>
          <w:b/>
          <w:bCs/>
          <w:sz w:val="24"/>
          <w:szCs w:val="24"/>
        </w:rPr>
        <w:t xml:space="preserve">Bảng 1. Kết quả thực hiện các chỉ tiêu chủ yếu 9 tháng năm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68"/>
        <w:gridCol w:w="2431"/>
        <w:gridCol w:w="842"/>
        <w:gridCol w:w="1122"/>
        <w:gridCol w:w="1122"/>
        <w:gridCol w:w="1216"/>
        <w:gridCol w:w="935"/>
        <w:gridCol w:w="935"/>
      </w:tblGrid>
      <w:tr>
        <w:trPr>
          <w:cantSplit/>
          <w:tblHeader/>
        </w:trPr>
        <w:tc>
          <w:tcPr>
            <w:tcW w:type="dxa" w:w="468"/>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243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Chỉ tiêu</w:t>
            </w:r>
          </w:p>
        </w:tc>
        <w:tc>
          <w:tcPr>
            <w:tcW w:type="dxa" w:w="842"/>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ĐVT</w:t>
            </w:r>
          </w:p>
        </w:tc>
        <w:tc>
          <w:tcPr>
            <w:tcW w:type="dxa" w:w="1122"/>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KH năm (QĐ 2675)</w:t>
            </w:r>
          </w:p>
        </w:tc>
        <w:tc>
          <w:tcPr>
            <w:tcW w:type="dxa" w:w="1122"/>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KH năm (3374)</w:t>
            </w:r>
          </w:p>
        </w:tc>
        <w:tc>
          <w:tcPr>
            <w:tcW w:type="dxa" w:w="121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 9 tháng</w:t>
            </w:r>
          </w:p>
        </w:tc>
        <w:tc>
          <w:tcPr>
            <w:tcW w:type="dxa" w:w="935"/>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KH QĐ 2675</w:t>
            </w:r>
          </w:p>
        </w:tc>
        <w:tc>
          <w:tcPr>
            <w:tcW w:type="dxa" w:w="935"/>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KH 3374</w:t>
            </w:r>
          </w:p>
        </w:tc>
      </w:tr>
      <w:tr>
        <w:trPr>
          <w:cantSplit/>
          <w:tblHeader w:val="false"/>
        </w:trPr>
        <w:tc>
          <w:tcPr>
            <w:tcW w:type="dxa" w:w="46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1</w:t>
            </w:r>
          </w:p>
        </w:tc>
        <w:tc>
          <w:tcPr>
            <w:tcW w:type="dxa" w:w="243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Than nguyên khai hầm lò</w:t>
            </w:r>
          </w:p>
        </w:tc>
        <w:tc>
          <w:tcPr>
            <w:tcW w:type="dxa" w:w="8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tấn</w:t>
            </w:r>
          </w:p>
        </w:tc>
        <w:tc>
          <w:tcPr>
            <w:tcW w:type="dxa" w:w="112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2.500.000</w:t>
            </w:r>
          </w:p>
        </w:tc>
        <w:tc>
          <w:tcPr>
            <w:tcW w:type="dxa" w:w="112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2.550.000</w:t>
            </w:r>
          </w:p>
        </w:tc>
        <w:tc>
          <w:tcPr>
            <w:tcW w:type="dxa" w:w="121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1.814.612,8</w:t>
            </w:r>
          </w:p>
        </w:tc>
        <w:tc>
          <w:tcPr>
            <w:tcW w:type="dxa" w:w="93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72,6</w:t>
            </w:r>
          </w:p>
        </w:tc>
        <w:tc>
          <w:tcPr>
            <w:tcW w:type="dxa" w:w="93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71,2</w:t>
            </w:r>
          </w:p>
        </w:tc>
      </w:tr>
      <w:tr>
        <w:trPr>
          <w:cantSplit/>
          <w:tblHeader w:val="false"/>
        </w:trPr>
        <w:tc>
          <w:tcPr>
            <w:tcW w:type="dxa" w:w="46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2</w:t>
            </w:r>
          </w:p>
        </w:tc>
        <w:tc>
          <w:tcPr>
            <w:tcW w:type="dxa" w:w="243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Mét lò đào CBSX</w:t>
            </w:r>
          </w:p>
        </w:tc>
        <w:tc>
          <w:tcPr>
            <w:tcW w:type="dxa" w:w="8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m</w:t>
            </w:r>
          </w:p>
        </w:tc>
        <w:tc>
          <w:tcPr>
            <w:tcW w:type="dxa" w:w="112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26.230</w:t>
            </w:r>
          </w:p>
        </w:tc>
        <w:tc>
          <w:tcPr>
            <w:tcW w:type="dxa" w:w="112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25.730</w:t>
            </w:r>
          </w:p>
        </w:tc>
        <w:tc>
          <w:tcPr>
            <w:tcW w:type="dxa" w:w="121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18.202,4</w:t>
            </w:r>
          </w:p>
        </w:tc>
        <w:tc>
          <w:tcPr>
            <w:tcW w:type="dxa" w:w="93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69,4</w:t>
            </w:r>
          </w:p>
        </w:tc>
        <w:tc>
          <w:tcPr>
            <w:tcW w:type="dxa" w:w="93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70,7</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Lò đá</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m</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8.510</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8.460</w:t>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6.209,65</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73,0</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73,4</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Lò than</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m</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17.720</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17.270</w:t>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11.992,75</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67,7</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69,4</w:t>
            </w:r>
          </w:p>
        </w:tc>
      </w:tr>
      <w:tr>
        <w:trPr>
          <w:cantSplit/>
          <w:tblHeader w:val="false"/>
        </w:trPr>
        <w:tc>
          <w:tcPr>
            <w:tcW w:type="dxa" w:w="46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3</w:t>
            </w:r>
          </w:p>
        </w:tc>
        <w:tc>
          <w:tcPr>
            <w:tcW w:type="dxa" w:w="243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Mét lò xén</w:t>
            </w:r>
          </w:p>
        </w:tc>
        <w:tc>
          <w:tcPr>
            <w:tcW w:type="dxa" w:w="8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m</w:t>
            </w:r>
          </w:p>
        </w:tc>
        <w:tc>
          <w:tcPr>
            <w:tcW w:type="dxa" w:w="112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7.500</w:t>
            </w:r>
          </w:p>
        </w:tc>
        <w:tc>
          <w:tcPr>
            <w:tcW w:type="dxa" w:w="112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7.125</w:t>
            </w:r>
          </w:p>
        </w:tc>
        <w:tc>
          <w:tcPr>
            <w:tcW w:type="dxa" w:w="121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5.150,7</w:t>
            </w:r>
          </w:p>
        </w:tc>
        <w:tc>
          <w:tcPr>
            <w:tcW w:type="dxa" w:w="93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68,7</w:t>
            </w:r>
          </w:p>
        </w:tc>
        <w:tc>
          <w:tcPr>
            <w:tcW w:type="dxa" w:w="935"/>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72,3</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Xén trong đá</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m</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4.062</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3.860</w:t>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3.415,35</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84,1</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88,5</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Xén trong than</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m</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3.438</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3.265</w:t>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1.735,35</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50,5</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53,2</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Hệ số mét lò CBSX</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m/1000 T</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10,49</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10,09</w:t>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10,03</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95,6</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99,4</w:t>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Độ tro bình quân than NK hầm lò</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36,5</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38,1</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104,4</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r>
      <w:tr>
        <w:trPr>
          <w:cantSplit/>
          <w:tblHeader w:val="false"/>
        </w:trPr>
        <w:tc>
          <w:tcPr>
            <w:tcW w:type="dxa" w:w="46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243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Tổn thất khai thác hầm lò</w:t>
            </w:r>
          </w:p>
        </w:tc>
        <w:tc>
          <w:tcPr>
            <w:tcW w:type="dxa" w:w="8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19,14</w:t>
            </w:r>
          </w:p>
        </w:tc>
        <w:tc>
          <w:tcPr>
            <w:tcW w:type="dxa" w:w="11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21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19,08</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99,7</w:t>
            </w:r>
          </w:p>
        </w:tc>
        <w:tc>
          <w:tcPr>
            <w:tcW w:type="dxa" w:w="935"/>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r>
    </w:tbl>
    <w:p>
      <w:pPr>
        <w:spacing w:after="120" w:before="0" w:line="300"/>
        <w:ind w:firstLine="0"/>
        <w:jc w:val="both"/>
      </w:pPr>
      <w:r>
        <w:rPr>
          <w:rFonts w:ascii="Times New Roman" w:cs="Times New Roman" w:eastAsia="Times New Roman" w:hAnsi="Times New Roman"/>
          <w:i/>
          <w:iCs/>
          <w:sz w:val="20"/>
          <w:szCs w:val="20"/>
        </w:rPr>
        <w:t xml:space="preserve">Nguồn: Thực hiện: sheet TKV (cộng tháng 1–9, cột G:O); kế hoạch: sheet PHU_LUC cột E (QĐ 2675) và cột F (3374); độ tro và tổn thất: sheet PHU_LUC ô V30, V131. Tiến độ thời gian 9 tháng = 9/12 = 75,0%.</w:t>
      </w:r>
    </w:p>
    <w:p>
      <w:pPr>
        <w:spacing w:after="80" w:before="0" w:line="300"/>
        <w:ind w:firstLine="567"/>
        <w:jc w:val="both"/>
      </w:pPr>
      <w:r>
        <w:rPr>
          <w:rFonts w:ascii="Times New Roman" w:cs="Times New Roman" w:eastAsia="Times New Roman" w:hAnsi="Times New Roman"/>
          <w:b/>
          <w:bCs/>
          <w:sz w:val="26"/>
          <w:szCs w:val="26"/>
        </w:rPr>
        <w:t xml:space="preserve">Đánh giá: </w:t>
      </w:r>
      <w:r>
        <w:rPr>
          <w:rFonts w:ascii="Times New Roman" w:cs="Times New Roman" w:eastAsia="Times New Roman" w:hAnsi="Times New Roman"/>
          <w:sz w:val="26"/>
          <w:szCs w:val="26"/>
        </w:rPr>
        <w:t xml:space="preserve">Sản lượng than nguyên khai hầm lò 9 tháng đạt 1.814.612,8 tấn, bằng 72,6% KH theo QĐ 2675 và 71,2% KH theo 3374; mét lò đào CBSX đạt 18.202,4 m, bằng 69,4% và 70,7%; mét lò xén đạt 5.150,7 m, bằng 68,7% và 72,3%. Cả 3 chỉ tiêu chính đều thấp hơn tiến độ thời gian (75,0%). So với mức tiến độ 75% KH năm, sản lượng than còn thiếu 60.387,2 tấn (QĐ 2675) và 97.887,2 tấn (3374); mét lò đào còn thiếu 1.470,1 m (QĐ 2675) và 1.095,1 m (3374); mét lò xén còn thiếu 474,3 m (QĐ 2675) và 193,05 m (3374).</w:t>
      </w:r>
    </w:p>
    <w:p>
      <w:pPr>
        <w:spacing w:after="80" w:before="0" w:line="300"/>
        <w:ind w:firstLine="567"/>
        <w:jc w:val="both"/>
      </w:pPr>
      <w:r>
        <w:rPr>
          <w:rFonts w:ascii="Times New Roman" w:cs="Times New Roman" w:eastAsia="Times New Roman" w:hAnsi="Times New Roman"/>
          <w:sz w:val="26"/>
          <w:szCs w:val="26"/>
        </w:rPr>
        <w:t xml:space="preserve">Độ tro bình quân than nguyên khai hầm lò 38,1%, cao hơn kế hoạch (36,5%) 1,6 điểm %. Hệ số mét lò CBSX đạt 10,03 m/1000 tấn, thấp hơn kế hoạch theo QĐ 2675 (10,49) và theo 3374 (10,09).</w:t>
      </w:r>
    </w:p>
    <w:p>
      <w:pPr>
        <w:keepNext/>
        <w:spacing w:after="60" w:before="100" w:line="300"/>
        <w:ind w:firstLine="0"/>
        <w:jc w:val="both"/>
      </w:pPr>
      <w:r>
        <w:rPr>
          <w:rFonts w:ascii="Times New Roman" w:cs="Times New Roman" w:eastAsia="Times New Roman" w:hAnsi="Times New Roman"/>
          <w:b/>
          <w:bCs/>
          <w:i/>
          <w:iCs/>
          <w:sz w:val="26"/>
          <w:szCs w:val="26"/>
        </w:rPr>
        <w:t xml:space="preserve">2. Kết quả thực hiện theo tháng, quý</w:t>
      </w:r>
    </w:p>
    <w:p>
      <w:pPr>
        <w:keepNext/>
        <w:spacing w:after="60" w:before="80" w:line="300"/>
        <w:ind w:firstLine="0"/>
        <w:jc w:val="left"/>
      </w:pPr>
      <w:r>
        <w:rPr>
          <w:rFonts w:ascii="Times New Roman" w:cs="Times New Roman" w:eastAsia="Times New Roman" w:hAnsi="Times New Roman"/>
          <w:b/>
          <w:bCs/>
          <w:sz w:val="24"/>
          <w:szCs w:val="24"/>
        </w:rPr>
        <w:t xml:space="preserve">Bảng 2. Sản lượng than, mét lò đào, mét lò xén theo tháng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1723"/>
        <w:gridCol w:w="1633"/>
        <w:gridCol w:w="1451"/>
        <w:gridCol w:w="1542"/>
      </w:tblGrid>
      <w:tr>
        <w:trPr>
          <w:cantSplit/>
          <w:tblHeader/>
        </w:trPr>
        <w:tc>
          <w:tcPr>
            <w:tcW w:type="dxa" w:w="72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Tháng</w:t>
            </w:r>
          </w:p>
        </w:tc>
        <w:tc>
          <w:tcPr>
            <w:tcW w:type="dxa" w:w="199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Kỳ</w:t>
            </w:r>
          </w:p>
        </w:tc>
        <w:tc>
          <w:tcPr>
            <w:tcW w:type="dxa" w:w="1723"/>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Than NK hầm lò (tấn)</w:t>
            </w:r>
          </w:p>
        </w:tc>
        <w:tc>
          <w:tcPr>
            <w:tcW w:type="dxa" w:w="1633"/>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Mét lò đào CBSX (m)</w:t>
            </w:r>
          </w:p>
        </w:tc>
        <w:tc>
          <w:tcPr>
            <w:tcW w:type="dxa" w:w="145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Trong đó lò đá (m)</w:t>
            </w:r>
          </w:p>
        </w:tc>
        <w:tc>
          <w:tcPr>
            <w:tcW w:type="dxa" w:w="1542"/>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Mét lò xén (m)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1</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230.349,7</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2.299,3</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724,8</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662,6</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2</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143.953,8</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1.452,9</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445,9</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426,2</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3</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248.107,8</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2.368,2</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806,1</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634,2</w:t>
            </w:r>
          </w:p>
        </w:tc>
      </w:tr>
      <w:tr>
        <w:trPr>
          <w:cantSplit/>
          <w:tblHeader w:val="false"/>
        </w:trPr>
        <w:tc>
          <w:tcPr>
            <w:tcW w:type="dxa" w:w="72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199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quý I</w:t>
            </w:r>
          </w:p>
        </w:tc>
        <w:tc>
          <w:tcPr>
            <w:tcW w:type="dxa" w:w="172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622.411,2</w:t>
            </w:r>
          </w:p>
        </w:tc>
        <w:tc>
          <w:tcPr>
            <w:tcW w:type="dxa" w:w="163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6.120,4</w:t>
            </w:r>
          </w:p>
        </w:tc>
        <w:tc>
          <w:tcPr>
            <w:tcW w:type="dxa" w:w="145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1.976,8</w:t>
            </w:r>
          </w:p>
        </w:tc>
        <w:tc>
          <w:tcPr>
            <w:tcW w:type="dxa" w:w="15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1.723</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4</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246.601,9</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1.942,2</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743</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542,1</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5</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200.000,1</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1.963,4</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502,9</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295,8</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6</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190.986,3</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1.874,1</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687,3</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689,5</w:t>
            </w:r>
          </w:p>
        </w:tc>
      </w:tr>
      <w:tr>
        <w:trPr>
          <w:cantSplit/>
          <w:tblHeader w:val="false"/>
        </w:trPr>
        <w:tc>
          <w:tcPr>
            <w:tcW w:type="dxa" w:w="72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199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quý II</w:t>
            </w:r>
          </w:p>
        </w:tc>
        <w:tc>
          <w:tcPr>
            <w:tcW w:type="dxa" w:w="172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637.588,3</w:t>
            </w:r>
          </w:p>
        </w:tc>
        <w:tc>
          <w:tcPr>
            <w:tcW w:type="dxa" w:w="163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5.779,7</w:t>
            </w:r>
          </w:p>
        </w:tc>
        <w:tc>
          <w:tcPr>
            <w:tcW w:type="dxa" w:w="145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1.933,2</w:t>
            </w:r>
          </w:p>
        </w:tc>
        <w:tc>
          <w:tcPr>
            <w:tcW w:type="dxa" w:w="15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1.527,4</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7</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179.667,0</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1.607</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630,9</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572,7</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8</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184.530,5</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2.235,4</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792,65</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742,2</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199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Tháng 9</w:t>
            </w:r>
          </w:p>
        </w:tc>
        <w:tc>
          <w:tcPr>
            <w:tcW w:type="dxa" w:w="172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190.415,8</w:t>
            </w:r>
          </w:p>
        </w:tc>
        <w:tc>
          <w:tcPr>
            <w:tcW w:type="dxa" w:w="163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2.459,9</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876,1</w:t>
            </w:r>
          </w:p>
        </w:tc>
        <w:tc>
          <w:tcPr>
            <w:tcW w:type="dxa" w:w="154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585,4</w:t>
            </w:r>
          </w:p>
        </w:tc>
      </w:tr>
      <w:tr>
        <w:trPr>
          <w:cantSplit/>
          <w:tblHeader w:val="false"/>
        </w:trPr>
        <w:tc>
          <w:tcPr>
            <w:tcW w:type="dxa" w:w="72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199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quý III</w:t>
            </w:r>
          </w:p>
        </w:tc>
        <w:tc>
          <w:tcPr>
            <w:tcW w:type="dxa" w:w="172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554.613,3</w:t>
            </w:r>
          </w:p>
        </w:tc>
        <w:tc>
          <w:tcPr>
            <w:tcW w:type="dxa" w:w="163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6.302,3</w:t>
            </w:r>
          </w:p>
        </w:tc>
        <w:tc>
          <w:tcPr>
            <w:tcW w:type="dxa" w:w="145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2.299,65</w:t>
            </w:r>
          </w:p>
        </w:tc>
        <w:tc>
          <w:tcPr>
            <w:tcW w:type="dxa" w:w="15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1.900,3</w:t>
            </w:r>
          </w:p>
        </w:tc>
      </w:tr>
      <w:tr>
        <w:trPr>
          <w:cantSplit/>
          <w:tblHeader w:val="false"/>
        </w:trPr>
        <w:tc>
          <w:tcPr>
            <w:tcW w:type="dxa" w:w="72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199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9 tháng</w:t>
            </w:r>
          </w:p>
        </w:tc>
        <w:tc>
          <w:tcPr>
            <w:tcW w:type="dxa" w:w="172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1.814.612,8</w:t>
            </w:r>
          </w:p>
        </w:tc>
        <w:tc>
          <w:tcPr>
            <w:tcW w:type="dxa" w:w="163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18.202,4</w:t>
            </w:r>
          </w:p>
        </w:tc>
        <w:tc>
          <w:tcPr>
            <w:tcW w:type="dxa" w:w="145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6.209,65</w:t>
            </w:r>
          </w:p>
        </w:tc>
        <w:tc>
          <w:tcPr>
            <w:tcW w:type="dxa" w:w="15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5.150,7</w:t>
            </w:r>
          </w:p>
        </w:tc>
      </w:tr>
      <w:tr>
        <w:trPr>
          <w:cantSplit/>
          <w:tblHeader w:val="false"/>
        </w:trPr>
        <w:tc>
          <w:tcPr>
            <w:tcW w:type="dxa" w:w="72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199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Bình quân tháng</w:t>
            </w:r>
          </w:p>
        </w:tc>
        <w:tc>
          <w:tcPr>
            <w:tcW w:type="dxa" w:w="172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201.623,6</w:t>
            </w:r>
          </w:p>
        </w:tc>
        <w:tc>
          <w:tcPr>
            <w:tcW w:type="dxa" w:w="163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2.022,5</w:t>
            </w:r>
          </w:p>
        </w:tc>
        <w:tc>
          <w:tcPr>
            <w:tcW w:type="dxa" w:w="145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690</w:t>
            </w:r>
          </w:p>
        </w:tc>
        <w:tc>
          <w:tcPr>
            <w:tcW w:type="dxa" w:w="154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572,3</w:t>
            </w:r>
          </w:p>
        </w:tc>
      </w:tr>
    </w:tbl>
    <w:p>
      <w:pPr>
        <w:spacing w:after="120" w:before="0" w:line="300"/>
        <w:ind w:firstLine="0"/>
        <w:jc w:val="both"/>
      </w:pPr>
      <w:r>
        <w:rPr>
          <w:rFonts w:ascii="Times New Roman" w:cs="Times New Roman" w:eastAsia="Times New Roman" w:hAnsi="Times New Roman"/>
          <w:i/>
          <w:iCs/>
          <w:sz w:val="20"/>
          <w:szCs w:val="20"/>
        </w:rPr>
        <w:t xml:space="preserve">Nguồn: sheet TKV, dòng 114 (than hầm lò), 85 (mét lò đào), 96 (lò đá), 104 (mét lò xén), cột G:O.</w:t>
      </w:r>
    </w:p>
    <w:p>
      <w:pPr>
        <w:spacing w:after="80" w:before="0" w:line="300"/>
        <w:ind w:firstLine="567"/>
        <w:jc w:val="both"/>
      </w:pPr>
      <w:r>
        <w:rPr>
          <w:rFonts w:ascii="Times New Roman" w:cs="Times New Roman" w:eastAsia="Times New Roman" w:hAnsi="Times New Roman"/>
          <w:sz w:val="26"/>
          <w:szCs w:val="26"/>
        </w:rPr>
        <w:t xml:space="preserve">Sản lượng than quý III đạt 554.613,3 tấn, thấp nhất trong 3 quý (quý I: 622.411,2 tấn; quý II: 637.588,3 tấn). Tháng có sản lượng cao nhất là tháng 3 (248.107,8 tấn), thấp nhất là tháng 2 (143.953,8 tấn). Mét lò đào quý III đạt 6.302,3 m, cao nhất trong 3 quý; riêng tháng 9 đạt 2.459,9 m, cao nhất từ đầu năm.</w:t>
      </w:r>
    </w:p>
    <w:p>
      <w:pPr>
        <w:keepNext/>
        <w:spacing w:after="60" w:before="100" w:line="300"/>
        <w:ind w:firstLine="0"/>
        <w:jc w:val="both"/>
      </w:pPr>
      <w:r>
        <w:rPr>
          <w:rFonts w:ascii="Times New Roman" w:cs="Times New Roman" w:eastAsia="Times New Roman" w:hAnsi="Times New Roman"/>
          <w:b/>
          <w:bCs/>
          <w:i/>
          <w:iCs/>
          <w:sz w:val="26"/>
          <w:szCs w:val="26"/>
        </w:rPr>
        <w:t xml:space="preserve">3. Sản lượng than theo công nghệ khai thác</w:t>
      </w:r>
    </w:p>
    <w:p>
      <w:pPr>
        <w:keepNext/>
        <w:spacing w:after="60" w:before="80" w:line="300"/>
        <w:ind w:firstLine="0"/>
        <w:jc w:val="left"/>
      </w:pPr>
      <w:r>
        <w:rPr>
          <w:rFonts w:ascii="Times New Roman" w:cs="Times New Roman" w:eastAsia="Times New Roman" w:hAnsi="Times New Roman"/>
          <w:b/>
          <w:bCs/>
          <w:sz w:val="24"/>
          <w:szCs w:val="24"/>
        </w:rPr>
        <w:t xml:space="preserve">Bảng 3. Sản lượng than theo công nghệ (so với KH theo QĐ 2675)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2"/>
        <w:gridCol w:w="3118"/>
        <w:gridCol w:w="1512"/>
        <w:gridCol w:w="1606"/>
        <w:gridCol w:w="1134"/>
        <w:gridCol w:w="1229"/>
      </w:tblGrid>
      <w:tr>
        <w:trPr>
          <w:cantSplit/>
          <w:tblHeader/>
        </w:trPr>
        <w:tc>
          <w:tcPr>
            <w:tcW w:type="dxa" w:w="472"/>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3118"/>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Công nghệ</w:t>
            </w:r>
          </w:p>
        </w:tc>
        <w:tc>
          <w:tcPr>
            <w:tcW w:type="dxa" w:w="1512"/>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KH năm (tấn)</w:t>
            </w:r>
          </w:p>
        </w:tc>
        <w:tc>
          <w:tcPr>
            <w:tcW w:type="dxa" w:w="160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 9 tháng (tấn)</w:t>
            </w:r>
          </w:p>
        </w:tc>
        <w:tc>
          <w:tcPr>
            <w:tcW w:type="dxa" w:w="113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KH</w:t>
            </w:r>
          </w:p>
        </w:tc>
        <w:tc>
          <w:tcPr>
            <w:tcW w:type="dxa" w:w="122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Tỷ trọng (%)</w:t>
            </w:r>
          </w:p>
        </w:tc>
      </w:tr>
      <w:tr>
        <w:trPr>
          <w:cantSplit/>
          <w:tblHeader w:val="false"/>
        </w:trPr>
        <w:tc>
          <w:tcPr>
            <w:tcW w:type="dxa" w:w="47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1</w:t>
            </w:r>
          </w:p>
        </w:tc>
        <w:tc>
          <w:tcPr>
            <w:tcW w:type="dxa" w:w="311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Than lò chợ</w:t>
            </w:r>
          </w:p>
        </w:tc>
        <w:tc>
          <w:tcPr>
            <w:tcW w:type="dxa" w:w="151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2.183.200</w:t>
            </w:r>
          </w:p>
        </w:tc>
        <w:tc>
          <w:tcPr>
            <w:tcW w:type="dxa" w:w="160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1.547.340,5</w:t>
            </w:r>
          </w:p>
        </w:tc>
        <w:tc>
          <w:tcPr>
            <w:tcW w:type="dxa" w:w="113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70,9</w:t>
            </w:r>
          </w:p>
        </w:tc>
        <w:tc>
          <w:tcPr>
            <w:tcW w:type="dxa" w:w="122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85,3</w:t>
            </w:r>
          </w:p>
        </w:tc>
      </w:tr>
      <w:tr>
        <w:trPr>
          <w:cantSplit/>
          <w:tblHeader w:val="false"/>
        </w:trPr>
        <w:tc>
          <w:tcPr>
            <w:tcW w:type="dxa" w:w="47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11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Lò chợ cơ giới hóa (máy khấu)</w:t>
            </w:r>
          </w:p>
        </w:tc>
        <w:tc>
          <w:tcPr>
            <w:tcW w:type="dxa" w:w="151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732.000</w:t>
            </w:r>
          </w:p>
        </w:tc>
        <w:tc>
          <w:tcPr>
            <w:tcW w:type="dxa" w:w="160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564.815,0</w:t>
            </w:r>
          </w:p>
        </w:tc>
        <w:tc>
          <w:tcPr>
            <w:tcW w:type="dxa" w:w="113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77,2</w:t>
            </w:r>
          </w:p>
        </w:tc>
        <w:tc>
          <w:tcPr>
            <w:tcW w:type="dxa" w:w="122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31,1</w:t>
            </w:r>
          </w:p>
        </w:tc>
      </w:tr>
      <w:tr>
        <w:trPr>
          <w:cantSplit/>
          <w:tblHeader w:val="false"/>
        </w:trPr>
        <w:tc>
          <w:tcPr>
            <w:tcW w:type="dxa" w:w="47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11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 CGH hạng trung</w:t>
            </w:r>
          </w:p>
        </w:tc>
        <w:tc>
          <w:tcPr>
            <w:tcW w:type="dxa" w:w="151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426.000</w:t>
            </w:r>
          </w:p>
        </w:tc>
        <w:tc>
          <w:tcPr>
            <w:tcW w:type="dxa" w:w="160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393.720,9</w:t>
            </w:r>
          </w:p>
        </w:tc>
        <w:tc>
          <w:tcPr>
            <w:tcW w:type="dxa" w:w="113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92,4</w:t>
            </w:r>
          </w:p>
        </w:tc>
        <w:tc>
          <w:tcPr>
            <w:tcW w:type="dxa" w:w="122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21,7</w:t>
            </w:r>
          </w:p>
        </w:tc>
      </w:tr>
      <w:tr>
        <w:trPr>
          <w:cantSplit/>
          <w:tblHeader w:val="false"/>
        </w:trPr>
        <w:tc>
          <w:tcPr>
            <w:tcW w:type="dxa" w:w="47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11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 CGH hạng nhẹ</w:t>
            </w:r>
          </w:p>
        </w:tc>
        <w:tc>
          <w:tcPr>
            <w:tcW w:type="dxa" w:w="151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306.000</w:t>
            </w:r>
          </w:p>
        </w:tc>
        <w:tc>
          <w:tcPr>
            <w:tcW w:type="dxa" w:w="160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171.094,1</w:t>
            </w:r>
          </w:p>
        </w:tc>
        <w:tc>
          <w:tcPr>
            <w:tcW w:type="dxa" w:w="113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55,9</w:t>
            </w:r>
          </w:p>
        </w:tc>
        <w:tc>
          <w:tcPr>
            <w:tcW w:type="dxa" w:w="122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9,4</w:t>
            </w:r>
          </w:p>
        </w:tc>
      </w:tr>
      <w:tr>
        <w:trPr>
          <w:cantSplit/>
          <w:tblHeader w:val="false"/>
        </w:trPr>
        <w:tc>
          <w:tcPr>
            <w:tcW w:type="dxa" w:w="47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11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Lò chợ giá khung, giá xích</w:t>
            </w:r>
          </w:p>
        </w:tc>
        <w:tc>
          <w:tcPr>
            <w:tcW w:type="dxa" w:w="151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1.269.200</w:t>
            </w:r>
          </w:p>
        </w:tc>
        <w:tc>
          <w:tcPr>
            <w:tcW w:type="dxa" w:w="160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884.485,8</w:t>
            </w:r>
          </w:p>
        </w:tc>
        <w:tc>
          <w:tcPr>
            <w:tcW w:type="dxa" w:w="113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69,7</w:t>
            </w:r>
          </w:p>
        </w:tc>
        <w:tc>
          <w:tcPr>
            <w:tcW w:type="dxa" w:w="122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48,7</w:t>
            </w:r>
          </w:p>
        </w:tc>
      </w:tr>
      <w:tr>
        <w:trPr>
          <w:cantSplit/>
          <w:tblHeader w:val="false"/>
        </w:trPr>
        <w:tc>
          <w:tcPr>
            <w:tcW w:type="dxa" w:w="47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11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Lò chợ giàn mềm (ZRY)</w:t>
            </w:r>
          </w:p>
        </w:tc>
        <w:tc>
          <w:tcPr>
            <w:tcW w:type="dxa" w:w="151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167.000</w:t>
            </w:r>
          </w:p>
        </w:tc>
        <w:tc>
          <w:tcPr>
            <w:tcW w:type="dxa" w:w="160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82.283,4</w:t>
            </w:r>
          </w:p>
        </w:tc>
        <w:tc>
          <w:tcPr>
            <w:tcW w:type="dxa" w:w="113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49,3</w:t>
            </w:r>
          </w:p>
        </w:tc>
        <w:tc>
          <w:tcPr>
            <w:tcW w:type="dxa" w:w="122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4,5</w:t>
            </w:r>
          </w:p>
        </w:tc>
      </w:tr>
      <w:tr>
        <w:trPr>
          <w:cantSplit/>
          <w:tblHeader w:val="false"/>
        </w:trPr>
        <w:tc>
          <w:tcPr>
            <w:tcW w:type="dxa" w:w="47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11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 Lò chợ DVPT, ngang nghiêng</w:t>
            </w:r>
          </w:p>
        </w:tc>
        <w:tc>
          <w:tcPr>
            <w:tcW w:type="dxa" w:w="151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15.000</w:t>
            </w:r>
          </w:p>
        </w:tc>
        <w:tc>
          <w:tcPr>
            <w:tcW w:type="dxa" w:w="160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15.756,3</w:t>
            </w:r>
          </w:p>
        </w:tc>
        <w:tc>
          <w:tcPr>
            <w:tcW w:type="dxa" w:w="113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105,0</w:t>
            </w:r>
          </w:p>
        </w:tc>
        <w:tc>
          <w:tcPr>
            <w:tcW w:type="dxa" w:w="122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0,9</w:t>
            </w:r>
          </w:p>
        </w:tc>
      </w:tr>
      <w:tr>
        <w:trPr>
          <w:cantSplit/>
          <w:tblHeader w:val="false"/>
        </w:trPr>
        <w:tc>
          <w:tcPr>
            <w:tcW w:type="dxa" w:w="47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2</w:t>
            </w:r>
          </w:p>
        </w:tc>
        <w:tc>
          <w:tcPr>
            <w:tcW w:type="dxa" w:w="311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Than đào lò CBSX</w:t>
            </w:r>
          </w:p>
        </w:tc>
        <w:tc>
          <w:tcPr>
            <w:tcW w:type="dxa" w:w="151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302.680</w:t>
            </w:r>
          </w:p>
        </w:tc>
        <w:tc>
          <w:tcPr>
            <w:tcW w:type="dxa" w:w="160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230.692,3</w:t>
            </w:r>
          </w:p>
        </w:tc>
        <w:tc>
          <w:tcPr>
            <w:tcW w:type="dxa" w:w="113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76,2</w:t>
            </w:r>
          </w:p>
        </w:tc>
        <w:tc>
          <w:tcPr>
            <w:tcW w:type="dxa" w:w="122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12,7</w:t>
            </w:r>
          </w:p>
        </w:tc>
      </w:tr>
      <w:tr>
        <w:trPr>
          <w:cantSplit/>
          <w:tblHeader w:val="false"/>
        </w:trPr>
        <w:tc>
          <w:tcPr>
            <w:tcW w:type="dxa" w:w="47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3</w:t>
            </w:r>
          </w:p>
        </w:tc>
        <w:tc>
          <w:tcPr>
            <w:tcW w:type="dxa" w:w="311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Than xén, hạ nền lò</w:t>
            </w:r>
          </w:p>
        </w:tc>
        <w:tc>
          <w:tcPr>
            <w:tcW w:type="dxa" w:w="151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14.120</w:t>
            </w:r>
          </w:p>
        </w:tc>
        <w:tc>
          <w:tcPr>
            <w:tcW w:type="dxa" w:w="160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36.580,0</w:t>
            </w:r>
          </w:p>
        </w:tc>
        <w:tc>
          <w:tcPr>
            <w:tcW w:type="dxa" w:w="113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259,1</w:t>
            </w:r>
          </w:p>
        </w:tc>
        <w:tc>
          <w:tcPr>
            <w:tcW w:type="dxa" w:w="122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2,0</w:t>
            </w:r>
          </w:p>
        </w:tc>
      </w:tr>
      <w:tr>
        <w:trPr>
          <w:cantSplit/>
          <w:tblHeader w:val="false"/>
        </w:trPr>
        <w:tc>
          <w:tcPr>
            <w:tcW w:type="dxa" w:w="47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311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Tổng cộng</w:t>
            </w:r>
          </w:p>
        </w:tc>
        <w:tc>
          <w:tcPr>
            <w:tcW w:type="dxa" w:w="1512"/>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2.500.000</w:t>
            </w:r>
          </w:p>
        </w:tc>
        <w:tc>
          <w:tcPr>
            <w:tcW w:type="dxa" w:w="1606"/>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1.814.612,8</w:t>
            </w:r>
          </w:p>
        </w:tc>
        <w:tc>
          <w:tcPr>
            <w:tcW w:type="dxa" w:w="113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72,6</w:t>
            </w:r>
          </w:p>
        </w:tc>
        <w:tc>
          <w:tcPr>
            <w:tcW w:type="dxa" w:w="122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100,0</w:t>
            </w:r>
          </w:p>
        </w:tc>
      </w:tr>
    </w:tbl>
    <w:p>
      <w:pPr>
        <w:spacing w:after="120" w:before="0" w:line="300"/>
        <w:ind w:firstLine="0"/>
        <w:jc w:val="both"/>
      </w:pPr>
      <w:r>
        <w:rPr>
          <w:rFonts w:ascii="Times New Roman" w:cs="Times New Roman" w:eastAsia="Times New Roman" w:hAnsi="Times New Roman"/>
          <w:i/>
          <w:iCs/>
          <w:sz w:val="20"/>
          <w:szCs w:val="20"/>
        </w:rPr>
        <w:t xml:space="preserve">Nguồn: thực hiện: sheet TKV dòng 116–124, sheet PHU_LUC dòng 21–22 (CGH hạng trung, hạng nhẹ); kế hoạch: sheet PHU_LUC cột E, dòng 20–28. KH 3374 không có số chi tiết theo công nghệ trong file.</w:t>
      </w:r>
    </w:p>
    <w:p>
      <w:pPr>
        <w:spacing w:after="80" w:before="0" w:line="300"/>
        <w:ind w:firstLine="567"/>
        <w:jc w:val="both"/>
      </w:pPr>
      <w:r>
        <w:rPr>
          <w:rFonts w:ascii="Times New Roman" w:cs="Times New Roman" w:eastAsia="Times New Roman" w:hAnsi="Times New Roman"/>
          <w:sz w:val="26"/>
          <w:szCs w:val="26"/>
        </w:rPr>
        <w:t xml:space="preserve">Lò chợ cơ giới hóa đạt 77,2% KH, trong đó CGH hạng trung đạt 92,4%, CGH hạng nhẹ chỉ đạt 55,9% do không có sản lượng trong các tháng 7, 8, 9 (theo sheet PHU_LUC dòng 22). Lò chợ giá khung, giá xích đạt 69,7%; lò chợ giàn mềm đạt 49,3%, thấp nhất trong các công nghệ. Than xén, hạ nền đạt 36.580,0 tấn, bằng 259,1% KH năm.</w:t>
      </w:r>
    </w:p>
    <w:p>
      <w:pPr>
        <w:keepNext/>
        <w:spacing w:after="60" w:before="100" w:line="300"/>
        <w:ind w:firstLine="0"/>
        <w:jc w:val="both"/>
      </w:pPr>
      <w:r>
        <w:rPr>
          <w:rFonts w:ascii="Times New Roman" w:cs="Times New Roman" w:eastAsia="Times New Roman" w:hAnsi="Times New Roman"/>
          <w:b/>
          <w:bCs/>
          <w:i/>
          <w:iCs/>
          <w:sz w:val="26"/>
          <w:szCs w:val="26"/>
        </w:rPr>
        <w:t xml:space="preserve">4. Mét lò đào theo vật liệu chống và công nghệ đào</w:t>
      </w:r>
    </w:p>
    <w:p>
      <w:pPr>
        <w:keepNext/>
        <w:spacing w:after="60" w:before="80" w:line="300"/>
        <w:ind w:firstLine="0"/>
        <w:jc w:val="left"/>
      </w:pPr>
      <w:r>
        <w:rPr>
          <w:rFonts w:ascii="Times New Roman" w:cs="Times New Roman" w:eastAsia="Times New Roman" w:hAnsi="Times New Roman"/>
          <w:b/>
          <w:bCs/>
          <w:sz w:val="24"/>
          <w:szCs w:val="24"/>
        </w:rPr>
        <w:t xml:space="preserve">Bảng 4. Mét lò đào CBSX theo vật liệu chống, công nghệ (so với KH theo QĐ 2675)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3356"/>
        <w:gridCol w:w="1179"/>
        <w:gridCol w:w="1361"/>
        <w:gridCol w:w="907"/>
        <w:gridCol w:w="1814"/>
      </w:tblGrid>
      <w:tr>
        <w:trPr>
          <w:cantSplit/>
          <w:tblHeader/>
        </w:trPr>
        <w:tc>
          <w:tcPr>
            <w:tcW w:type="dxa" w:w="45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335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Chỉ tiêu</w:t>
            </w:r>
          </w:p>
        </w:tc>
        <w:tc>
          <w:tcPr>
            <w:tcW w:type="dxa" w:w="117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KH năm (m)</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 9 tháng (m)</w:t>
            </w:r>
          </w:p>
        </w:tc>
        <w:tc>
          <w:tcPr>
            <w:tcW w:type="dxa" w:w="907"/>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KH</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Ghi chú</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Lò chống sắt</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24.310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16.782</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69,0</w:t>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Lò chống neo</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1.000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861,6</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86,2</w:t>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Quý III: 5,6 m</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Lò chống gỗ</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920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558,8</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60,7</w:t>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Đào bán CGH (xe khoan + máy xúc)</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1.180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1.027</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87,0</w:t>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Đào CGH đồng bộ (combai EBH-45)</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1.200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459,9</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38,3</w:t>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Không có KL từ tháng 6</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Tự làm</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15.691,1</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Tỷ trọng 86,2%</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335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Thuê ngoài</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2.511,3</w:t>
            </w:r>
          </w:p>
        </w:tc>
        <w:tc>
          <w:tcPr>
            <w:tcW w:type="dxa" w:w="907"/>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81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Tỷ trọng 13,8%</w:t>
            </w:r>
          </w:p>
        </w:tc>
      </w:tr>
    </w:tbl>
    <w:p>
      <w:pPr>
        <w:spacing w:after="120" w:before="0" w:line="300"/>
        <w:ind w:firstLine="0"/>
        <w:jc w:val="both"/>
      </w:pPr>
      <w:r>
        <w:rPr>
          <w:rFonts w:ascii="Times New Roman" w:cs="Times New Roman" w:eastAsia="Times New Roman" w:hAnsi="Times New Roman"/>
          <w:i/>
          <w:iCs/>
          <w:sz w:val="20"/>
          <w:szCs w:val="20"/>
        </w:rPr>
        <w:t xml:space="preserve">Nguồn: thực hiện: sheet TKV dòng 98, 102, 133, 134, 141, ô AF156, AG156; lò chống sắt = tổng mét lò đào − chống neo − chống gỗ; kế hoạch: sheet PHU_LUC cột E, dòng 64–69.</w:t>
      </w:r>
    </w:p>
    <w:p>
      <w:pPr>
        <w:keepNext/>
        <w:spacing w:after="60" w:before="100" w:line="300"/>
        <w:ind w:firstLine="0"/>
        <w:jc w:val="both"/>
      </w:pPr>
      <w:r>
        <w:rPr>
          <w:rFonts w:ascii="Times New Roman" w:cs="Times New Roman" w:eastAsia="Times New Roman" w:hAnsi="Times New Roman"/>
          <w:b/>
          <w:bCs/>
          <w:i/>
          <w:iCs/>
          <w:sz w:val="26"/>
          <w:szCs w:val="26"/>
        </w:rPr>
        <w:t xml:space="preserve">5. Khối lượng gia cố, sửa chữa đường lò</w:t>
      </w:r>
    </w:p>
    <w:p>
      <w:pPr>
        <w:keepNext/>
        <w:spacing w:after="60" w:before="80" w:line="300"/>
        <w:ind w:firstLine="0"/>
        <w:jc w:val="left"/>
      </w:pPr>
      <w:r>
        <w:rPr>
          <w:rFonts w:ascii="Times New Roman" w:cs="Times New Roman" w:eastAsia="Times New Roman" w:hAnsi="Times New Roman"/>
          <w:b/>
          <w:bCs/>
          <w:sz w:val="24"/>
          <w:szCs w:val="24"/>
        </w:rPr>
        <w:t xml:space="preserve">Bảng 5. Khối lượng gia cố đường lò (so với PA kỹ thuật gia cố đường lò năm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4536"/>
        <w:gridCol w:w="1270"/>
        <w:gridCol w:w="1451"/>
        <w:gridCol w:w="1270"/>
      </w:tblGrid>
      <w:tr>
        <w:trPr>
          <w:cantSplit/>
          <w:tblHeader/>
        </w:trPr>
        <w:tc>
          <w:tcPr>
            <w:tcW w:type="dxa" w:w="54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Chỉ tiêu</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KH năm (m)</w:t>
            </w:r>
          </w:p>
        </w:tc>
        <w:tc>
          <w:tcPr>
            <w:tcW w:type="dxa" w:w="145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 9 tháng (m)</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KH</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453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khoan neo cáp gia cố</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750</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1.621</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216,1</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453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khoan ép vữa xi măng</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700</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327,5</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46,8</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453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chống đội, đánh khuôn</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1.000</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1.114</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111,4</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453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chống dặm</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47,4</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453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khoan ép hóa chất</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300</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3,3</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453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đổ bê tông</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1.100</w:t>
            </w:r>
          </w:p>
        </w:tc>
        <w:tc>
          <w:tcPr>
            <w:tcW w:type="dxa" w:w="145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0,0</w:t>
            </w:r>
          </w:p>
        </w:tc>
      </w:tr>
    </w:tbl>
    <w:p>
      <w:pPr>
        <w:spacing w:after="120" w:before="0" w:line="300"/>
        <w:ind w:firstLine="0"/>
        <w:jc w:val="both"/>
      </w:pPr>
      <w:r>
        <w:rPr>
          <w:rFonts w:ascii="Times New Roman" w:cs="Times New Roman" w:eastAsia="Times New Roman" w:hAnsi="Times New Roman"/>
          <w:i/>
          <w:iCs/>
          <w:sz w:val="20"/>
          <w:szCs w:val="20"/>
        </w:rPr>
        <w:t xml:space="preserve">Nguồn: thực hiện: sheet TKV dòng 130, 131, 135–138 (cộng tháng 1–9); kế hoạch: sheet PHU_LUC cột E, dòng 110–115 (PA số 5342/TKCM-KCM).</w:t>
      </w:r>
    </w:p>
    <w:p>
      <w:pPr>
        <w:keepNext/>
        <w:spacing w:after="60" w:before="100" w:line="300"/>
        <w:ind w:firstLine="0"/>
        <w:jc w:val="both"/>
      </w:pPr>
      <w:r>
        <w:rPr>
          <w:rFonts w:ascii="Times New Roman" w:cs="Times New Roman" w:eastAsia="Times New Roman" w:hAnsi="Times New Roman"/>
          <w:b/>
          <w:bCs/>
          <w:i/>
          <w:iCs/>
          <w:sz w:val="26"/>
          <w:szCs w:val="26"/>
        </w:rPr>
        <w:t xml:space="preserve">6. Kết quả thực hiện theo phân xưởng</w:t>
      </w:r>
    </w:p>
    <w:p>
      <w:pPr>
        <w:keepNext/>
        <w:spacing w:after="60" w:before="80" w:line="300"/>
        <w:ind w:firstLine="0"/>
        <w:jc w:val="left"/>
      </w:pPr>
      <w:r>
        <w:rPr>
          <w:rFonts w:ascii="Times New Roman" w:cs="Times New Roman" w:eastAsia="Times New Roman" w:hAnsi="Times New Roman"/>
          <w:b/>
          <w:bCs/>
          <w:sz w:val="24"/>
          <w:szCs w:val="24"/>
        </w:rPr>
        <w:t xml:space="preserve">Bảng 6. Các phân xưởng khai thác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2449"/>
        <w:gridCol w:w="1361"/>
        <w:gridCol w:w="1361"/>
        <w:gridCol w:w="1179"/>
        <w:gridCol w:w="1089"/>
        <w:gridCol w:w="1178"/>
      </w:tblGrid>
      <w:tr>
        <w:trPr>
          <w:cantSplit/>
          <w:tblHeader/>
        </w:trPr>
        <w:tc>
          <w:tcPr>
            <w:tcW w:type="dxa" w:w="45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244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Phân xưởng</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Than NK (tấn)</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Trong đó lò chợ (tấn)</w:t>
            </w:r>
          </w:p>
        </w:tc>
        <w:tc>
          <w:tcPr>
            <w:tcW w:type="dxa" w:w="117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Mét lò đào (m)</w:t>
            </w:r>
          </w:p>
        </w:tc>
        <w:tc>
          <w:tcPr>
            <w:tcW w:type="dxa" w:w="108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Mét lò xén (m)</w:t>
            </w:r>
          </w:p>
        </w:tc>
        <w:tc>
          <w:tcPr>
            <w:tcW w:type="dxa" w:w="1178"/>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Tỷ trọng than (%)</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 (Than 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102.096,5</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89.481,8</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994,8</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65</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5,6</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PX2 (Than 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124.812,2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117.331,3</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591,1</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137,9</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6,9</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PX3 (Than 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104.814,9</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89.376,1</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972,6</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230</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5,8</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PX4 (Than 8 (Than 4 cũ))</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165.862,2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155.934,9</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807</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185,9</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9,1</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PX5 (Than 5)</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122.300,0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111.326,1</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962,4</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134,2</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6,7</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PX6 (Than 6)</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146.543,2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140.093,6</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367,5</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299,4</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8,1</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PX7 (CGH2)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212.071,4</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207.793,0</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122,4</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203,6</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11,7</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PX8 (CGH1)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361.820,6</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357.021,9</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124,8</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149,9</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19,9</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PX9 (Than 9)</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88.497,5</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76.712,8</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839,3</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117,2</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4,9</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PX10 (Than 10)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146.446,8</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133.185,2</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832</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155,9</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8,1</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11</w:t>
            </w:r>
          </w:p>
        </w:tc>
        <w:tc>
          <w:tcPr>
            <w:tcW w:type="dxa" w:w="244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PX11 (Than 11)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80.879,4</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69.083,6</w:t>
            </w:r>
          </w:p>
        </w:tc>
        <w:tc>
          <w:tcPr>
            <w:tcW w:type="dxa" w:w="117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785,7</w:t>
            </w:r>
          </w:p>
        </w:tc>
        <w:tc>
          <w:tcPr>
            <w:tcW w:type="dxa" w:w="108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118,1</w:t>
            </w:r>
          </w:p>
        </w:tc>
        <w:tc>
          <w:tcPr>
            <w:tcW w:type="dxa" w:w="117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4,5</w:t>
            </w:r>
          </w:p>
        </w:tc>
      </w:tr>
      <w:tr>
        <w:trPr>
          <w:cantSplit/>
          <w:tblHeader w:val="false"/>
        </w:trPr>
        <w:tc>
          <w:tcPr>
            <w:tcW w:type="dxa" w:w="45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244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11 PX khai thác</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1.656.144,6</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1.547.340,5</w:t>
            </w:r>
          </w:p>
        </w:tc>
        <w:tc>
          <w:tcPr>
            <w:tcW w:type="dxa" w:w="117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7.399,6</w:t>
            </w:r>
          </w:p>
        </w:tc>
        <w:tc>
          <w:tcPr>
            <w:tcW w:type="dxa" w:w="1089"/>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1.797,1</w:t>
            </w:r>
          </w:p>
        </w:tc>
        <w:tc>
          <w:tcPr>
            <w:tcW w:type="dxa" w:w="1178"/>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91,3</w:t>
            </w:r>
          </w:p>
        </w:tc>
      </w:tr>
    </w:tbl>
    <w:p>
      <w:pPr>
        <w:keepNext/>
        <w:spacing w:after="60" w:before="80" w:line="300"/>
        <w:ind w:firstLine="0"/>
        <w:jc w:val="left"/>
      </w:pPr>
      <w:r>
        <w:rPr>
          <w:rFonts w:ascii="Times New Roman" w:cs="Times New Roman" w:eastAsia="Times New Roman" w:hAnsi="Times New Roman"/>
          <w:b/>
          <w:bCs/>
          <w:sz w:val="24"/>
          <w:szCs w:val="24"/>
        </w:rPr>
        <w:t xml:space="preserve">Bảng 7. Các phân xưởng đào lò và đơn vị khác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2993"/>
        <w:gridCol w:w="1361"/>
        <w:gridCol w:w="1361"/>
        <w:gridCol w:w="1361"/>
        <w:gridCol w:w="1541"/>
      </w:tblGrid>
      <w:tr>
        <w:trPr>
          <w:cantSplit/>
          <w:tblHeader/>
        </w:trPr>
        <w:tc>
          <w:tcPr>
            <w:tcW w:type="dxa" w:w="45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2993"/>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Đơn vị</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Mét lò đào (m)</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Trong đó lò đá (m)</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Mét lò xén (m)</w:t>
            </w:r>
          </w:p>
        </w:tc>
        <w:tc>
          <w:tcPr>
            <w:tcW w:type="dxa" w:w="154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Than NK (tấn)</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PX12 (CGĐB)</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1.191,5</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478,05</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559,8</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26.296,4</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PX13 (BCG)</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977,1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917,4</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114</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1.408,6</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PX14 (ĐL3)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1.315,6</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162,7</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508,7</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28.208,4</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PX15 (ĐL1(ĐL4 cũ))</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1.446,4</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311,3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451</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25.229,1</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PX16 (ĐL5)</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1.926,2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346,3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416</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35.782,3</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PX17 (ĐL6)</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1.434,7</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258,6</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533,1</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24.407,6</w:t>
            </w:r>
          </w:p>
        </w:tc>
      </w:tr>
      <w:tr>
        <w:trPr>
          <w:cantSplit/>
          <w:tblHeader w:val="false"/>
        </w:trPr>
        <w:tc>
          <w:tcPr>
            <w:tcW w:type="dxa" w:w="45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299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6 PX đào lò</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8.291,5</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2.474,35</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2.582,6</w:t>
            </w:r>
          </w:p>
        </w:tc>
        <w:tc>
          <w:tcPr>
            <w:tcW w:type="dxa" w:w="154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141.332,4</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KSKM</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141,5</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VT1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49,2</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VT2</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257,4</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TN (HL1)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2.249,3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1.890,3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65,5</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10.559,7</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PTH</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43,3</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0</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30</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859,3</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QN</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130,7</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29,4</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569</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4.215,0</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2993"/>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VN</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88</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88</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106,5</w:t>
            </w:r>
          </w:p>
        </w:tc>
        <w:tc>
          <w:tcPr>
            <w:tcW w:type="dxa" w:w="154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1.053,8</w:t>
            </w:r>
          </w:p>
        </w:tc>
      </w:tr>
      <w:tr>
        <w:trPr>
          <w:cantSplit/>
          <w:tblHeader w:val="false"/>
        </w:trPr>
        <w:tc>
          <w:tcPr>
            <w:tcW w:type="dxa" w:w="45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299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Cộng đơn vị khác</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2.511,3</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2.007,7</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771</w:t>
            </w:r>
          </w:p>
        </w:tc>
        <w:tc>
          <w:tcPr>
            <w:tcW w:type="dxa" w:w="154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17.135,8</w:t>
            </w:r>
          </w:p>
        </w:tc>
      </w:tr>
      <w:tr>
        <w:trPr>
          <w:cantSplit/>
          <w:tblHeader w:val="false"/>
        </w:trPr>
        <w:tc>
          <w:tcPr>
            <w:tcW w:type="dxa" w:w="454"/>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
            </w:r>
          </w:p>
        </w:tc>
        <w:tc>
          <w:tcPr>
            <w:tcW w:type="dxa" w:w="2993"/>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21"/>
                <w:szCs w:val="21"/>
              </w:rPr>
              <w:t xml:space="preserve">Tổng toàn Công ty</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18.202,4</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6.209,65</w:t>
            </w:r>
          </w:p>
        </w:tc>
        <w:tc>
          <w:tcPr>
            <w:tcW w:type="dxa" w:w="136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5.150,7</w:t>
            </w:r>
          </w:p>
        </w:tc>
        <w:tc>
          <w:tcPr>
            <w:tcW w:type="dxa" w:w="1541"/>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right"/>
            </w:pPr>
            <w:r>
              <w:rPr>
                <w:rFonts w:ascii="Times New Roman" w:cs="Times New Roman" w:eastAsia="Times New Roman" w:hAnsi="Times New Roman"/>
                <w:b/>
                <w:bCs/>
                <w:sz w:val="21"/>
                <w:szCs w:val="21"/>
              </w:rPr>
              <w:t xml:space="preserve">1.814.612,8</w:t>
            </w:r>
          </w:p>
        </w:tc>
      </w:tr>
    </w:tbl>
    <w:p>
      <w:pPr>
        <w:spacing w:after="120" w:before="0" w:line="300"/>
        <w:ind w:firstLine="0"/>
        <w:jc w:val="both"/>
      </w:pPr>
      <w:r>
        <w:rPr>
          <w:rFonts w:ascii="Times New Roman" w:cs="Times New Roman" w:eastAsia="Times New Roman" w:hAnsi="Times New Roman"/>
          <w:i/>
          <w:iCs/>
          <w:sz w:val="20"/>
          <w:szCs w:val="20"/>
        </w:rPr>
        <w:t xml:space="preserve">Nguồn: sheet TKV, bảng tổng hợp theo phân xưởng (dòng 153–199; tiêu đề bảng ghi "8 tháng" nhưng số liệu là lũy kế 9 tháng, đã đối chiếu khớp với tổng 9 tháng). Đơn vị khác gồm HL1, PTH, QN, VN (thuê ngoài) và KSKM, VT1, VT2. File chưa có kế hoạch giao theo từng phân xưởng nên chưa đánh giá được tỷ lệ hoàn thành của từng đơn vị.</w:t>
      </w:r>
    </w:p>
    <w:p>
      <w:pPr>
        <w:keepNext/>
        <w:spacing w:after="80" w:before="160" w:line="300"/>
        <w:ind w:firstLine="0"/>
        <w:jc w:val="both"/>
      </w:pPr>
      <w:r>
        <w:rPr>
          <w:rFonts w:ascii="Times New Roman" w:cs="Times New Roman" w:eastAsia="Times New Roman" w:hAnsi="Times New Roman"/>
          <w:b/>
          <w:bCs/>
          <w:sz w:val="26"/>
          <w:szCs w:val="26"/>
        </w:rPr>
        <w:t xml:space="preserve">II. ĐÁNH GIÁ, NGUYÊN NHÂN</w:t>
      </w:r>
    </w:p>
    <w:p>
      <w:pPr>
        <w:keepNext/>
        <w:spacing w:after="60" w:before="100" w:line="300"/>
        <w:ind w:firstLine="0"/>
        <w:jc w:val="both"/>
      </w:pPr>
      <w:r>
        <w:rPr>
          <w:rFonts w:ascii="Times New Roman" w:cs="Times New Roman" w:eastAsia="Times New Roman" w:hAnsi="Times New Roman"/>
          <w:b/>
          <w:bCs/>
          <w:i/>
          <w:iCs/>
          <w:sz w:val="26"/>
          <w:szCs w:val="26"/>
        </w:rPr>
        <w:t xml:space="preserve">1. Những tồn tại thể hiện qua số liệu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Sản lượng than, mét lò đào và mét lò xén đều thấp hơn tiến độ thời gian 75%; sản lượng quý III (554.613,3 tấn) giảm 82.975,1 tấn so với quý II.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Lò chợ CGH hạng nhẹ không có sản lượng trong quý III; lũy kế 9 tháng đạt 55,9% KH.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Lò chợ giàn mềm đạt 49,3% KH; sản lượng quý III 16.829,6 tấn, giảm so với quý I (39.665,9 tấn).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Đào lò bằng combai EBH-45 đạt 38,3% KH, không có khối lượng từ tháng 6; đào lò chống neo quý III chỉ đạt 5,6 m.</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Mét lò xén trong than đạt 50,5% KH (QĐ 2675), thấp hơn nhiều so với xén trong đá (84,1%).</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Độ tro than nguyên khai 38,1%, vượt kế hoạch 1,6 điểm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Ép vữa xi măng đạt 46,8%, ép hóa chất đạt 3,3%, đổ bê tông chưa thực hiện so với PA gia cố đường lò năm 2026.</w:t>
      </w:r>
    </w:p>
    <w:p>
      <w:pPr>
        <w:keepNext/>
        <w:spacing w:after="60" w:before="100" w:line="300"/>
        <w:ind w:firstLine="0"/>
        <w:jc w:val="both"/>
      </w:pPr>
      <w:r>
        <w:rPr>
          <w:rFonts w:ascii="Times New Roman" w:cs="Times New Roman" w:eastAsia="Times New Roman" w:hAnsi="Times New Roman"/>
          <w:b/>
          <w:bCs/>
          <w:i/>
          <w:iCs/>
          <w:sz w:val="26"/>
          <w:szCs w:val="26"/>
        </w:rPr>
        <w:t xml:space="preserve">2. Nguyên nhân</w:t>
      </w:r>
    </w:p>
    <w:p>
      <w:pPr>
        <w:spacing w:after="80" w:before="0" w:line="300"/>
        <w:ind w:firstLine="567"/>
        <w:jc w:val="both"/>
      </w:pPr>
      <w:r>
        <w:rPr>
          <w:rFonts w:ascii="Times New Roman" w:cs="Times New Roman" w:eastAsia="Times New Roman" w:hAnsi="Times New Roman"/>
          <w:i/>
          <w:iCs/>
          <w:sz w:val="26"/>
          <w:szCs w:val="26"/>
          <w:highlight w:val="yellow"/>
          <w:highlightCs w:val="yellow"/>
        </w:rPr>
        <w:t xml:space="preserve">[Phòng KCM bổ sung nguyên nhân cụ thể cho từng tồn tại nêu trên: điều kiện địa chất, chuẩn bị diện khai thác, chuyển diện, thiết bị, lao động… File số liệu không có thông tin nguyên nhân nên chưa điền.]</w:t>
      </w:r>
    </w:p>
    <w:p>
      <w:pPr>
        <w:keepNext/>
        <w:spacing w:after="80" w:before="160" w:line="300"/>
        <w:ind w:firstLine="0"/>
        <w:jc w:val="both"/>
      </w:pPr>
      <w:r>
        <w:rPr>
          <w:rFonts w:ascii="Times New Roman" w:cs="Times New Roman" w:eastAsia="Times New Roman" w:hAnsi="Times New Roman"/>
          <w:b/>
          <w:bCs/>
          <w:sz w:val="26"/>
          <w:szCs w:val="26"/>
        </w:rPr>
        <w:t xml:space="preserve">III. NHIỆM VỤ, GIẢI PHÁP QUÝ IV NĂM 2026</w:t>
      </w:r>
    </w:p>
    <w:p>
      <w:pPr>
        <w:keepNext/>
        <w:spacing w:after="60" w:before="100" w:line="300"/>
        <w:ind w:firstLine="0"/>
        <w:jc w:val="both"/>
      </w:pPr>
      <w:r>
        <w:rPr>
          <w:rFonts w:ascii="Times New Roman" w:cs="Times New Roman" w:eastAsia="Times New Roman" w:hAnsi="Times New Roman"/>
          <w:b/>
          <w:bCs/>
          <w:i/>
          <w:iCs/>
          <w:sz w:val="26"/>
          <w:szCs w:val="26"/>
        </w:rPr>
        <w:t xml:space="preserve">1. Khối lượng cần thực hiện quý IV để hoàn thành kế hoạch năm</w:t>
      </w:r>
    </w:p>
    <w:p>
      <w:pPr>
        <w:keepNext/>
        <w:spacing w:after="60" w:before="80" w:line="300"/>
        <w:ind w:firstLine="0"/>
        <w:jc w:val="left"/>
      </w:pPr>
      <w:r>
        <w:rPr>
          <w:rFonts w:ascii="Times New Roman" w:cs="Times New Roman" w:eastAsia="Times New Roman" w:hAnsi="Times New Roman"/>
          <w:b/>
          <w:bCs/>
          <w:sz w:val="24"/>
          <w:szCs w:val="24"/>
        </w:rPr>
        <w:t xml:space="preserve">Bảng 8. Khối lượng còn lại phải thực hiện trong quý IV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4"/>
        <w:gridCol w:w="2086"/>
        <w:gridCol w:w="1361"/>
        <w:gridCol w:w="1270"/>
        <w:gridCol w:w="1361"/>
        <w:gridCol w:w="1270"/>
        <w:gridCol w:w="1269"/>
      </w:tblGrid>
      <w:tr>
        <w:trPr>
          <w:cantSplit/>
          <w:tblHeader/>
        </w:trPr>
        <w:tc>
          <w:tcPr>
            <w:tcW w:type="dxa" w:w="45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2086"/>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Chỉ tiêu</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Còn lại theo QĐ 2675</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BQ/tháng QĐ 2675</w:t>
            </w:r>
          </w:p>
        </w:tc>
        <w:tc>
          <w:tcPr>
            <w:tcW w:type="dxa" w:w="1361"/>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Còn lại theo 3374</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BQ/tháng 3374</w:t>
            </w:r>
          </w:p>
        </w:tc>
        <w:tc>
          <w:tcPr>
            <w:tcW w:type="dxa" w:w="126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BQ tháng đã đạt 9T</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08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Than NK hầm lò (tấn)</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685.387,2</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228.462,4</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735.387,2</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245.129,1</w:t>
            </w:r>
          </w:p>
        </w:tc>
        <w:tc>
          <w:tcPr>
            <w:tcW w:type="dxa" w:w="126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201.623,6</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208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đào CBSX (m)</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8.027,6</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2.675,9</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7.527,6</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2.509,2</w:t>
            </w:r>
          </w:p>
        </w:tc>
        <w:tc>
          <w:tcPr>
            <w:tcW w:type="dxa" w:w="126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2.022,5</w:t>
            </w:r>
          </w:p>
        </w:tc>
      </w:tr>
      <w:tr>
        <w:trPr>
          <w:cantSplit/>
          <w:tblHeader w:val="false"/>
        </w:trPr>
        <w:tc>
          <w:tcPr>
            <w:tcW w:type="dxa" w:w="45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2086"/>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xén (m)</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2.349,3</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783,1</w:t>
            </w:r>
          </w:p>
        </w:tc>
        <w:tc>
          <w:tcPr>
            <w:tcW w:type="dxa" w:w="1361"/>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1.974,3</w:t>
            </w:r>
          </w:p>
        </w:tc>
        <w:tc>
          <w:tcPr>
            <w:tcW w:type="dxa" w:w="127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658,1</w:t>
            </w:r>
          </w:p>
        </w:tc>
        <w:tc>
          <w:tcPr>
            <w:tcW w:type="dxa" w:w="126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572,3</w:t>
            </w:r>
          </w:p>
        </w:tc>
      </w:tr>
    </w:tbl>
    <w:p>
      <w:pPr>
        <w:spacing w:after="120" w:before="0" w:line="300"/>
        <w:ind w:firstLine="0"/>
        <w:jc w:val="both"/>
      </w:pPr>
      <w:r>
        <w:rPr>
          <w:rFonts w:ascii="Times New Roman" w:cs="Times New Roman" w:eastAsia="Times New Roman" w:hAnsi="Times New Roman"/>
          <w:i/>
          <w:iCs/>
          <w:sz w:val="20"/>
          <w:szCs w:val="20"/>
        </w:rPr>
        <w:t xml:space="preserve">Nguồn: Còn lại = KH năm − TH 9 tháng; bình quân tháng quý IV = Còn lại ÷ 3; bình quân tháng đã đạt = TH 9 tháng ÷ 9.</w:t>
      </w:r>
    </w:p>
    <w:p>
      <w:pPr>
        <w:spacing w:after="80" w:before="0" w:line="300"/>
        <w:ind w:firstLine="567"/>
        <w:jc w:val="both"/>
      </w:pPr>
      <w:r>
        <w:rPr>
          <w:rFonts w:ascii="Times New Roman" w:cs="Times New Roman" w:eastAsia="Times New Roman" w:hAnsi="Times New Roman"/>
          <w:sz w:val="26"/>
          <w:szCs w:val="26"/>
        </w:rPr>
        <w:t xml:space="preserve">Để hoàn thành kế hoạch năm, bình quân mỗi tháng quý IV phải khai thác 228.462,4 tấn (QĐ 2675) hoặc 245.129,1 tấn (3374), tăng 13,3% và 21,6% so với bình quân 9 tháng (201.623,6 tấn/tháng); phải đào 2.675,9 m/tháng (QĐ 2675) hoặc 2.509,2 m/tháng (3374), so với bình quân 9 tháng 2.022,5 m/tháng.</w:t>
      </w:r>
    </w:p>
    <w:p>
      <w:pPr>
        <w:keepNext/>
        <w:spacing w:after="60" w:before="100" w:line="300"/>
        <w:ind w:firstLine="0"/>
        <w:jc w:val="both"/>
      </w:pPr>
      <w:r>
        <w:rPr>
          <w:rFonts w:ascii="Times New Roman" w:cs="Times New Roman" w:eastAsia="Times New Roman" w:hAnsi="Times New Roman"/>
          <w:b/>
          <w:bCs/>
          <w:i/>
          <w:iCs/>
          <w:sz w:val="26"/>
          <w:szCs w:val="26"/>
        </w:rPr>
        <w:t xml:space="preserve">2. Giải pháp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Tập trung điều hành các lò chợ cơ giới hóa và lò chợ giá khung, giá xích là các diện có sản lượng lớn; đảm bảo thiết bị hoạt động ổn định, giảm thời gian dừng sản xuất.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Đẩy nhanh tiến độ chuẩn bị, lắp đặt diện khai thác thay thế cho các lò chợ kết thúc, không để gián đoạn sản lượng khi chuyển diện; xem xét khôi phục sản xuất lò chợ CGH hạng nhẹ.</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Duy trì tốc độ đào lò đạt được trong tháng 9 (2.459,9 m), ưu tiên các đường lò chuẩn bị diện khai thác năm 2027; tăng cường đào lò chống neo và đưa combai EBH-45 trở lại hoạt động khi đủ điều kiện.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Kiểm soát chất lượng than: khai thác chọn lọc, hạn chế lẫn đất đá vách, trụ để giảm độ tro về mức kế hoạch.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Thực hiện các hạng mục gia cố đường lò còn chậm (ép vữa, ép hóa chất, đổ bê tông) theo PA số 5342/TKCM-KCM.</w:t>
      </w:r>
    </w:p>
    <w:p>
      <w:pPr>
        <w:pStyle w:val="ListParagraph"/>
        <w:numPr>
          <w:ilvl w:val="0"/>
          <w:numId w:val="2"/>
        </w:numPr>
        <w:spacing w:after="60" w:line="300"/>
        <w:jc w:val="both"/>
      </w:pPr>
      <w:r>
        <w:rPr>
          <w:rFonts w:ascii="Times New Roman" w:cs="Times New Roman" w:eastAsia="Times New Roman" w:hAnsi="Times New Roman"/>
          <w:sz w:val="26"/>
          <w:szCs w:val="26"/>
        </w:rPr>
        <w:t xml:space="preserve">Giao kế hoạch quý IV chi tiết đến từng phân xưởng, theo dõi, đánh giá kết quả hàng tuần.</w:t>
      </w:r>
    </w:p>
    <w:p>
      <w:pPr>
        <w:spacing w:after="80" w:before="0" w:line="300"/>
        <w:ind w:firstLine="567"/>
        <w:jc w:val="both"/>
      </w:pPr>
      <w:r>
        <w:rPr>
          <w:rFonts w:ascii="Times New Roman" w:cs="Times New Roman" w:eastAsia="Times New Roman" w:hAnsi="Times New Roman"/>
          <w:i/>
          <w:iCs/>
          <w:sz w:val="26"/>
          <w:szCs w:val="26"/>
          <w:highlight w:val="yellow"/>
          <w:highlightCs w:val="yellow"/>
        </w:rPr>
        <w:t xml:space="preserve">[Phòng KCM rà soát, bổ sung giải pháp cụ thể theo từng phân xưởng, diện khai thác.]</w:t>
      </w:r>
    </w:p>
    <w:p>
      <w:pPr>
        <w:keepNext/>
        <w:spacing w:after="80" w:before="160" w:line="300"/>
        <w:ind w:firstLine="0"/>
        <w:jc w:val="both"/>
      </w:pPr>
      <w:r>
        <w:rPr>
          <w:rFonts w:ascii="Times New Roman" w:cs="Times New Roman" w:eastAsia="Times New Roman" w:hAnsi="Times New Roman"/>
          <w:b/>
          <w:bCs/>
          <w:sz w:val="26"/>
          <w:szCs w:val="26"/>
        </w:rPr>
        <w:t xml:space="preserve">IV. KIẾN NGHỊ</w:t>
      </w:r>
    </w:p>
    <w:p>
      <w:pPr>
        <w:spacing w:after="80" w:before="0" w:line="300"/>
        <w:ind w:firstLine="567"/>
        <w:jc w:val="both"/>
      </w:pPr>
      <w:r>
        <w:rPr>
          <w:rFonts w:ascii="Times New Roman" w:cs="Times New Roman" w:eastAsia="Times New Roman" w:hAnsi="Times New Roman"/>
          <w:i/>
          <w:iCs/>
          <w:sz w:val="26"/>
          <w:szCs w:val="26"/>
          <w:highlight w:val="yellow"/>
          <w:highlightCs w:val="yellow"/>
        </w:rPr>
        <w:t xml:space="preserve">[Bổ sung kiến nghị với Tập đoàn (nếu có).]</w:t>
      </w:r>
    </w:p>
    <w:p>
      <w:pPr>
        <w:spacing w:after="80" w:before="0" w:line="300"/>
        <w:ind w:firstLine="567"/>
        <w:jc w:val="both"/>
      </w:pPr>
      <w:r>
        <w:rPr>
          <w:rFonts w:ascii="Times New Roman" w:cs="Times New Roman" w:eastAsia="Times New Roman" w:hAnsi="Times New Roman"/>
          <w:sz w:val="26"/>
          <w:szCs w:val="26"/>
        </w:rPr>
        <w:t xml:space="preserve">Công ty than Dương Huy - TKV báo cáo Tập đoàn Công nghiệp Than - Khoáng sản Việt Nam./.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2"/>
                <w:szCs w:val="22"/>
              </w:rPr>
              <w:t xml:space="preserve">- Như trên;</w:t>
            </w:r>
          </w:p>
          <w:p>
            <w:r>
              <w:rPr>
                <w:rFonts w:ascii="Times New Roman" w:cs="Times New Roman" w:eastAsia="Times New Roman" w:hAnsi="Times New Roman"/>
                <w:sz w:val="22"/>
                <w:szCs w:val="22"/>
              </w:rPr>
              <w:t xml:space="preserve">- Giám đốc (b/c);</w:t>
            </w:r>
          </w:p>
          <w:p>
            <w:r>
              <w:rPr>
                <w:rFonts w:ascii="Times New Roman" w:cs="Times New Roman" w:eastAsia="Times New Roman" w:hAnsi="Times New Roman"/>
                <w:sz w:val="22"/>
                <w:szCs w:val="22"/>
              </w:rPr>
              <w:t xml:space="preserve">- Lưu: VT, KCM.</w:t>
            </w:r>
          </w:p>
        </w:tc>
        <w:tc>
          <w:tcPr>
            <w:tcW w:type="dxa" w:w="4771"/>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GIÁM ĐỐC</w:t>
            </w:r>
          </w:p>
        </w:tc>
      </w:tr>
    </w:tbl>
    <w:p>
      <w:pPr>
        <w:pageBreakBefore/>
        <w:jc w:val="center"/>
      </w:pPr>
      <w:r>
        <w:rPr>
          <w:rFonts w:ascii="Times New Roman" w:cs="Times New Roman" w:eastAsia="Times New Roman" w:hAnsi="Times New Roman"/>
          <w:b/>
          <w:bCs/>
          <w:sz w:val="26"/>
          <w:szCs w:val="26"/>
        </w:rPr>
        <w:t xml:space="preserve">PHỤ LỤC: NGUỒN SỐ LIỆU VÀ GHI CHÚ ĐỐI CHIẾU</w:t>
      </w:r>
    </w:p>
    <w:p>
      <w:pPr>
        <w:spacing w:after="120" w:before="0" w:line="300"/>
        <w:ind w:firstLine="0"/>
        <w:jc w:val="center"/>
      </w:pPr>
      <w:r>
        <w:rPr>
          <w:rFonts w:ascii="Times New Roman" w:cs="Times New Roman" w:eastAsia="Times New Roman" w:hAnsi="Times New Roman"/>
          <w:i/>
          <w:iCs/>
          <w:sz w:val="22"/>
          <w:szCs w:val="22"/>
        </w:rPr>
        <w:t xml:space="preserve">(Dùng nội bộ phòng KCM để kiểm tra, không gửi kèm báo cáo)</w:t>
      </w:r>
    </w:p>
    <w:p>
      <w:pPr>
        <w:spacing w:after="80" w:before="0" w:line="300"/>
        <w:ind w:firstLine="0"/>
        <w:jc w:val="both"/>
      </w:pPr>
      <w:r>
        <w:rPr>
          <w:rFonts w:ascii="Times New Roman" w:cs="Times New Roman" w:eastAsia="Times New Roman" w:hAnsi="Times New Roman"/>
          <w:sz w:val="26"/>
          <w:szCs w:val="26"/>
        </w:rPr>
        <w:t xml:space="preserve">File nguồn: B1.BC_TKV_T9-2026_13-10-2026 (a Thúy 9 tháng CHỐT).xlsx, lưu tại thư mục 3_TONG_HOP_KLM.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4899"/>
      </w:tblGrid>
      <w:tr>
        <w:trPr>
          <w:cantSplit/>
          <w:tblHeader/>
        </w:trPr>
        <w:tc>
          <w:tcPr>
            <w:tcW w:type="dxa" w:w="544"/>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TT</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Nội dung đối chiếu</w:t>
            </w:r>
          </w:p>
        </w:tc>
        <w:tc>
          <w:tcPr>
            <w:tcW w:type="dxa" w:w="4899"/>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1"/>
                <w:szCs w:val="21"/>
              </w:rPr>
              <w:t xml:space="preserve">Kết quả</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Than hầm lò = lò chợ + than đào lò CBSX + than xén + than hạ nền</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1.547.340,5 + 230.692,3 + 30.203,8 + 6.376,2 = 1.814.612,8 — khớp</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Than lò chợ = CGH + GKX + ZRY + DVPT</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564.815,0 + 884.485,8 + 82.283,4 + 15.756,3 = 1.547.340,5 — khớp</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Mét lò đào = lò đá + lò than = tự làm + thuê ngoài</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6.209,65 + 11.992,75 = 15.691,1 + 2.511,3 = 18.202,4 — khớp</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Cộng các phân xưởng = tổng công ty (than, mét lò đào, mét lò xén)</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Khớp cả 3 chỉ tiêu</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Sản lượng 9 tháng sheet PHU_LUC ô V15</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1.814.612,875 tấn, lệch +0,1 tấn so với cộng tháng (do ô V28 than xén, hạ nền ghi 36.580,11, cộng tháng là 36.580,01). Báo cáo dùng số cộng tháng.</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Gia cố đường lò, sheet PHU_LUC cột V (ghi tay)</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Neo cáp 1.800; ép vữa 500; chống đội 1.300; ép hóa chất 175; bê tông 625 — không khớp số cộng tháng sheet TKV. Báo cáo dùng số cộng tháng.</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KH mét lò xén theo QĐ 2675</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PHU_LUC ô E92 = 7.500 m (bằng 4.062 + 3.438); G_Trinh ô D16 = 7.300 m. Báo cáo dùng 7.500 m — đề nghị kiểm tra lại.</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So sánh cùng kỳ năm 2025</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Chưa có file số liệu 9 tháng năm 2025 nên chưa so sánh.</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362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21"/>
                <w:szCs w:val="21"/>
              </w:rPr>
              <w:t xml:space="preserve">Công thức</w:t>
            </w:r>
          </w:p>
        </w:tc>
        <w:tc>
          <w:tcPr>
            <w:tcW w:type="dxa" w:w="4899"/>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right"/>
            </w:pPr>
            <w:r>
              <w:rPr>
                <w:rFonts w:ascii="Times New Roman" w:cs="Times New Roman" w:eastAsia="Times New Roman" w:hAnsi="Times New Roman"/>
                <w:b w:val="false"/>
                <w:bCs w:val="false"/>
                <w:sz w:val="21"/>
                <w:szCs w:val="21"/>
              </w:rPr>
              <w:t xml:space="preserve">Tỷ lệ % = TH ÷ KH × 100; hệ số mét lò = mét lò đào ÷ sản lượng × 1000; tỷ lệ làm tròn 1 chữ số thập phân.</w:t>
            </w:r>
          </w:p>
        </w:tc>
      </w:tr>
    </w:tbl>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2026-10-23T04:41:51.760Z</dcterms:created>
  <dcterms:modified xsi:type="dcterms:W3CDTF">2026-10-23T04:41:51.760Z</dcterms:modified>
</cp:coreProperties>
</file>

<file path=docProps/custom.xml><?xml version="1.0" encoding="utf-8"?>
<Properties xmlns="http://schemas.openxmlformats.org/officeDocument/2006/custom-properties" xmlns:vt="http://schemas.openxmlformats.org/officeDocument/2006/docPropsVTypes"/>
</file>