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Misión, Visión y Valores</w:t>
      </w:r>
    </w:p>
    <w:p>
      <w:pPr>
        <w:pStyle w:val="Date"/>
      </w:pPr>
      <w:r>
        <w:t xml:space="preserve">Marzo 2026</w:t>
      </w:r>
    </w:p>
    <w:p>
      <w:pPr>
        <w:pStyle w:val="FirstParagraph"/>
      </w:pPr>
      <w:r>
        <w:drawing>
          <wp:inline>
            <wp:extent cx="2186940" cy="49752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497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misión-visión-y-valores"/>
    <w:p>
      <w:pPr>
        <w:pStyle w:val="Heading1"/>
      </w:pPr>
      <w:r>
        <w:t xml:space="preserve">MISIÓN, VISIÓN Y VALORES</w:t>
      </w:r>
    </w:p>
    <w:p>
      <w:pPr>
        <w:pStyle w:val="FirstParagraph"/>
      </w:pPr>
      <w:r>
        <w:t xml:space="preserve">Versión 1.0 — Marzo 2026</w:t>
      </w:r>
    </w:p>
    <w:bookmarkEnd w:id="19"/>
    <w:bookmarkStart w:id="20" w:name="misión"/>
    <w:p>
      <w:pPr>
        <w:pStyle w:val="Heading1"/>
      </w:pPr>
      <w:r>
        <w:t xml:space="preserve">Misión</w:t>
      </w:r>
    </w:p>
    <w:p>
      <w:pPr>
        <w:pStyle w:val="FirstParagraph"/>
      </w:pPr>
      <w:r>
        <w:rPr>
          <w:b/>
          <w:bCs/>
        </w:rPr>
        <w:t xml:space="preserve">Que cada equipo de tecnología sepa exactamente cómo se comporta su sistema bajo carga — y tenga un plan concreto para mejorarlo.</w:t>
      </w:r>
    </w:p>
    <w:p>
      <w:pPr>
        <w:pStyle w:val="BodyText"/>
      </w:pPr>
      <w:r>
        <w:t xml:space="preserve">Cerramos el gap entre</w:t>
      </w:r>
      <w:r>
        <w:t xml:space="preserve"> </w:t>
      </w:r>
      <w:r>
        <w:t xml:space="preserve">“tener herramientas”</w:t>
      </w:r>
      <w:r>
        <w:t xml:space="preserve"> </w:t>
      </w:r>
      <w:r>
        <w:t xml:space="preserve">y</w:t>
      </w:r>
      <w:r>
        <w:t xml:space="preserve"> </w:t>
      </w:r>
      <w:r>
        <w:t xml:space="preserve">“usarlas bien”</w:t>
      </w:r>
      <w:r>
        <w:t xml:space="preserve">. Hacemos que el monitoreo, el testing, y la observabilidad funcionen de forma continua y confiable — como una capacidad gestionada que mejora cada mes, no como un proyecto que se termina y se olvida.</w:t>
      </w:r>
    </w:p>
    <w:bookmarkEnd w:id="20"/>
    <w:bookmarkStart w:id="21" w:name="visión"/>
    <w:p>
      <w:pPr>
        <w:pStyle w:val="Heading1"/>
      </w:pPr>
      <w:r>
        <w:t xml:space="preserve">Visión</w:t>
      </w:r>
    </w:p>
    <w:p>
      <w:pPr>
        <w:pStyle w:val="FirstParagraph"/>
      </w:pPr>
      <w:r>
        <w:rPr>
          <w:b/>
          <w:bCs/>
        </w:rPr>
        <w:t xml:space="preserve">Ser el equipo externo de Performance y SRE al que las empresas tech de Americas recurren cuando necesitan que su sistema sea confiable — sin construir un equipo interno de 10 personas para lograrlo.</w:t>
      </w:r>
    </w:p>
    <w:p>
      <w:pPr>
        <w:pStyle w:val="BodyText"/>
      </w:pPr>
      <w:r>
        <w:t xml:space="preserve">En 3 años, cada empresa tech en LATAM y US que necesite performance engineering, observabilidad, o prácticas SRE debería pensar en VANTX como la primera opción: más rápido que contratar, más profundo que un tool, y más confiable que hacerlo solos.</w:t>
      </w:r>
    </w:p>
    <w:bookmarkEnd w:id="21"/>
    <w:bookmarkStart w:id="22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rPr>
          <w:b/>
          <w:bCs/>
        </w:rPr>
        <w:t xml:space="preserve">Que ningún equipo tenga que cruzar los dedos antes de un Black Friday, un lanzamiento, o una campaña de marketing. Que las decisiones de infraestructura se tomen con datos, no con esperanza.</w:t>
      </w:r>
    </w:p>
    <w:bookmarkEnd w:id="22"/>
    <w:bookmarkStart w:id="29" w:name="valores"/>
    <w:p>
      <w:pPr>
        <w:pStyle w:val="Heading1"/>
      </w:pPr>
      <w:r>
        <w:t xml:space="preserve">Valores</w:t>
      </w:r>
    </w:p>
    <w:bookmarkStart w:id="23" w:name="datos-no-opiniones"/>
    <w:p>
      <w:pPr>
        <w:pStyle w:val="Heading3"/>
      </w:pPr>
      <w:r>
        <w:t xml:space="preserve">01 — Datos, no opiniones</w:t>
      </w:r>
    </w:p>
    <w:p>
      <w:pPr>
        <w:pStyle w:val="FirstParagraph"/>
      </w:pPr>
      <w:r>
        <w:t xml:space="preserve">Cada número en cada reporte viene de tests y monitoreo real corriendo 24/7. No decimos</w:t>
      </w:r>
      <w:r>
        <w:t xml:space="preserve"> </w:t>
      </w:r>
      <w:r>
        <w:t xml:space="preserve">“yo creo que”</w:t>
      </w:r>
      <w:r>
        <w:t xml:space="preserve">. Decimos</w:t>
      </w:r>
      <w:r>
        <w:t xml:space="preserve"> </w:t>
      </w:r>
      <w:r>
        <w:t xml:space="preserve">“los datos muestran que”</w:t>
      </w:r>
      <w:r>
        <w:t xml:space="preserve">. Si no tenemos el dato, lo medimos antes de opinar.</w:t>
      </w:r>
    </w:p>
    <w:bookmarkEnd w:id="23"/>
    <w:bookmarkStart w:id="24" w:name="acciones-no-listas"/>
    <w:p>
      <w:pPr>
        <w:pStyle w:val="Heading3"/>
      </w:pPr>
      <w:r>
        <w:t xml:space="preserve">02 — Acciones, no listas</w:t>
      </w:r>
    </w:p>
    <w:p>
      <w:pPr>
        <w:pStyle w:val="FirstParagraph"/>
      </w:pPr>
      <w:r>
        <w:t xml:space="preserve">No entregamos listas genéricas de best practices. Entregamos el SQL exacto, la config exacta, el cambio exacto — con la estimación de mejora esperada.</w:t>
      </w:r>
      <w:r>
        <w:t xml:space="preserve"> </w:t>
      </w:r>
      <w:r>
        <w:rPr>
          <w:rStyle w:val="VerbatimChar"/>
        </w:rPr>
        <w:t xml:space="preserve">CREATE INDEX idx_x ON table(col1, col2)</w:t>
      </w:r>
      <w:r>
        <w:t xml:space="preserve">, no</w:t>
      </w:r>
      <w:r>
        <w:t xml:space="preserve"> </w:t>
      </w:r>
      <w:r>
        <w:t xml:space="preserve">“considere optimizar la base de datos”</w:t>
      </w:r>
      <w:r>
        <w:t xml:space="preserve">.</w:t>
      </w:r>
    </w:p>
    <w:bookmarkEnd w:id="24"/>
    <w:bookmarkStart w:id="25" w:name="async-por-defecto"/>
    <w:p>
      <w:pPr>
        <w:pStyle w:val="Heading3"/>
      </w:pPr>
      <w:r>
        <w:t xml:space="preserve">03 — Async por defecto</w:t>
      </w:r>
    </w:p>
    <w:p>
      <w:pPr>
        <w:pStyle w:val="FirstParagraph"/>
      </w:pPr>
      <w:r>
        <w:t xml:space="preserve">Respetamos el tiempo de nuestros clientes y el nuestro. Slack para comunicación, Loom para explicaciones, PDF para reportes. Las reuniones existen cuando realmente importan — no como ritual.</w:t>
      </w:r>
    </w:p>
    <w:bookmarkEnd w:id="25"/>
    <w:bookmarkStart w:id="26" w:name="sin-lock-in"/>
    <w:p>
      <w:pPr>
        <w:pStyle w:val="Heading3"/>
      </w:pPr>
      <w:r>
        <w:t xml:space="preserve">04 — Sin lock-in</w:t>
      </w:r>
    </w:p>
    <w:p>
      <w:pPr>
        <w:pStyle w:val="FirstParagraph"/>
      </w:pPr>
      <w:r>
        <w:t xml:space="preserve">Todo lo que construimos usa herramientas open-source: k6, Grafana, OpenTelemetry, Prometheus. Si mañana decides terminar el servicio, todo es tuyo. No creamos dependencia — creamos capacidad.</w:t>
      </w:r>
    </w:p>
    <w:bookmarkEnd w:id="26"/>
    <w:bookmarkStart w:id="27" w:name="transferencia-de-conocimiento"/>
    <w:p>
      <w:pPr>
        <w:pStyle w:val="Heading3"/>
      </w:pPr>
      <w:r>
        <w:t xml:space="preserve">05 — Transferencia de conocimiento</w:t>
      </w:r>
    </w:p>
    <w:p>
      <w:pPr>
        <w:pStyle w:val="FirstParagraph"/>
      </w:pPr>
      <w:r>
        <w:t xml:space="preserve">Nuestro objetivo es que tu equipo aprenda. Workshops, pair programming, code reviews, mentoring. Un buen engagement con VANTX termina cuando tu equipo ya no nos necesita — y ese es nuestro mejor caso de éxito.</w:t>
      </w:r>
    </w:p>
    <w:bookmarkEnd w:id="27"/>
    <w:bookmarkStart w:id="28" w:name="mejora-continua-no-proyectos"/>
    <w:p>
      <w:pPr>
        <w:pStyle w:val="Heading3"/>
      </w:pPr>
      <w:r>
        <w:t xml:space="preserve">06 — Mejora continua, no proyectos</w:t>
      </w:r>
    </w:p>
    <w:p>
      <w:pPr>
        <w:pStyle w:val="FirstParagraph"/>
      </w:pPr>
      <w:r>
        <w:t xml:space="preserve">No entregamos un reporte que se archiva. Entregamos un ciclo: medir → encontrar → priorizar → implementar → validar. Cada mes el baseline sube. Cada mes el sistema es más confiable. Eso es lo que vendemos.</w:t>
      </w:r>
    </w:p>
    <w:bookmarkEnd w:id="28"/>
    <w:bookmarkEnd w:id="29"/>
    <w:bookmarkStart w:id="30" w:name="lo-que-creemos"/>
    <w:p>
      <w:pPr>
        <w:pStyle w:val="Heading1"/>
      </w:pPr>
      <w:r>
        <w:t xml:space="preserve">Lo que creemos</w:t>
      </w:r>
    </w:p>
    <w:p>
      <w:pPr>
        <w:pStyle w:val="FirstParagraph"/>
      </w:pPr>
      <w:r>
        <w:t xml:space="preserve">— La mayoría de los equipos no carecen de herramientas. Carecen de alguien que las opere correctamente.</w:t>
      </w:r>
    </w:p>
    <w:p>
      <w:pPr>
        <w:pStyle w:val="BodyText"/>
      </w:pPr>
      <w:r>
        <w:t xml:space="preserve">— Un load test que se corre una vez no es performance engineering. Es un checkbox.</w:t>
      </w:r>
    </w:p>
    <w:p>
      <w:pPr>
        <w:pStyle w:val="BodyText"/>
      </w:pPr>
      <w:r>
        <w:t xml:space="preserve">— Las alertas que se ignoran son peores que no tener alertas — crean una falsa sensación de seguridad.</w:t>
      </w:r>
    </w:p>
    <w:p>
      <w:pPr>
        <w:pStyle w:val="BodyText"/>
      </w:pPr>
      <w:r>
        <w:t xml:space="preserve">— El costo de un incidente siempre es mayor que el costo de prevenirlo.</w:t>
      </w:r>
    </w:p>
    <w:p>
      <w:pPr>
        <w:pStyle w:val="BodyText"/>
      </w:pPr>
      <w:r>
        <w:t xml:space="preserve">— Un dashboard que no responde la pregunta que tienes durante un incidente es decoración, no observabilidad.</w:t>
      </w:r>
    </w:p>
    <w:p>
      <w:pPr>
        <w:pStyle w:val="BodyText"/>
      </w:pPr>
      <w:r>
        <w:t xml:space="preserve">— La diferencia entre un tester y un performance engineer es la diferencia entre ejecutar un script y entender la arquitectura.</w:t>
      </w:r>
    </w:p>
    <w:p>
      <w:pPr>
        <w:pStyle w:val="BodyText"/>
      </w:pPr>
      <w:r>
        <w:t xml:space="preserve">— 100% async no significa 0% comunicación. Significa comunicación eficiente, cuando importa, sin desperdiciar el tiempo de nadie.</w:t>
      </w:r>
    </w:p>
    <w:p>
      <w:pPr>
        <w:pStyle w:val="BodyText"/>
      </w:pPr>
      <w:r>
        <w:t xml:space="preserve">— El mejor entregable es el que llega sin que lo pidas, con los datos que necesitas, en el formato que puedes usar.</w:t>
      </w:r>
    </w:p>
    <w:p>
      <w:pPr>
        <w:pStyle w:val="BodyText"/>
      </w:pPr>
      <w:r>
        <w:br/>
      </w:r>
    </w:p>
    <w:p>
      <w:pPr>
        <w:pStyle w:val="BlockText"/>
      </w:pPr>
      <w:r>
        <w:t xml:space="preserve">VANTX Consulting · hello@vantx.io · vantx.io · 2026</w:t>
      </w:r>
    </w:p>
    <w:bookmarkEnd w:id="30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Misión, Visión y Valores</dc:title>
  <dc:creator/>
  <cp:keywords/>
  <dcterms:created xsi:type="dcterms:W3CDTF">2026-03-22T20:44:56Z</dcterms:created>
  <dcterms:modified xsi:type="dcterms:W3CDTF">2026-03-22T20:44:56Z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Marzo 2026</vt:lpwstr>
  </property>
  <property fmtid="{D5CDD505-2E9C-101B-9397-08002B2CF9AE}" pid="3" name="version">
    <vt:lpwstr>1.0</vt:lpwstr>
  </property>
</Properties>
</file>